
<file path=[Content_Types].xml><?xml version="1.0" encoding="utf-8"?>
<Types xmlns="http://schemas.openxmlformats.org/package/2006/content-types">
  <Default Extension="xml" ContentType="application/xml"/>
  <Default Extension="xlsx" ContentType="application/vnd.openxmlformats-officedocument.spreadsheetml.sheet"/>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webExtensions/webExtension1.xml" ContentType="application/vnd.wps-officedocument.webExtension+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10="http://schemas.microsoft.com/office/word/2012/wordml" xmlns:ns11="http://www.wps.cn/officeDocument/2018/webExtension" xmlns:ns12="http://schemas.openxmlformats.org/drawingml/2006/chart" xmlns:ns2="http://schemas.microsoft.com/office/word/2010/wordml" xmlns:ns3="http://schemas.openxmlformats.org/drawingml/2006/wordprocessingDrawing" xmlns:ns4="http://schemas.openxmlformats.org/drawingml/2006/main" xmlns:ns5="http://schemas.microsoft.com/office/word/2010/wordprocessingShape" xmlns:ns6="urn:schemas-microsoft-com:vml" xmlns:ns7="urn:schemas-microsoft-com:office:office" xmlns:ns8="http://schemas.openxmlformats.org/drawingml/2006/picture" xmlns:ns9="http://schemas.openxmlformats.org/officeDocument/2006/relationships" xmlns:w="http://schemas.openxmlformats.org/wordprocessingml/2006/main" ns1:Ignorable="w14 w15 wp14">
  <w:body>
    <w:p ns2:paraId="31962E5B">
      <w:pPr>
        <w:rPr>
          <w:rFonts w:hint="eastAsia" w:eastAsia="汉仪粗黑简"/>
          <w:lang w:eastAsia="zh-CN"/>
        </w:rPr>
      </w:pPr>
      <w:r>
        <w:rPr>
          <w:sz w:val="21"/>
        </w:rPr>
        <ns1:AlternateContent>
          <ns1:Choice Requires="wps">
            <w:drawing>
              <ns3:anchor distT="0" distB="0" distL="114300" distR="114300" simplePos="0" relativeHeight="251662336" behindDoc="0" locked="0" layoutInCell="1" allowOverlap="1">
                <ns3:simplePos x="0" y="0"/>
                <ns3:positionH relativeFrom="column">
                  <ns3:posOffset>-680085</ns3:posOffset>
                </ns3:positionH>
                <ns3:positionV relativeFrom="paragraph">
                  <ns3:posOffset>5374640</ns3:posOffset>
                </ns3:positionV>
                <ns3:extent cx="4483735" cy="658495"/>
                <ns3:effectExtent l="0" t="0" r="0" b="0"/>
                <ns3:wrapNone/>
                <ns3:docPr id="13" name="文本框 52"/>
                <ns3:cNvGraphicFramePr/>
                <ns4:graphic>
                  <ns4:graphicData uri="http://schemas.microsoft.com/office/word/2010/wordprocessingShape">
                    <ns5:wsp>
                      <ns5:cNvSpPr txBox="1"/>
                      <ns5:spPr>
                        <ns4:xfrm>
                          <ns4:off x="462915" y="6289040"/>
                          <ns4:ext cx="4483735" cy="658495"/>
                        </ns4:xfrm>
                        <ns4:prstGeom prst="rect">
                          <ns4:avLst/>
                        </ns4:prstGeom>
                        <ns4:noFill/>
                      </ns5:spPr>
                      <ns5:txbx>
                        <w:txbxContent>
                          <w:p ns2:paraId="1BD710F2">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rPr>
                              <w:t>项目名称</w:t>
                            </w:r>
                            <w:r>
                              <w:rPr>
                                <w:rFonts w:hint="eastAsia" w:ascii="汉仪中宋简" w:hAnsi="汉仪中宋简" w:eastAsia="汉仪中宋简" w:cs="汉仪中宋简"/>
                                <w:color w:val="199F9B"/>
                                <w:kern w:val="24"/>
                                <w:sz w:val="32"/>
                                <w:szCs w:val="32"/>
                                <w:lang w:eastAsia="zh-CN"/>
                              </w:rPr>
                              <w:t>：</w:t>
                            </w:r>
                            <w:r>
                              <w:rPr>
                                <w:rFonts w:hint="eastAsia" w:ascii="汉仪中宋简" w:hAnsi="汉仪中宋简" w:eastAsia="汉仪中宋简" w:cs="汉仪中宋简"/>
                                <w:color w:val="199F9B"/>
                                <w:kern w:val="24"/>
                                <w:sz w:val="32"/>
                                <w:szCs w:val="32"/>
                                <w:lang w:val="en-US" w:eastAsia="zh-CN"/>
                              </w:rPr>
                              <w:t>北京玖麟空科技有限公司</w:t>
                            </w:r>
                          </w:p>
                          <w:p ns2:paraId="4A09E810">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服务品种：厄贝沙坦氢氯噻嗪片</w:t>
                            </w:r>
                          </w:p>
                          <w:p ns2:paraId="3436BB5D">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default"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调研区域：</w:t>
                            </w:r>
                            <w:r>
                              <w:rPr>
                                <w:rFonts w:hint="eastAsia" w:ascii="汉仪中宋简" w:hAnsi="汉仪中宋简" w:eastAsia="汉仪中宋简" w:cs="汉仪中宋简"/>
                                <w:color w:val="199F9B"/>
                                <w:kern w:val="24"/>
                                <w:sz w:val="32"/>
                                <w:szCs w:val="32"/>
                                <w:highlight w:val="none"/>
                                <w:lang w:val="en-US" w:eastAsia="zh-CN"/>
                              </w:rPr>
                              <w:t>广东省</w:t>
                            </w:r>
                          </w:p>
                          <w:p ns2:paraId="4809D206">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调研时间：2025年11月1日-11月30日</w:t>
                            </w:r>
                          </w:p>
                          <w:p ns2:paraId="0FCA3A64">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粗黑简" w:hAnsi="Times New Roman" w:eastAsia="汉仪粗黑简"/>
                                <w:color w:val="199F9B"/>
                                <w:kern w:val="24"/>
                                <w:sz w:val="32"/>
                                <w:szCs w:val="32"/>
                                <w:lang w:val="en-US" w:eastAsia="zh-CN"/>
                              </w:rPr>
                            </w:pPr>
                          </w:p>
                        </w:txbxContent>
                      </ns5:txbx>
                      <ns5:bodyPr wrap="square" rtlCol="0">
                        <ns4:spAutoFit/>
                      </ns5:bodyPr>
                    </ns5:wsp>
                  </ns4:graphicData>
                </ns4:graphic>
              </ns3:anchor>
            </w:drawing>
          </ns1:Choice>
          <ns1:Fallback>
            <w:pict>
              <ns6:shape id="文本框 52" ns7:spid="_x0000_s1026" ns7:spt="202" type="#_x0000_t202" style="position:absolute;left:0pt;margin-left:-53.55pt;margin-top:423.2pt;height:51.85pt;width:353.05pt;z-index:251662336;mso-width-relative:page;mso-height-relative:page;" filled="f" stroked="f" coordsize="21600,21600" ns7:gfxdata="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snVf42gAAAAwBAAAPAAAAAAAAAAEAIAAAACIAAABkcnMvZG93&#10;bnJldi54bWxQSwECFAAUAAAACACHTuJA9DbBgMUBAABqAwAADgAAAAAAAAABACAAAAApAQAAZHJz&#10;L2Uyb0RvYy54bWxQSwUGAAAAAAYABgBZAQAAYAUAAAAA&#10;">
                <ns6:fill on="f" focussize="0,0"/>
                <ns6:stroke on="f"/>
                <ns6:imagedata ns7:title=""/>
                <ns7:lock ns6:ext="edit" aspectratio="f"/>
                <ns6:textbox style="mso-fit-shape-to-text:t;">
                  <w:txbxContent>
                    <w:p ns2:paraId="1BD710F2">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rPr>
                        <w:t>项目名称</w:t>
                      </w:r>
                      <w:r>
                        <w:rPr>
                          <w:rFonts w:hint="eastAsia" w:ascii="汉仪中宋简" w:hAnsi="汉仪中宋简" w:eastAsia="汉仪中宋简" w:cs="汉仪中宋简"/>
                          <w:color w:val="199F9B"/>
                          <w:kern w:val="24"/>
                          <w:sz w:val="32"/>
                          <w:szCs w:val="32"/>
                          <w:lang w:eastAsia="zh-CN"/>
                        </w:rPr>
                        <w:t>：</w:t>
                      </w:r>
                      <w:r>
                        <w:rPr>
                          <w:rFonts w:hint="eastAsia" w:ascii="汉仪中宋简" w:hAnsi="汉仪中宋简" w:eastAsia="汉仪中宋简" w:cs="汉仪中宋简"/>
                          <w:color w:val="199F9B"/>
                          <w:kern w:val="24"/>
                          <w:sz w:val="32"/>
                          <w:szCs w:val="32"/>
                          <w:lang w:val="en-US" w:eastAsia="zh-CN"/>
                        </w:rPr>
                        <w:t>北京玖麟空科技有限公司</w:t>
                      </w:r>
                    </w:p>
                    <w:p ns2:paraId="4A09E810">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服务品种：厄贝沙坦氢氯噻嗪片</w:t>
                      </w:r>
                    </w:p>
                    <w:p ns2:paraId="3436BB5D">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default"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调研区域：</w:t>
                      </w:r>
                      <w:r>
                        <w:rPr>
                          <w:rFonts w:hint="eastAsia" w:ascii="汉仪中宋简" w:hAnsi="汉仪中宋简" w:eastAsia="汉仪中宋简" w:cs="汉仪中宋简"/>
                          <w:color w:val="199F9B"/>
                          <w:kern w:val="24"/>
                          <w:sz w:val="32"/>
                          <w:szCs w:val="32"/>
                          <w:highlight w:val="none"/>
                          <w:lang w:val="en-US" w:eastAsia="zh-CN"/>
                        </w:rPr>
                        <w:t>广东省</w:t>
                      </w:r>
                    </w:p>
                    <w:p ns2:paraId="4809D206">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调研时间：2025年11月1日-11月30日</w:t>
                      </w:r>
                    </w:p>
                    <w:p ns2:paraId="0FCA3A64">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粗黑简" w:hAnsi="Times New Roman" w:eastAsia="汉仪粗黑简"/>
                          <w:color w:val="199F9B"/>
                          <w:kern w:val="24"/>
                          <w:sz w:val="32"/>
                          <w:szCs w:val="32"/>
                          <w:lang w:val="en-US" w:eastAsia="zh-CN"/>
                        </w:rPr>
                      </w:pPr>
                    </w:p>
                  </w:txbxContent>
                </ns6:textbox>
              </ns6:shape>
            </w:pict>
          </ns1:Fallback>
        </ns1:AlternateContent>
      </w:r>
      <w:r>
        <w:rPr>
          <w:sz w:val="21"/>
        </w:rPr>
        <ns1:AlternateContent>
          <ns1:Choice Requires="wps">
            <w:drawing>
              <ns3:anchor distT="0" distB="0" distL="114300" distR="114300" simplePos="0" relativeHeight="251659264" behindDoc="0" locked="0" layoutInCell="1" allowOverlap="1">
                <ns3:simplePos x="0" y="0"/>
                <ns3:positionH relativeFrom="column">
                  <ns3:posOffset>-734695</ns3:posOffset>
                </ns3:positionH>
                <ns3:positionV relativeFrom="page">
                  <ns3:posOffset>3185795</ns3:posOffset>
                </ns3:positionV>
                <ns3:extent cx="5386705" cy="727075"/>
                <ns3:effectExtent l="0" t="0" r="0" b="0"/>
                <ns3:wrapNone/>
                <ns3:docPr id="1" name="文本框 1"/>
                <ns3:cNvGraphicFramePr/>
                <ns4:graphic>
                  <ns4:graphicData uri="http://schemas.microsoft.com/office/word/2010/wordprocessingShape">
                    <ns5:wsp>
                      <ns5:cNvSpPr txBox="1"/>
                      <ns5:spPr>
                        <ns4:xfrm>
                          <ns4:off x="0" y="0"/>
                          <ns4:ext cx="5386705" cy="727075"/>
                        </ns4:xfrm>
                        <ns4:prstGeom prst="rect">
                          <ns4:avLst/>
                        </ns4:prstGeom>
                        <ns4:noFill/>
                        <ns4:ln w="6350">
                          <ns4:noFill/>
                        </ns4:ln>
                      </ns5:spPr>
                      <ns5:style>
                        <ns4:lnRef idx="0">
                          <ns4:schemeClr val="accent1"/>
                        </ns4:lnRef>
                        <ns4:fillRef idx="0">
                          <ns4:schemeClr val="accent1"/>
                        </ns4:fillRef>
                        <ns4:effectRef idx="0">
                          <ns4:schemeClr val="accent1"/>
                        </ns4:effectRef>
                        <ns4:fontRef idx="minor">
                          <ns4:schemeClr val="dk1"/>
                        </ns4:fontRef>
                      </ns5:style>
                      <ns5:txbx>
                        <w:txbxContent>
                          <w:p ns2:paraId="532C9B5F">
                            <w:pPr>
                              <w:rPr>
                                <w:rFonts w:hint="eastAsia" w:ascii="汉仪元隆黑-105简" w:hAnsi="汉仪元隆黑-105简" w:eastAsia="汉仪元隆黑-105简" w:cs="汉仪元隆黑-105简"/>
                                <w:b w:val="0"/>
                                <w:bCs w:val="0"/>
                                <w:color w:val="1E386B"/>
                                <w:sz w:val="56"/>
                                <w:szCs w:val="56"/>
                                <w:lang w:val="en-US" w:eastAsia="zh-CN"/>
                              </w:rPr>
                            </w:pPr>
                            <w:r>
                              <w:rPr>
                                <w:rFonts w:hint="eastAsia" w:ascii="汉仪元隆黑-105简" w:hAnsi="汉仪元隆黑-105简" w:eastAsia="汉仪元隆黑-105简" w:cs="汉仪元隆黑-105简"/>
                                <w:b w:val="0"/>
                                <w:bCs w:val="0"/>
                                <w:color w:val="1E386B"/>
                                <w:sz w:val="56"/>
                                <w:szCs w:val="56"/>
                                <w:lang w:val="en-US" w:eastAsia="zh-CN"/>
                              </w:rPr>
                              <w:t>用药体验与疗效反馈</w:t>
                            </w:r>
                          </w:p>
                        </w:txbxContent>
                      </ns5:txbx>
                      <ns5:bodyPr rot="0" spcFirstLastPara="0" vertOverflow="overflow" horzOverflow="overflow" vert="horz" wrap="square" lIns="91440" tIns="45720" rIns="91440" bIns="45720" numCol="1" spcCol="0" rtlCol="0" fromWordArt="0" anchor="t" anchorCtr="0" forceAA="0" compatLnSpc="1">
                        <ns4:noAutofit/>
                      </ns5:bodyPr>
                    </ns5:wsp>
                  </ns4:graphicData>
                </ns4:graphic>
              </ns3:anchor>
            </w:drawing>
          </ns1:Choice>
          <ns1:Fallback>
            <w:pict>
              <ns6:shape id="_x0000_s1026" ns7:spid="_x0000_s1026" ns7:spt="202" type="#_x0000_t202" style="position:absolute;left:0pt;margin-left:-57.85pt;margin-top:250.85pt;height:57.25pt;width:424.15pt;mso-position-vertical-relative:page;z-index:251659264;mso-width-relative:page;mso-height-relative:page;" filled="f" stroked="f" coordsize="21600,21600" ns7:gfxdata="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yGTag3QAAAAwBAAAPAAAAAAAAAAEAIAAAACIA&#10;AABkcnMvZG93bnJldi54bWxQSwECFAAUAAAACACHTuJAODINAT0CAABmBAAADgAAAAAAAAABACAA&#10;AAAsAQAAZHJzL2Uyb0RvYy54bWxQSwUGAAAAAAYABgBZAQAA2wUAAAAA&#10;">
                <ns6:fill on="f" focussize="0,0"/>
                <ns6:stroke on="f" weight="0.5pt"/>
                <ns6:imagedata ns7:title=""/>
                <ns7:lock ns6:ext="edit" aspectratio="f"/>
                <ns6:textbox>
                  <w:txbxContent>
                    <w:p ns2:paraId="532C9B5F">
                      <w:pPr>
                        <w:rPr>
                          <w:rFonts w:hint="eastAsia" w:ascii="汉仪元隆黑-105简" w:hAnsi="汉仪元隆黑-105简" w:eastAsia="汉仪元隆黑-105简" w:cs="汉仪元隆黑-105简"/>
                          <w:b w:val="0"/>
                          <w:bCs w:val="0"/>
                          <w:color w:val="1E386B"/>
                          <w:sz w:val="56"/>
                          <w:szCs w:val="56"/>
                          <w:lang w:val="en-US" w:eastAsia="zh-CN"/>
                        </w:rPr>
                      </w:pPr>
                      <w:r>
                        <w:rPr>
                          <w:rFonts w:hint="eastAsia" w:ascii="汉仪元隆黑-105简" w:hAnsi="汉仪元隆黑-105简" w:eastAsia="汉仪元隆黑-105简" w:cs="汉仪元隆黑-105简"/>
                          <w:b w:val="0"/>
                          <w:bCs w:val="0"/>
                          <w:color w:val="1E386B"/>
                          <w:sz w:val="56"/>
                          <w:szCs w:val="56"/>
                          <w:lang w:val="en-US" w:eastAsia="zh-CN"/>
                        </w:rPr>
                        <w:t>用药体验与疗效反馈</w:t>
                      </w:r>
                    </w:p>
                  </w:txbxContent>
                </ns6:textbox>
              </ns6:shape>
            </w:pict>
          </ns1:Fallback>
        </ns1:AlternateContent>
      </w:r>
      <w:r>
        <ns1:AlternateContent>
          <ns1:Choice Requires="wps">
            <w:drawing>
              <ns3:anchor distT="0" distB="0" distL="114300" distR="114300" simplePos="0" relativeHeight="251661312" behindDoc="0" locked="0" layoutInCell="1" allowOverlap="1">
                <ns3:simplePos x="0" y="0"/>
                <ns3:positionH relativeFrom="column">
                  <ns3:posOffset>-720090</ns3:posOffset>
                </ns3:positionH>
                <ns3:positionV relativeFrom="paragraph">
                  <ns3:posOffset>2778125</ns3:posOffset>
                </ns3:positionV>
                <ns3:extent cx="5963920" cy="1753870"/>
                <ns3:effectExtent l="0" t="0" r="0" b="0"/>
                <ns3:wrapNone/>
                <ns3:docPr id="9" name="文本框 44"/>
                <ns3:cNvGraphicFramePr/>
                <ns4:graphic>
                  <ns4:graphicData uri="http://schemas.microsoft.com/office/word/2010/wordprocessingShape">
                    <ns5:wsp>
                      <ns5:cNvSpPr txBox="1"/>
                      <ns5:spPr>
                        <ns4:xfrm>
                          <ns4:off x="422910" y="3194685"/>
                          <ns4:ext cx="5963920" cy="1753870"/>
                        </ns4:xfrm>
                        <ns4:prstGeom prst="rect">
                          <ns4:avLst/>
                        </ns4:prstGeom>
                        <ns4:noFill/>
                      </ns5:spPr>
                      <ns5:txbx>
                        <w:txbxContent>
                          <w:p ns2:paraId="0FB99BE3">
                            <w:pPr>
                              <w:rPr>
                                <w:rFonts w:hint="eastAsia" w:ascii="汉仪元隆黑-105简" w:hAnsi="汉仪元隆黑-105简" w:eastAsia="汉仪元隆黑-105简" w:cs="汉仪元隆黑-105简"/>
                                <w:b w:val="0"/>
                                <w:bCs w:val="0"/>
                                <w:color w:val="1E386B"/>
                                <w:sz w:val="112"/>
                                <w:szCs w:val="112"/>
                                <w:lang w:val="en-US" w:eastAsia="zh-CN"/>
                              </w:rPr>
                            </w:pPr>
                            <w:r>
                              <w:rPr>
                                <w:rFonts w:hint="eastAsia" w:ascii="汉仪元隆黑-105简" w:hAnsi="汉仪元隆黑-105简" w:eastAsia="汉仪元隆黑-105简" w:cs="汉仪元隆黑-105简"/>
                                <w:b w:val="0"/>
                                <w:bCs w:val="0"/>
                                <w:color w:val="1E386B"/>
                                <w:sz w:val="112"/>
                                <w:szCs w:val="112"/>
                                <w:lang w:val="en-US" w:eastAsia="zh-CN"/>
                              </w:rPr>
                              <w:t>问卷调查分析报告</w:t>
                            </w:r>
                          </w:p>
                        </w:txbxContent>
                      </ns5:txbx>
                      <ns5:bodyPr wrap="square" rtlCol="0">
                        <ns4:spAutoFit/>
                      </ns5:bodyPr>
                    </ns5:wsp>
                  </ns4:graphicData>
                </ns4:graphic>
              </ns3:anchor>
            </w:drawing>
          </ns1:Choice>
          <ns1:Fallback>
            <w:pict>
              <ns6:shape id="文本框 44" ns7:spid="_x0000_s1026" ns7:spt="202" type="#_x0000_t202" style="position:absolute;left:0pt;margin-left:-56.7pt;margin-top:218.75pt;height:138.1pt;width:469.6pt;z-index:251661312;mso-width-relative:page;mso-height-relative:page;" filled="f" stroked="f" coordsize="21600,21600" ns7:gfxdata="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RfIaVNoAAAAMAQAADwAAAAAAAAABACAAAAAiAAAAZHJz&#10;L2Rvd25yZXYueG1sUEsBAhQAFAAAAAgAh07iQDlA7fnJAQAAagMAAA4AAAAAAAAAAQAgAAAAKQEA&#10;AGRycy9lMm9Eb2MueG1sUEsFBgAAAAAGAAYAWQEAAGQFAAAAAA==&#10;">
                <ns6:fill on="f" focussize="0,0"/>
                <ns6:stroke on="f"/>
                <ns6:imagedata ns7:title=""/>
                <ns7:lock ns6:ext="edit" aspectratio="f"/>
                <ns6:textbox style="mso-fit-shape-to-text:t;">
                  <w:txbxContent>
                    <w:p ns2:paraId="0FB99BE3">
                      <w:pPr>
                        <w:rPr>
                          <w:rFonts w:hint="eastAsia" w:ascii="汉仪元隆黑-105简" w:hAnsi="汉仪元隆黑-105简" w:eastAsia="汉仪元隆黑-105简" w:cs="汉仪元隆黑-105简"/>
                          <w:b w:val="0"/>
                          <w:bCs w:val="0"/>
                          <w:color w:val="1E386B"/>
                          <w:sz w:val="112"/>
                          <w:szCs w:val="112"/>
                          <w:lang w:val="en-US" w:eastAsia="zh-CN"/>
                        </w:rPr>
                      </w:pPr>
                      <w:r>
                        <w:rPr>
                          <w:rFonts w:hint="eastAsia" w:ascii="汉仪元隆黑-105简" w:hAnsi="汉仪元隆黑-105简" w:eastAsia="汉仪元隆黑-105简" w:cs="汉仪元隆黑-105简"/>
                          <w:b w:val="0"/>
                          <w:bCs w:val="0"/>
                          <w:color w:val="1E386B"/>
                          <w:sz w:val="112"/>
                          <w:szCs w:val="112"/>
                          <w:lang w:val="en-US" w:eastAsia="zh-CN"/>
                        </w:rPr>
                        <w:t>问卷调查分析报告</w:t>
                      </w:r>
                    </w:p>
                  </w:txbxContent>
                </ns6:textbox>
              </ns6:shape>
            </w:pict>
          </ns1:Fallback>
        </ns1:AlternateContent>
      </w:r>
      <w:r>
        <w:rPr>
          <w:rFonts w:hint="eastAsia" w:eastAsia="汉仪粗黑简"/>
          <w:lang w:eastAsia="zh-CN"/>
        </w:rPr>
        <w:drawing>
          <ns3:anchor distT="0" distB="0" distL="114300" distR="114300" simplePos="0" relativeHeight="251660288" behindDoc="1" locked="0" layoutInCell="1" allowOverlap="1">
            <ns3:simplePos x="0" y="0"/>
            <ns3:positionH relativeFrom="column">
              <ns3:posOffset>-1176020</ns3:posOffset>
            </ns3:positionH>
            <ns3:positionV relativeFrom="paragraph">
              <ns3:posOffset>-963295</ns3:posOffset>
            </ns3:positionV>
            <ns3:extent cx="7603490" cy="10751820"/>
            <ns3:effectExtent l="0" t="0" r="1270" b="7620"/>
            <ns3:wrapNone/>
            <ns3:docPr id="20" name="图片 20" descr="竖版待修改竖版 7.16"/>
            <ns3:cNvGraphicFramePr>
              <ns4:graphicFrameLocks noChangeAspect="1"/>
            </ns3:cNvGraphicFramePr>
            <ns4:graphic>
              <ns4:graphicData uri="http://schemas.openxmlformats.org/drawingml/2006/picture">
                <ns8:pic>
                  <ns8:nvPicPr>
                    <ns8:cNvPr id="20" name="图片 20" descr="竖版待修改竖版 7.16"/>
                    <ns8:cNvPicPr>
                      <ns4:picLocks noChangeAspect="1"/>
                    </ns8:cNvPicPr>
                  </ns8:nvPicPr>
                  <ns8:blipFill>
                    <ns4:blip ns9:embed="rId8"/>
                    <ns4:stretch>
                      <ns4:fillRect/>
                    </ns4:stretch>
                  </ns8:blipFill>
                  <ns8:spPr>
                    <ns4:xfrm>
                      <ns4:off x="0" y="0"/>
                      <ns4:ext cx="7603490" cy="10751820"/>
                    </ns4:xfrm>
                    <ns4:prstGeom prst="rect">
                      <ns4:avLst/>
                    </ns4:prstGeom>
                  </ns8:spPr>
                </ns8:pic>
              </ns4:graphicData>
            </ns4:graphic>
          </ns3:anchor>
        </w:drawing>
      </w:r>
    </w:p>
    <w:p ns2:paraId="4F3FF417">
      <w:pPr>
        <w:rPr>
          <w:rFonts w:hint="eastAsia"/>
          <w:sz w:val="21"/>
          <w:lang w:eastAsia="zh-CN"/>
        </w:rPr>
        <w:sectPr>
          <w:headerReference ns9: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ns2:paraId="3D0D36C5">
      <w:pPr>
        <w:keepNext w:val="0"/>
        <w:keepLines w:val="0"/>
        <w:pageBreakBefore w:val="0"/>
        <w:widowControl w:val="0"/>
        <w:kinsoku/>
        <w:wordWrap/>
        <w:overflowPunct/>
        <w:topLinePunct w:val="0"/>
        <w:autoSpaceDE/>
        <w:autoSpaceDN/>
        <w:bidi w:val="0"/>
        <w:adjustRightInd/>
        <w:snapToGrid/>
        <w:spacing w:before="157" w:beforeLines="50" w:after="157" w:afterLines="50" w:line="480" w:lineRule="auto"/>
        <w:jc w:val="center"/>
        <w:textAlignment w:val="auto"/>
        <w:rPr>
          <w:rFonts w:hint="eastAsia" w:ascii="汉仪中宋简" w:hAnsi="汉仪中宋简" w:eastAsia="汉仪中宋简" w:cs="汉仪中宋简"/>
          <w:b/>
          <w:lang w:val="en-US" w:eastAsia="zh-CN"/>
        </w:rPr>
      </w:pPr>
      <w:bookmarkStart w:id="0" w:name="_Toc376"/>
      <w:bookmarkStart w:id="1" w:name="_Toc13682"/>
      <w:bookmarkStart w:id="2" w:name="_Toc27864"/>
      <w:bookmarkStart w:id="3" w:name="_Toc7033"/>
      <w:bookmarkStart w:id="4" w:name="_Toc28049"/>
      <w:bookmarkStart w:id="5" w:name="_Toc29451"/>
      <w:bookmarkStart w:id="6" w:name="_Toc27862"/>
      <w:r>
        <w:rPr>
          <w:rFonts w:hint="eastAsia" w:ascii="汉仪中宋简" w:hAnsi="汉仪中宋简" w:eastAsia="汉仪中宋简" w:cs="汉仪中宋简"/>
          <w:b/>
          <w:bCs/>
          <w:sz w:val="44"/>
          <w:szCs w:val="44"/>
          <w:lang w:val="en-US" w:eastAsia="zh-CN"/>
        </w:rPr>
        <w:t>问卷调研服务结算</w:t>
      </w:r>
      <w:bookmarkEnd w:id="0"/>
      <w:bookmarkEnd w:id="1"/>
      <w:bookmarkEnd w:id="2"/>
    </w:p>
    <w:tbl>
      <w:tblPr>
        <w:tblStyle w:val="10"/>
        <w:tblpPr w:leftFromText="180" w:rightFromText="180" w:vertAnchor="text" w:horzAnchor="page" w:tblpX="1730" w:tblpY="163"/>
        <w:tblOverlap w:val="never"/>
        <w:tblW w:w="892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5"/>
        <w:gridCol w:w="3370"/>
        <w:gridCol w:w="1710"/>
        <w:gridCol w:w="962"/>
        <w:gridCol w:w="1190"/>
      </w:tblGrid>
      <w:tr ns2:paraId="4440D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6" w:hRule="atLeast"/>
          <w:tblHeader/>
          <w:tblCellSpacing w:w="15" w:type="dxa"/>
        </w:trPr>
        <w:tc>
          <w:tcPr>
            <w:tcW w:w="1650" w:type="dxa"/>
            <w:tcBorders>
              <w:top w:val="single" w:color="4874CB" w:themeColor="accent1" w:sz="6" w:space="0"/>
              <w:left w:val="single" w:color="4874CB" w:themeColor="accent1" w:sz="6" w:space="0"/>
              <w:bottom w:val="single" w:color="4874CB" w:themeColor="accent1" w:sz="6" w:space="0"/>
              <w:right w:val="nil"/>
            </w:tcBorders>
            <w:shd w:val="clear" w:color="auto" w:fill="4874CB" w:themeFill="accent1"/>
            <w:vAlign w:val="center"/>
          </w:tcPr>
          <w:p ns2:paraId="2CB7D438">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项目</w:t>
            </w:r>
          </w:p>
        </w:tc>
        <w:tc>
          <w:tcPr>
            <w:tcW w:w="3340" w:type="dxa"/>
            <w:tcBorders>
              <w:top w:val="single" w:color="4874CB" w:themeColor="accent1" w:sz="6" w:space="0"/>
              <w:left w:val="nil"/>
              <w:bottom w:val="single" w:color="4874CB" w:themeColor="accent1" w:sz="6" w:space="0"/>
              <w:right w:val="nil"/>
            </w:tcBorders>
            <w:shd w:val="clear" w:color="auto" w:fill="4874CB" w:themeFill="accent1"/>
            <w:vAlign w:val="center"/>
          </w:tcPr>
          <w:p ns2:paraId="18060681">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服务内容</w:t>
            </w:r>
          </w:p>
        </w:tc>
        <w:tc>
          <w:tcPr>
            <w:tcW w:w="1680" w:type="dxa"/>
            <w:tcBorders>
              <w:top w:val="single" w:color="4874CB" w:themeColor="accent1" w:sz="6" w:space="0"/>
              <w:left w:val="nil"/>
              <w:bottom w:val="single" w:color="4874CB" w:themeColor="accent1" w:sz="6" w:space="0"/>
              <w:right w:val="nil"/>
            </w:tcBorders>
            <w:shd w:val="clear" w:color="auto" w:fill="4874CB" w:themeFill="accent1"/>
            <w:vAlign w:val="center"/>
          </w:tcPr>
          <w:p ns2:paraId="25C7FC50">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单价</w:t>
            </w:r>
          </w:p>
        </w:tc>
        <w:tc>
          <w:tcPr>
            <w:tcW w:w="932" w:type="dxa"/>
            <w:tcBorders>
              <w:top w:val="single" w:color="4874CB" w:themeColor="accent1" w:sz="6" w:space="0"/>
              <w:left w:val="nil"/>
              <w:bottom w:val="single" w:color="4874CB" w:themeColor="accent1" w:sz="6" w:space="0"/>
              <w:right w:val="nil"/>
            </w:tcBorders>
            <w:shd w:val="clear" w:color="auto" w:fill="4874CB" w:themeFill="accent1"/>
            <w:vAlign w:val="center"/>
          </w:tcPr>
          <w:p ns2:paraId="044311B8">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数量</w:t>
            </w:r>
          </w:p>
        </w:tc>
        <w:tc>
          <w:tcPr>
            <w:tcW w:w="1145" w:type="dxa"/>
            <w:tcBorders>
              <w:top w:val="single" w:color="4874CB" w:themeColor="accent1" w:sz="6" w:space="0"/>
              <w:left w:val="nil"/>
              <w:bottom w:val="single" w:color="4874CB" w:themeColor="accent1" w:sz="6" w:space="0"/>
              <w:right w:val="single" w:color="4874CB" w:themeColor="accent1" w:sz="6" w:space="0"/>
            </w:tcBorders>
            <w:shd w:val="clear" w:color="auto" w:fill="4874CB" w:themeFill="accent1"/>
            <w:vAlign w:val="center"/>
          </w:tcPr>
          <w:p ns2:paraId="3E8F70B6">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费用（元）</w:t>
            </w:r>
          </w:p>
        </w:tc>
      </w:tr>
      <w:tr ns2:paraId="4618E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blCellSpacing w:w="15" w:type="dxa"/>
        </w:trPr>
        <w:tc>
          <w:tcPr>
            <w:tcW w:w="1650" w:type="dxa"/>
            <w:tcBorders>
              <w:top w:val="single" w:color="4874CB" w:themeColor="accent1" w:sz="6" w:space="0"/>
              <w:left w:val="single" w:color="4874CB" w:themeColor="accent1" w:sz="6" w:space="0"/>
              <w:bottom w:val="single" w:color="B5C7EA" w:themeColor="accent1" w:themeTint="66" w:sz="6" w:space="0"/>
              <w:right w:val="nil"/>
            </w:tcBorders>
            <w:shd w:val="clear" w:color="auto" w:fill="auto"/>
            <w:vAlign w:val="center"/>
          </w:tcPr>
          <w:p ns2:paraId="48D83400">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问卷样本</w:t>
            </w:r>
          </w:p>
        </w:tc>
        <w:tc>
          <w:tcPr>
            <w:tcW w:w="3340" w:type="dxa"/>
            <w:tcBorders>
              <w:top w:val="single" w:color="4874CB" w:themeColor="accent1" w:sz="6" w:space="0"/>
              <w:left w:val="nil"/>
              <w:bottom w:val="single" w:color="B5C7EA" w:themeColor="accent1" w:themeTint="66" w:sz="6" w:space="0"/>
              <w:right w:val="nil"/>
            </w:tcBorders>
            <w:shd w:val="clear" w:color="auto" w:fill="auto"/>
            <w:vAlign w:val="center"/>
          </w:tcPr>
          <w:p ns2:paraId="6CD3BC35">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抽取样本、数据清洗</w:t>
            </w:r>
          </w:p>
        </w:tc>
        <w:tc>
          <w:tcPr>
            <w:tcW w:w="1680" w:type="dxa"/>
            <w:tcBorders>
              <w:top w:val="single" w:color="4874CB" w:themeColor="accent1" w:sz="6" w:space="0"/>
              <w:left w:val="nil"/>
              <w:bottom w:val="single" w:color="B5C7EA" w:themeColor="accent1" w:themeTint="66" w:sz="6" w:space="0"/>
              <w:right w:val="nil"/>
            </w:tcBorders>
            <w:shd w:val="clear" w:color="auto" w:fill="auto"/>
            <w:vAlign w:val="center"/>
          </w:tcPr>
          <w:p ns2:paraId="6FCA8EC7">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100元/例</w:t>
            </w:r>
          </w:p>
        </w:tc>
        <w:tc>
          <w:tcPr>
            <w:tcW w:w="932" w:type="dxa"/>
            <w:tcBorders>
              <w:top w:val="single" w:color="4874CB" w:themeColor="accent1" w:sz="6" w:space="0"/>
              <w:left w:val="nil"/>
              <w:bottom w:val="single" w:color="B5C7EA" w:themeColor="accent1" w:themeTint="66" w:sz="6" w:space="0"/>
              <w:right w:val="nil"/>
            </w:tcBorders>
            <w:shd w:val="clear" w:color="auto" w:fill="auto"/>
            <w:vAlign w:val="center"/>
          </w:tcPr>
          <w:p ns2:paraId="6AB0B7BA">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1642例</w:t>
            </w:r>
          </w:p>
        </w:tc>
        <w:tc>
          <w:tcPr>
            <w:tcW w:w="1145" w:type="dxa"/>
            <w:tcBorders>
              <w:top w:val="single" w:color="4874CB" w:themeColor="accent1" w:sz="6" w:space="0"/>
              <w:left w:val="nil"/>
              <w:bottom w:val="single" w:color="B5C7EA" w:themeColor="accent1" w:themeTint="66" w:sz="6" w:space="0"/>
              <w:right w:val="single" w:color="4874CB" w:themeColor="accent1" w:sz="6" w:space="0"/>
            </w:tcBorders>
            <w:shd w:val="clear" w:color="auto" w:fill="auto"/>
            <w:vAlign w:val="center"/>
          </w:tcPr>
          <w:p ns2:paraId="714AD419">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164,200</w:t>
            </w:r>
          </w:p>
        </w:tc>
      </w:tr>
      <w:tr ns2:paraId="18A00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blCellSpacing w:w="15" w:type="dxa"/>
        </w:trPr>
        <w:tc>
          <w:tcPr>
            <w:tcW w:w="1650" w:type="dxa"/>
            <w:tcBorders>
              <w:top w:val="single" w:color="B5C7EA" w:themeColor="accent1" w:themeTint="66" w:sz="6" w:space="0"/>
              <w:left w:val="single" w:color="4874CB" w:themeColor="accent1" w:sz="6" w:space="0"/>
              <w:bottom w:val="single" w:color="B5C7EA" w:themeColor="accent1" w:themeTint="66" w:sz="6" w:space="0"/>
              <w:right w:val="nil"/>
            </w:tcBorders>
            <w:shd w:val="clear" w:color="auto" w:fill="auto"/>
            <w:vAlign w:val="center"/>
          </w:tcPr>
          <w:p ns2:paraId="4E803433">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问卷分析报告</w:t>
            </w:r>
          </w:p>
        </w:tc>
        <w:tc>
          <w:tcPr>
            <w:tcW w:w="3340" w:type="dxa"/>
            <w:tcBorders>
              <w:top w:val="single" w:color="B5C7EA" w:themeColor="accent1" w:themeTint="66" w:sz="6" w:space="0"/>
              <w:left w:val="nil"/>
              <w:bottom w:val="single" w:color="B5C7EA" w:themeColor="accent1" w:themeTint="66" w:sz="6" w:space="0"/>
              <w:right w:val="nil"/>
            </w:tcBorders>
            <w:shd w:val="clear" w:color="auto" w:fill="auto"/>
            <w:vAlign w:val="center"/>
          </w:tcPr>
          <w:p ns2:paraId="2BA889CF">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数据分析、可视化，形成市场分析报告</w:t>
            </w:r>
          </w:p>
        </w:tc>
        <w:tc>
          <w:tcPr>
            <w:tcW w:w="1680" w:type="dxa"/>
            <w:tcBorders>
              <w:top w:val="single" w:color="B5C7EA" w:themeColor="accent1" w:themeTint="66" w:sz="6" w:space="0"/>
              <w:left w:val="nil"/>
              <w:bottom w:val="single" w:color="B5C7EA" w:themeColor="accent1" w:themeTint="66" w:sz="6" w:space="0"/>
              <w:right w:val="nil"/>
            </w:tcBorders>
            <w:shd w:val="clear" w:color="auto" w:fill="auto"/>
            <w:vAlign w:val="center"/>
          </w:tcPr>
          <w:p ns2:paraId="1859385D">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30,000元/篇</w:t>
            </w:r>
          </w:p>
        </w:tc>
        <w:tc>
          <w:tcPr>
            <w:tcW w:w="932" w:type="dxa"/>
            <w:tcBorders>
              <w:top w:val="single" w:color="B5C7EA" w:themeColor="accent1" w:themeTint="66" w:sz="6" w:space="0"/>
              <w:left w:val="nil"/>
              <w:bottom w:val="single" w:color="B5C7EA" w:themeColor="accent1" w:themeTint="66" w:sz="6" w:space="0"/>
              <w:right w:val="nil"/>
            </w:tcBorders>
            <w:shd w:val="clear" w:color="auto" w:fill="auto"/>
            <w:vAlign w:val="center"/>
          </w:tcPr>
          <w:p ns2:paraId="4C5AA2B0">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1篇</w:t>
            </w:r>
          </w:p>
        </w:tc>
        <w:tc>
          <w:tcPr>
            <w:tcW w:w="1145" w:type="dxa"/>
            <w:tcBorders>
              <w:top w:val="single" w:color="B5C7EA" w:themeColor="accent1" w:themeTint="66" w:sz="6" w:space="0"/>
              <w:left w:val="nil"/>
              <w:bottom w:val="single" w:color="B5C7EA" w:themeColor="accent1" w:themeTint="66" w:sz="6" w:space="0"/>
              <w:right w:val="single" w:color="4874CB" w:themeColor="accent1" w:sz="6" w:space="0"/>
            </w:tcBorders>
            <w:shd w:val="clear" w:color="auto" w:fill="auto"/>
            <w:vAlign w:val="center"/>
          </w:tcPr>
          <w:p ns2:paraId="2E1E07FB">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30,000</w:t>
            </w:r>
          </w:p>
        </w:tc>
      </w:tr>
      <w:tr ns2:paraId="28929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blCellSpacing w:w="15" w:type="dxa"/>
        </w:trPr>
        <w:tc>
          <w:tcPr>
            <w:tcW w:w="1650" w:type="dxa"/>
            <w:tcBorders>
              <w:top w:val="single" w:color="B5C7EA" w:themeColor="accent1" w:themeTint="66" w:sz="6" w:space="0"/>
              <w:left w:val="single" w:color="4874CB" w:themeColor="accent1" w:sz="6" w:space="0"/>
              <w:bottom w:val="single" w:color="4874CB" w:themeColor="accent1" w:sz="6" w:space="0"/>
              <w:right w:val="nil"/>
            </w:tcBorders>
            <w:shd w:val="clear" w:color="auto" w:fill="auto"/>
            <w:vAlign w:val="center"/>
          </w:tcPr>
          <w:p ns2:paraId="4279FFE1">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Style w:val="12"/>
                <w:rFonts w:hint="eastAsia" w:ascii="汉仪中宋简" w:hAnsi="汉仪中宋简" w:eastAsia="汉仪中宋简" w:cs="汉仪中宋简"/>
                <w:b w:val="0"/>
                <w:i w:val="0"/>
                <w:color w:val="000000"/>
                <w:kern w:val="0"/>
                <w:sz w:val="24"/>
                <w:szCs w:val="24"/>
                <w:highlight w:val="none"/>
                <w:lang w:val="en-US" w:eastAsia="zh-CN" w:bidi="ar"/>
              </w:rPr>
              <w:t>总计</w:t>
            </w:r>
          </w:p>
        </w:tc>
        <w:tc>
          <w:tcPr>
            <w:tcW w:w="3340" w:type="dxa"/>
            <w:tcBorders>
              <w:top w:val="single" w:color="B5C7EA" w:themeColor="accent1" w:themeTint="66" w:sz="6" w:space="0"/>
              <w:left w:val="nil"/>
              <w:bottom w:val="single" w:color="4874CB" w:themeColor="accent1" w:sz="6" w:space="0"/>
              <w:right w:val="nil"/>
            </w:tcBorders>
            <w:shd w:val="clear" w:color="auto" w:fill="auto"/>
            <w:vAlign w:val="center"/>
          </w:tcPr>
          <w:p ns2:paraId="3A1B7D94">
            <w:pPr>
              <w:rPr>
                <w:rFonts w:hint="eastAsia" w:ascii="汉仪中宋简" w:hAnsi="汉仪中宋简" w:eastAsia="汉仪中宋简" w:cs="汉仪中宋简"/>
                <w:b w:val="0"/>
                <w:i w:val="0"/>
                <w:color w:val="000000"/>
                <w:sz w:val="24"/>
                <w:szCs w:val="24"/>
                <w:highlight w:val="none"/>
              </w:rPr>
            </w:pPr>
          </w:p>
        </w:tc>
        <w:tc>
          <w:tcPr>
            <w:tcW w:w="1680" w:type="dxa"/>
            <w:tcBorders>
              <w:top w:val="single" w:color="B5C7EA" w:themeColor="accent1" w:themeTint="66" w:sz="6" w:space="0"/>
              <w:left w:val="nil"/>
              <w:bottom w:val="single" w:color="4874CB" w:themeColor="accent1" w:sz="6" w:space="0"/>
              <w:right w:val="nil"/>
            </w:tcBorders>
            <w:shd w:val="clear" w:color="auto" w:fill="auto"/>
            <w:vAlign w:val="center"/>
          </w:tcPr>
          <w:p ns2:paraId="553A0E1F">
            <w:pPr>
              <w:rPr>
                <w:rFonts w:hint="eastAsia" w:ascii="汉仪中宋简" w:hAnsi="汉仪中宋简" w:eastAsia="汉仪中宋简" w:cs="汉仪中宋简"/>
                <w:b w:val="0"/>
                <w:i w:val="0"/>
                <w:color w:val="000000"/>
                <w:sz w:val="24"/>
                <w:szCs w:val="24"/>
                <w:highlight w:val="none"/>
              </w:rPr>
            </w:pPr>
          </w:p>
        </w:tc>
        <w:tc>
          <w:tcPr>
            <w:tcW w:w="932" w:type="dxa"/>
            <w:tcBorders>
              <w:top w:val="single" w:color="B5C7EA" w:themeColor="accent1" w:themeTint="66" w:sz="6" w:space="0"/>
              <w:left w:val="nil"/>
              <w:bottom w:val="single" w:color="4874CB" w:themeColor="accent1" w:sz="6" w:space="0"/>
              <w:right w:val="nil"/>
            </w:tcBorders>
            <w:shd w:val="clear" w:color="auto" w:fill="auto"/>
            <w:vAlign w:val="center"/>
          </w:tcPr>
          <w:p ns2:paraId="6AE98FA0">
            <w:pPr>
              <w:rPr>
                <w:rFonts w:hint="eastAsia" w:ascii="汉仪中宋简" w:hAnsi="汉仪中宋简" w:eastAsia="汉仪中宋简" w:cs="汉仪中宋简"/>
                <w:b w:val="0"/>
                <w:i w:val="0"/>
                <w:color w:val="000000"/>
                <w:sz w:val="24"/>
                <w:szCs w:val="24"/>
                <w:highlight w:val="none"/>
              </w:rPr>
            </w:pPr>
          </w:p>
        </w:tc>
        <w:tc>
          <w:tcPr>
            <w:tcW w:w="1145" w:type="dxa"/>
            <w:tcBorders>
              <w:top w:val="single" w:color="B5C7EA" w:themeColor="accent1" w:themeTint="66" w:sz="6" w:space="0"/>
              <w:left w:val="nil"/>
              <w:bottom w:val="single" w:color="4874CB" w:themeColor="accent1" w:sz="6" w:space="0"/>
              <w:right w:val="single" w:color="4874CB" w:themeColor="accent1" w:sz="6" w:space="0"/>
            </w:tcBorders>
            <w:shd w:val="clear" w:color="auto" w:fill="auto"/>
            <w:vAlign w:val="center"/>
          </w:tcPr>
          <w:p ns2:paraId="5F1E6723">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Style w:val="12"/>
                <w:rFonts w:hint="eastAsia" w:ascii="汉仪中宋简" w:hAnsi="汉仪中宋简" w:eastAsia="汉仪中宋简" w:cs="汉仪中宋简"/>
                <w:b w:val="0"/>
                <w:i w:val="0"/>
                <w:color w:val="000000"/>
                <w:kern w:val="0"/>
                <w:sz w:val="24"/>
                <w:szCs w:val="24"/>
                <w:highlight w:val="none"/>
                <w:lang w:val="en-US" w:eastAsia="zh-CN" w:bidi="ar"/>
              </w:rPr>
              <w:t>194,200</w:t>
            </w:r>
          </w:p>
        </w:tc>
      </w:tr>
    </w:tbl>
    <w:p ns2:paraId="4886E5A3">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服务承诺：确保数据真实可靠，分析专业严谨，提供有价值的市场洞察，保持与客户的密切沟通，确保项目高质量完成。</w:t>
      </w:r>
    </w:p>
    <w:p ns2:paraId="450101E3">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jc w:val="right"/>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br w:type="textWrapping"/>
      </w:r>
      <w:r>
        <w:rPr>
          <w:rFonts w:hint="eastAsia" w:ascii="汉仪中宋简" w:hAnsi="汉仪中宋简" w:eastAsia="汉仪中宋简" w:cs="汉仪中宋简"/>
          <w:sz w:val="24"/>
          <w:szCs w:val="32"/>
          <w:lang w:val="en-US" w:eastAsia="zh-CN"/>
        </w:rPr>
        <w:t>服务单位：北京玖麟空科技有限公司</w:t>
      </w:r>
      <w:r>
        <w:rPr>
          <w:rFonts w:hint="eastAsia" w:ascii="汉仪中宋简" w:hAnsi="汉仪中宋简" w:eastAsia="汉仪中宋简" w:cs="汉仪中宋简"/>
          <w:sz w:val="24"/>
          <w:szCs w:val="32"/>
          <w:lang w:val="en-US" w:eastAsia="zh-CN"/>
        </w:rPr>
        <w:br w:type="textWrapping"/>
      </w:r>
      <w:r>
        <w:rPr>
          <w:rFonts w:hint="eastAsia" w:ascii="汉仪中宋简" w:hAnsi="汉仪中宋简" w:eastAsia="汉仪中宋简" w:cs="汉仪中宋简"/>
          <w:sz w:val="24"/>
          <w:szCs w:val="32"/>
          <w:lang w:val="en-US" w:eastAsia="zh-CN"/>
        </w:rPr>
        <w:t>日期：2025年12月11日</w:t>
      </w:r>
    </w:p>
    <w:bookmarkEnd w:id="3"/>
    <w:bookmarkEnd w:id="4"/>
    <w:bookmarkEnd w:id="5"/>
    <w:bookmarkEnd w:id="6"/>
    <w:p ns2:paraId="363E8080">
      <w:pPr>
        <w:rPr>
          <w:rFonts w:hint="eastAsia" w:ascii="汉仪中宋简" w:hAnsi="汉仪中宋简" w:eastAsia="汉仪中宋简" w:cs="汉仪中宋简"/>
          <w:b/>
          <w:lang w:val="en-US" w:eastAsia="zh-CN"/>
        </w:rPr>
        <w:sectPr>
          <w:footerReference ns9: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ns2:paraId="2FEDE721">
      <w:pPr>
        <w:rPr>
          <w:rFonts w:hint="eastAsia" w:ascii="汉仪中宋简" w:hAnsi="汉仪中宋简" w:eastAsia="汉仪中宋简" w:cs="汉仪中宋简"/>
          <w:b/>
          <w:lang w:val="en-US" w:eastAsia="zh-CN"/>
        </w:rPr>
      </w:pPr>
    </w:p>
    <w:sdt>
      <w:sdtPr>
        <w:rPr>
          <w:rFonts w:hint="eastAsia" w:ascii="汉仪中宋简" w:hAnsi="汉仪中宋简" w:eastAsia="汉仪中宋简" w:cs="汉仪中宋简"/>
          <w:b/>
          <w:bCs/>
          <w:kern w:val="2"/>
          <w:sz w:val="21"/>
          <w:szCs w:val="24"/>
          <w:lang w:val="en-US" w:eastAsia="zh-CN" w:bidi="ar-SA"/>
        </w:rPr>
        <w:id w:val="147466021"/>
        <ns10:color w:val="DBDBDB"/>
        <w:docPartObj>
          <w:docPartGallery w:val="Table of Contents"/>
          <w:docPartUnique/>
        </w:docPartObj>
      </w:sdtPr>
      <w:sdtEndPr>
        <w:rPr>
          <w:rFonts w:hint="eastAsia" w:ascii="汉仪中宋简" w:hAnsi="汉仪中宋简" w:eastAsia="汉仪中宋简" w:cs="汉仪中宋简"/>
          <w:b/>
          <w:bCs/>
          <w:kern w:val="2"/>
          <w:sz w:val="21"/>
          <w:szCs w:val="24"/>
          <w:lang w:val="en-US" w:eastAsia="zh-CN" w:bidi="ar-SA"/>
        </w:rPr>
      </w:sdtEndPr>
      <w:sdtContent>
        <w:p ns2:paraId="40F87C1A">
          <w:pPr>
            <w:keepNext w:val="0"/>
            <w:keepLines w:val="0"/>
            <w:pageBreakBefore w:val="0"/>
            <w:widowControl w:val="0"/>
            <w:kinsoku/>
            <w:wordWrap/>
            <w:overflowPunct/>
            <w:topLinePunct w:val="0"/>
            <w:autoSpaceDE/>
            <w:autoSpaceDN/>
            <w:bidi w:val="0"/>
            <w:adjustRightInd/>
            <w:snapToGrid/>
            <w:spacing w:before="157" w:beforeLines="50" w:after="157" w:afterLines="50" w:line="480" w:lineRule="auto"/>
            <w:ind w:left="0" w:leftChars="0" w:right="0" w:rightChars="0" w:firstLine="0" w:firstLineChars="0"/>
            <w:jc w:val="center"/>
            <w:textAlignment w:val="auto"/>
            <w:rPr>
              <w:rFonts w:hint="eastAsia" w:ascii="汉仪中宋简" w:hAnsi="汉仪中宋简" w:eastAsia="汉仪中宋简" w:cs="汉仪中宋简"/>
              <w:kern w:val="2"/>
              <w:sz w:val="21"/>
              <w:szCs w:val="24"/>
              <w:lang w:val="en-US" w:eastAsia="zh-CN" w:bidi="ar-SA"/>
            </w:rPr>
          </w:pPr>
          <w:r>
            <w:rPr>
              <w:rFonts w:hint="eastAsia" w:ascii="汉仪中宋简" w:hAnsi="汉仪中宋简" w:eastAsia="汉仪中宋简" w:cs="汉仪中宋简"/>
              <w:b/>
              <w:bCs/>
              <w:sz w:val="40"/>
              <w:szCs w:val="40"/>
            </w:rPr>
            <w:t>目录</w:t>
          </w:r>
          <w:r>
            <w:rPr>
              <w:rFonts w:hint="eastAsia" w:ascii="汉仪中宋简" w:hAnsi="汉仪中宋简" w:eastAsia="汉仪中宋简" w:cs="汉仪中宋简"/>
            </w:rPr>
            <w:fldChar w:fldCharType="begin"/>
          </w:r>
          <w:r>
            <w:rPr>
              <w:rFonts w:hint="eastAsia" w:ascii="汉仪中宋简" w:hAnsi="汉仪中宋简" w:eastAsia="汉仪中宋简" w:cs="汉仪中宋简"/>
            </w:rPr>
            <w:instrText xml:space="preserve">TOC \o "1-2" \h \u </w:instrText>
          </w:r>
          <w:r>
            <w:rPr>
              <w:rFonts w:hint="eastAsia" w:ascii="汉仪中宋简" w:hAnsi="汉仪中宋简" w:eastAsia="汉仪中宋简" w:cs="汉仪中宋简"/>
            </w:rPr>
            <w:fldChar w:fldCharType="separate"/>
          </w:r>
        </w:p>
        <w:p ns2:paraId="3E960E78">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_Toc2436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前言</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_Toc2436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7AA5F2FB">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_Toc29577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 xml:space="preserve">一、 </w:t>
          </w:r>
          <w:r>
            <w:rPr>
              <w:rFonts w:hint="eastAsia" w:ascii="汉仪中宋简" w:hAnsi="汉仪中宋简" w:eastAsia="汉仪中宋简" w:cs="汉仪中宋简"/>
              <w:sz w:val="28"/>
              <w:szCs w:val="28"/>
              <w:highlight w:val="none"/>
              <w:lang w:val="en-US" w:eastAsia="zh-CN"/>
            </w:rPr>
            <w:t>项目背景</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_Toc29577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2</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40A67AD7">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_Toc26883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 xml:space="preserve">二、 </w:t>
          </w:r>
          <w:r>
            <w:rPr>
              <w:rFonts w:hint="eastAsia" w:ascii="汉仪中宋简" w:hAnsi="汉仪中宋简" w:eastAsia="汉仪中宋简" w:cs="汉仪中宋简"/>
              <w:sz w:val="28"/>
              <w:szCs w:val="28"/>
              <w:highlight w:val="none"/>
              <w:lang w:val="en-US" w:eastAsia="zh-CN"/>
            </w:rPr>
            <w:t>项目开展情况</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_Toc26883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2</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65E8BCBD">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_Toc17641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 xml:space="preserve">三、 </w:t>
          </w:r>
          <w:r>
            <w:rPr>
              <w:rFonts w:hint="eastAsia" w:ascii="汉仪中宋简" w:hAnsi="汉仪中宋简" w:eastAsia="汉仪中宋简" w:cs="汉仪中宋简"/>
              <w:sz w:val="28"/>
              <w:szCs w:val="28"/>
              <w:highlight w:val="none"/>
              <w:lang w:val="en-US" w:eastAsia="zh-CN"/>
            </w:rPr>
            <w:t>问卷说明</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_Toc17641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3</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13AE118E">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_Toc14182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四、 问卷结果分析</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_Toc14182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4</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3CB82E87">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_Toc23502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4.1药品疗效</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_Toc23502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5</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45DE5ED2">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_Toc4015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highlight w:val="none"/>
              <w:lang w:val="en-US" w:eastAsia="zh-CN"/>
            </w:rPr>
            <w:t>4.2药品安全性</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_Toc4015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6</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5F8A7B92">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_Toc4788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4.3用药行为与习惯​</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_Toc4788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7</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33D4F51E">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_Toc26585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4.4用药便利性</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_Toc26585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10</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1A49DB67">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_Toc24377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4.5药品经济性</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_Toc24377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12</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69C28F1E">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_Toc8285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4.6药品可及性</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_Toc8285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13</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35ADE83F">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_Toc1050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4.7用药指导信息评价</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_Toc1050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14</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2942BE44">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_Toc19608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五、 调研结果</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_Toc19608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16</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7F1F4112">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_Toc7275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5.1问卷重点问题分析</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_Toc7275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16</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06EB4282">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_Toc25533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highlight w:val="none"/>
              <w:lang w:val="en-US" w:eastAsia="zh-CN"/>
            </w:rPr>
            <w:t>5.2调研结果分析</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_Toc25533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18</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59359071">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_Toc4442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highlight w:val="none"/>
              <w:lang w:val="en-US" w:eastAsia="zh-CN"/>
            </w:rPr>
            <w:t>5.3建议</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_Toc4442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19</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7BF03D17">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_Toc17910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附件1：厄贝沙坦氢氯噻嗪片用药体验与疗效反馈患者调查问卷</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_Toc17910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21</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284CEFBC">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_Toc22330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highlight w:val="none"/>
              <w:lang w:val="en-US" w:eastAsia="zh-CN"/>
            </w:rPr>
            <w:t>附件2：问卷调查明细表</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_Toc22330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25</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2DE77654">
          <w:pPr>
            <w:pStyle w:val="7"/>
            <w:tabs>
              <w:tab w:val="right" w:leader="dot" w:pos="8306"/>
            </w:tabs>
            <w:rPr>
              <w:rFonts w:hint="eastAsia" w:ascii="汉仪中宋简" w:hAnsi="汉仪中宋简" w:eastAsia="汉仪中宋简" w:cs="汉仪中宋简"/>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_Toc8154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免责申明</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_Toc8154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26</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324C758E">
          <w:pPr>
            <w:keepNext w:val="0"/>
            <w:keepLines w:val="0"/>
            <w:pageBreakBefore w:val="0"/>
            <w:widowControl w:val="0"/>
            <w:kinsoku/>
            <w:wordWrap/>
            <w:overflowPunct/>
            <w:topLinePunct w:val="0"/>
            <w:autoSpaceDE/>
            <w:autoSpaceDN/>
            <w:bidi w:val="0"/>
            <w:adjustRightInd/>
            <w:snapToGrid/>
            <w:spacing w:before="0" w:beforeLines="0" w:after="0" w:afterLines="0" w:line="480" w:lineRule="auto"/>
            <w:ind w:left="0" w:leftChars="0" w:right="0" w:rightChars="0" w:firstLine="0" w:firstLineChars="0"/>
            <w:jc w:val="center"/>
            <w:textAlignment w:val="auto"/>
            <w:rPr>
              <w:rFonts w:hint="eastAsia" w:ascii="汉仪中宋简" w:hAnsi="汉仪中宋简" w:eastAsia="汉仪中宋简" w:cs="汉仪中宋简"/>
            </w:rPr>
          </w:pPr>
          <w:r>
            <w:rPr>
              <w:rFonts w:hint="eastAsia" w:ascii="汉仪中宋简" w:hAnsi="汉仪中宋简" w:eastAsia="汉仪中宋简" w:cs="汉仪中宋简"/>
            </w:rPr>
            <w:fldChar w:fldCharType="end"/>
          </w:r>
        </w:p>
      </w:sdtContent>
    </w:sdt>
    <w:p ns2:paraId="2F7C28CF">
      <w:pPr>
        <w:pStyle w:val="2"/>
        <w:bidi w:val="0"/>
        <w:jc w:val="center"/>
        <w:rPr>
          <w:rFonts w:hint="eastAsia" w:ascii="汉仪中宋简" w:hAnsi="汉仪中宋简" w:eastAsia="汉仪中宋简" w:cs="汉仪中宋简"/>
          <w:lang w:val="en-US" w:eastAsia="zh-CN"/>
        </w:rPr>
        <w:sectPr>
          <w:footerReference ns9: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bookmarkStart w:id="7" w:name="_Toc2436"/>
    </w:p>
    <w:p ns2:paraId="6C8E94F9">
      <w:pPr>
        <w:pStyle w:val="2"/>
        <w:bidi w:val="0"/>
        <w:jc w:val="center"/>
        <w:rPr>
          <w:rFonts w:hint="eastAsia" w:ascii="汉仪中宋简" w:hAnsi="汉仪中宋简" w:eastAsia="汉仪中宋简" w:cs="汉仪中宋简"/>
          <w:lang w:val="en-US" w:eastAsia="zh-CN"/>
        </w:rPr>
      </w:pPr>
      <w:r>
        <w:rPr>
          <w:rFonts w:hint="eastAsia" w:ascii="汉仪中宋简" w:hAnsi="汉仪中宋简" w:eastAsia="汉仪中宋简" w:cs="汉仪中宋简"/>
          <w:lang w:val="en-US" w:eastAsia="zh-CN"/>
        </w:rPr>
        <w:t>前言</w:t>
      </w:r>
      <w:bookmarkEnd w:id="7"/>
    </w:p>
    <w:p ns2:paraId="7D65B80C">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pPr>
      <w:r>
        <w:rPr>
          <w:rFonts w:hint="eastAsia" w:ascii="汉仪中宋简" w:hAnsi="汉仪中宋简" w:eastAsia="汉仪中宋简" w:cs="汉仪中宋简"/>
          <w:sz w:val="24"/>
          <w:szCs w:val="32"/>
          <w:highlight w:val="none"/>
          <w:lang w:val="en-US" w:eastAsia="zh-CN"/>
        </w:rPr>
        <w:t>高血压作为一种常见的慢性心血管疾病，需要长期规范用药来控制病情，降低心脑血管并发症的发生风险。厄贝沙坦氢氯噻嗪片作为临床常用的复方降压药物，其疗效、安全性及患者用药体验直接影响治疗依从性和疾病控制效果。为全面了解患者服用厄贝沙坦氢氯噻嗪片的实际情况，精准掌握药物在临床应用中的优势与不足，为临床用药优化、药品服务提升提供数据支撑，特开展本次患者用药体验与疗效反馈问卷调查工作。本报告将对本次调研的背景、开展情况、问卷内容及调查结果进行系统分析，形成针对性结论与建议。</w:t>
      </w:r>
    </w:p>
    <w:p ns2:paraId="3B619499">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sectPr>
          <w:footerReference ns9: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ns2:paraId="041B3149">
      <w:pPr>
        <w:keepNext w:val="0"/>
        <w:keepLines w:val="0"/>
        <w:pageBreakBefore w:val="0"/>
        <w:widowControl w:val="0"/>
        <w:kinsoku/>
        <w:wordWrap/>
        <w:overflowPunct/>
        <w:topLinePunct w:val="0"/>
        <w:autoSpaceDE/>
        <w:autoSpaceDN/>
        <w:bidi w:val="0"/>
        <w:adjustRightInd/>
        <w:snapToGrid/>
        <w:spacing w:before="157" w:beforeLines="50" w:after="157" w:afterLines="50" w:line="480" w:lineRule="auto"/>
        <w:jc w:val="center"/>
        <w:textAlignment w:val="auto"/>
        <w:rPr>
          <w:rFonts w:hint="eastAsia" w:ascii="汉仪中宋简" w:hAnsi="汉仪中宋简" w:eastAsia="汉仪中宋简" w:cs="汉仪中宋简"/>
          <w:b/>
          <w:bCs/>
          <w:sz w:val="44"/>
          <w:szCs w:val="44"/>
          <w:lang w:val="en-US" w:eastAsia="zh-CN"/>
        </w:rPr>
      </w:pPr>
      <w:bookmarkStart w:id="8" w:name="_Toc31976"/>
      <w:bookmarkStart w:id="9" w:name="_Toc6219"/>
      <w:bookmarkStart w:id="10" w:name="_Toc18642"/>
      <w:r>
        <w:rPr>
          <w:rFonts w:hint="eastAsia" w:ascii="汉仪中宋简" w:hAnsi="汉仪中宋简" w:eastAsia="汉仪中宋简" w:cs="汉仪中宋简"/>
          <w:b/>
          <w:bCs/>
          <w:sz w:val="44"/>
          <w:szCs w:val="44"/>
          <w:lang w:val="en-US" w:eastAsia="zh-CN"/>
        </w:rPr>
        <w:t>厄贝沙坦氢氯噻嗪片用药体验与疗效反馈患者调查问卷分析报告</w:t>
      </w:r>
      <w:bookmarkEnd w:id="8"/>
      <w:bookmarkEnd w:id="9"/>
      <w:bookmarkEnd w:id="10"/>
    </w:p>
    <w:p ns2:paraId="20E32FAB">
      <w:pPr>
        <w:pStyle w:val="3"/>
        <w:numPr>
          <w:ilvl w:val="0"/>
          <w:numId w:val="1"/>
        </w:numPr>
        <w:bidi w:val="0"/>
        <w:outlineLvl w:val="0"/>
        <w:rPr>
          <w:rFonts w:hint="eastAsia" w:ascii="汉仪中宋简" w:hAnsi="汉仪中宋简" w:eastAsia="汉仪中宋简" w:cs="汉仪中宋简"/>
          <w:b/>
          <w:highlight w:val="none"/>
          <w:lang w:val="en-US" w:eastAsia="zh-CN"/>
        </w:rPr>
      </w:pPr>
      <w:bookmarkStart w:id="11" w:name="_Toc29577"/>
      <w:r>
        <w:rPr>
          <w:rFonts w:hint="eastAsia" w:ascii="汉仪中宋简" w:hAnsi="汉仪中宋简" w:eastAsia="汉仪中宋简" w:cs="汉仪中宋简"/>
          <w:b/>
          <w:highlight w:val="none"/>
          <w:lang w:val="en-US" w:eastAsia="zh-CN"/>
        </w:rPr>
        <w:t>项目背景</w:t>
      </w:r>
      <w:bookmarkEnd w:id="11"/>
    </w:p>
    <w:p ns2:paraId="33023550">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24"/>
          <w:highlight w:val="none"/>
          <w:lang w:val="en-US" w:eastAsia="zh-CN"/>
        </w:rPr>
      </w:pPr>
      <w:r>
        <w:rPr>
          <w:rFonts w:hint="eastAsia" w:ascii="汉仪中宋简" w:hAnsi="汉仪中宋简" w:eastAsia="汉仪中宋简" w:cs="汉仪中宋简"/>
          <w:sz w:val="24"/>
          <w:szCs w:val="24"/>
          <w:highlight w:val="none"/>
          <w:lang w:val="en-US" w:eastAsia="zh-CN"/>
        </w:rPr>
        <w:t>随着我国居民生活方式的改变和人口老龄化进程的加快，高血压患病率呈逐年上升趋势，已成为影响国民健康的重要公共卫生问题。厄贝沙坦氢氯噻嗪片通过厄贝沙坦（血管紧张素II受体拮抗剂）与氢氯噻嗪（利尿剂）的协同作用实现降压效果，具有降压平稳、适用人群广等特点，在高血压治疗中应用广泛。然而，在实际临床应用中，不同患者的用药反应、疗效感知、用药习惯存在差异，且药品的安全性、便利性、经济性等因素也会对患者的治疗依从性产生重要影响。</w:t>
      </w:r>
    </w:p>
    <w:p ns2:paraId="1AA41BF6">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24"/>
          <w:highlight w:val="none"/>
          <w:lang w:val="en-US" w:eastAsia="zh-CN"/>
        </w:rPr>
      </w:pPr>
      <w:r>
        <w:rPr>
          <w:rFonts w:hint="eastAsia" w:ascii="汉仪中宋简" w:hAnsi="汉仪中宋简" w:eastAsia="汉仪中宋简" w:cs="汉仪中宋简"/>
          <w:sz w:val="24"/>
          <w:szCs w:val="24"/>
          <w:highlight w:val="none"/>
          <w:lang w:val="en-US" w:eastAsia="zh-CN"/>
        </w:rPr>
        <w:t>当前，关于厄贝沙坦氢氯噻嗪片的临床研究多集中于疗效和安全性的客观指标监测，而从患者主观体验视角的系统性调研较为缺乏。基于此，开展本次患者问卷调查，旨在弥补现有研究的不足，全面收集患者在用药疗效、安全性、行为习惯、便利性、经济性等方面的反馈信息，为药品临床合理应用、制药企业优化产品设计、医疗机构提升用药指导服务质量提供科学依据。</w:t>
      </w:r>
    </w:p>
    <w:p ns2:paraId="5BFBAEDB">
      <w:pPr>
        <w:pStyle w:val="3"/>
        <w:numPr>
          <w:ilvl w:val="0"/>
          <w:numId w:val="1"/>
        </w:numPr>
        <w:bidi w:val="0"/>
        <w:outlineLvl w:val="0"/>
        <w:rPr>
          <w:rFonts w:hint="eastAsia" w:ascii="汉仪中宋简" w:hAnsi="汉仪中宋简" w:eastAsia="汉仪中宋简" w:cs="汉仪中宋简"/>
          <w:b/>
          <w:highlight w:val="none"/>
          <w:lang w:val="en-US" w:eastAsia="zh-CN"/>
        </w:rPr>
      </w:pPr>
      <w:bookmarkStart w:id="12" w:name="_Toc26883"/>
      <w:r>
        <w:rPr>
          <w:rFonts w:hint="eastAsia" w:ascii="汉仪中宋简" w:hAnsi="汉仪中宋简" w:eastAsia="汉仪中宋简" w:cs="汉仪中宋简"/>
          <w:b/>
          <w:highlight w:val="none"/>
          <w:lang w:val="en-US" w:eastAsia="zh-CN"/>
        </w:rPr>
        <w:t>项目开展情况</w:t>
      </w:r>
      <w:bookmarkEnd w:id="12"/>
    </w:p>
    <w:p ns2:paraId="1BBB4EDB">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pPr>
      <w:r>
        <w:rPr>
          <w:rFonts w:hint="eastAsia" w:ascii="汉仪中宋简" w:hAnsi="汉仪中宋简" w:eastAsia="汉仪中宋简" w:cs="汉仪中宋简"/>
          <w:sz w:val="24"/>
          <w:szCs w:val="32"/>
          <w:highlight w:val="none"/>
          <w:lang w:val="en-US" w:eastAsia="zh-CN"/>
        </w:rPr>
        <w:t>项目工具：调查问卷，14道选择题，其内容涵盖药品疗效、药品安全性、患者用药行为与习惯、用药便利性、药品经济性、药品可及性和用药指导信息评价7个维度，全面覆盖患者用药全流程关键节点。</w:t>
      </w:r>
    </w:p>
    <w:p ns2:paraId="651D8FD0">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pPr>
      <w:r>
        <w:rPr>
          <w:rFonts w:hint="eastAsia" w:ascii="汉仪中宋简" w:hAnsi="汉仪中宋简" w:eastAsia="汉仪中宋简" w:cs="汉仪中宋简"/>
          <w:sz w:val="24"/>
          <w:szCs w:val="32"/>
          <w:highlight w:val="none"/>
          <w:lang w:val="en-US" w:eastAsia="zh-CN"/>
        </w:rPr>
        <w:t>样本采集范围：广东省</w:t>
      </w:r>
    </w:p>
    <w:p ns2:paraId="3B93953C">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pPr>
      <w:r>
        <w:rPr>
          <w:rFonts w:hint="eastAsia" w:ascii="汉仪中宋简" w:hAnsi="汉仪中宋简" w:eastAsia="汉仪中宋简" w:cs="汉仪中宋简"/>
          <w:sz w:val="24"/>
          <w:szCs w:val="32"/>
          <w:highlight w:val="none"/>
          <w:lang w:val="en-US" w:eastAsia="zh-CN"/>
        </w:rPr>
        <w:t>样本采集数量：本次共收集筛选到有效问卷1642份。</w:t>
      </w:r>
    </w:p>
    <w:p ns2:paraId="2AC14513">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highlight w:val="none"/>
          <w:lang w:val="en-US" w:eastAsia="zh-CN"/>
        </w:rPr>
      </w:pPr>
      <w:r>
        <w:rPr>
          <w:rFonts w:hint="eastAsia" w:ascii="汉仪中宋简" w:hAnsi="汉仪中宋简" w:eastAsia="汉仪中宋简" w:cs="汉仪中宋简"/>
          <w:sz w:val="24"/>
          <w:szCs w:val="32"/>
          <w:highlight w:val="none"/>
          <w:lang w:val="en-US" w:eastAsia="zh-CN"/>
        </w:rPr>
        <w:t>样本采集时间：2025年11月01日——2025年11月30日</w:t>
      </w:r>
    </w:p>
    <w:p ns2:paraId="45E0F945">
      <w:pPr>
        <w:pStyle w:val="3"/>
        <w:numPr>
          <w:ilvl w:val="0"/>
          <w:numId w:val="1"/>
        </w:numPr>
        <w:bidi w:val="0"/>
        <w:outlineLvl w:val="0"/>
        <w:rPr>
          <w:rFonts w:hint="eastAsia" w:ascii="汉仪中宋简" w:hAnsi="汉仪中宋简" w:eastAsia="汉仪中宋简" w:cs="汉仪中宋简"/>
          <w:b/>
          <w:highlight w:val="none"/>
          <w:lang w:val="en-US" w:eastAsia="zh-CN"/>
        </w:rPr>
      </w:pPr>
      <w:bookmarkStart w:id="13" w:name="_Toc17641"/>
      <w:r>
        <w:rPr>
          <w:rFonts w:hint="eastAsia" w:ascii="汉仪中宋简" w:hAnsi="汉仪中宋简" w:eastAsia="汉仪中宋简" w:cs="汉仪中宋简"/>
          <w:b/>
          <w:highlight w:val="none"/>
          <w:lang w:val="en-US" w:eastAsia="zh-CN"/>
        </w:rPr>
        <w:t>问卷说明</w:t>
      </w:r>
      <w:bookmarkEnd w:id="13"/>
    </w:p>
    <w:p ns2:paraId="709CC835">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highlight w:val="none"/>
          <w:lang w:val="en-US" w:eastAsia="zh-CN"/>
        </w:rPr>
      </w:pPr>
      <w:r>
        <w:rPr>
          <w:rFonts w:hint="eastAsia" w:ascii="汉仪中宋简" w:hAnsi="汉仪中宋简" w:eastAsia="汉仪中宋简" w:cs="汉仪中宋简"/>
          <w:sz w:val="24"/>
          <w:szCs w:val="32"/>
          <w:highlight w:val="none"/>
          <w:lang w:val="en-US" w:eastAsia="zh-CN"/>
        </w:rPr>
        <w:t>为提升数据可比性与分析结果的科学性，本研究采用以下标准化统计处理方法对原始问卷数据进行系统规整：</w:t>
      </w:r>
    </w:p>
    <w:p ns2:paraId="3CA3D392">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pPr>
      <w:r>
        <w:rPr>
          <w:rFonts w:hint="eastAsia" w:ascii="汉仪中宋简" w:hAnsi="汉仪中宋简" w:eastAsia="汉仪中宋简" w:cs="汉仪中宋简"/>
          <w:sz w:val="24"/>
          <w:szCs w:val="32"/>
          <w:highlight w:val="none"/>
          <w:lang w:val="en-US" w:eastAsia="zh-CN"/>
        </w:rPr>
        <w:t>1．数据清洗：剔除无效作答、关键信息缺失等数据，保障分析数据集的完整性与可靠性。</w:t>
      </w:r>
    </w:p>
    <w:p ns2:paraId="75936C4F">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pPr>
      <w:r>
        <w:rPr>
          <w:rFonts w:hint="eastAsia" w:ascii="汉仪中宋简" w:hAnsi="汉仪中宋简" w:eastAsia="汉仪中宋简" w:cs="汉仪中宋简"/>
          <w:sz w:val="24"/>
          <w:szCs w:val="32"/>
          <w:highlight w:val="none"/>
          <w:lang w:val="en-US" w:eastAsia="zh-CN"/>
        </w:rPr>
        <w:t>2．数据转换：根据分析需求对原始数据进行标准化转换，使其适配后续统计与分析逻辑，提升数据利用效率。</w:t>
      </w:r>
    </w:p>
    <w:p ns2:paraId="1E40B848">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pPr>
      <w:r>
        <w:rPr>
          <w:rFonts w:hint="eastAsia" w:ascii="汉仪中宋简" w:hAnsi="汉仪中宋简" w:eastAsia="汉仪中宋简" w:cs="汉仪中宋简"/>
          <w:sz w:val="24"/>
          <w:szCs w:val="32"/>
          <w:highlight w:val="none"/>
          <w:lang w:val="en-US" w:eastAsia="zh-CN"/>
        </w:rPr>
        <w:t>3．数据聚合：对维度相近或类别关联的数据进行归类整合，形成结构化分析指标，简化数据解读难度。</w:t>
      </w:r>
    </w:p>
    <w:p ns2:paraId="7B23C77E">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pPr>
      <w:r>
        <w:rPr>
          <w:rFonts w:hint="eastAsia" w:ascii="汉仪中宋简" w:hAnsi="汉仪中宋简" w:eastAsia="汉仪中宋简" w:cs="汉仪中宋简"/>
          <w:sz w:val="24"/>
          <w:szCs w:val="32"/>
          <w:highlight w:val="none"/>
          <w:lang w:val="en-US" w:eastAsia="zh-CN"/>
        </w:rPr>
        <w:t>4．数据可视化：采用饼图、柱状图等可视化工具，直观呈现数据分布特征与内在关联规律。</w:t>
      </w:r>
    </w:p>
    <w:p ns2:paraId="687C494E">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pPr>
      <w:r>
        <w:rPr>
          <w:rFonts w:hint="eastAsia" w:ascii="汉仪中宋简" w:hAnsi="汉仪中宋简" w:eastAsia="汉仪中宋简" w:cs="汉仪中宋简"/>
          <w:sz w:val="24"/>
          <w:szCs w:val="32"/>
          <w:highlight w:val="none"/>
          <w:lang w:val="en-US" w:eastAsia="zh-CN"/>
        </w:rPr>
        <w:t>通过上述标准化数据处理流程，有效强化了不同维度数据间的可比性，确保研究结论的客观性与可信度。</w:t>
      </w:r>
    </w:p>
    <w:p ns2:paraId="00BB390D">
      <w:pPr>
        <w:pStyle w:val="3"/>
        <w:numPr>
          <w:ilvl w:val="0"/>
          <w:numId w:val="1"/>
        </w:numPr>
        <w:bidi w:val="0"/>
        <w:outlineLvl w:val="0"/>
        <w:rPr>
          <w:rFonts w:hint="eastAsia" w:ascii="汉仪中宋简" w:hAnsi="汉仪中宋简" w:eastAsia="汉仪中宋简" w:cs="汉仪中宋简"/>
          <w:b/>
          <w:lang w:val="en-US" w:eastAsia="zh-CN"/>
        </w:rPr>
      </w:pPr>
      <w:bookmarkStart w:id="14" w:name="_Toc14182"/>
      <w:r>
        <w:rPr>
          <w:rFonts w:hint="eastAsia" w:ascii="汉仪中宋简" w:hAnsi="汉仪中宋简" w:eastAsia="汉仪中宋简" w:cs="汉仪中宋简"/>
          <w:b/>
          <w:lang w:val="en-US" w:eastAsia="zh-CN"/>
        </w:rPr>
        <w:t>问卷结果分析</w:t>
      </w:r>
      <w:bookmarkEnd w:id="14"/>
    </w:p>
    <w:p ns2:paraId="795A2C94">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本次调查采用问卷调查方式，共有14个问题，本报告从药品疗效、药品安全性、患者用药行为与习惯、用药便利性、药品经济性、药品可及性用药指导信息评价等7个维度展开统计分析。</w:t>
      </w:r>
    </w:p>
    <w:p ns2:paraId="12FB187E">
      <w:pPr>
        <w:keepNext w:val="0"/>
        <w:keepLines w:val="0"/>
        <w:pageBreakBefore w:val="0"/>
        <w:widowControl w:val="0"/>
        <w:numPr>
          <w:ilvl w:val="0"/>
          <w:numId w:val="0"/>
        </w:numPr>
        <w:kinsoku/>
        <w:wordWrap/>
        <w:overflowPunct/>
        <w:topLinePunct w:val="0"/>
        <w:autoSpaceDE/>
        <w:autoSpaceDN/>
        <w:bidi w:val="0"/>
        <w:adjustRightInd/>
        <w:snapToGrid/>
        <w:spacing w:line="600" w:lineRule="auto"/>
        <w:textAlignment w:val="auto"/>
        <w:rPr>
          <w:rFonts w:hint="eastAsia" w:ascii="汉仪中宋简" w:hAnsi="汉仪中宋简" w:eastAsia="汉仪中宋简" w:cs="汉仪中宋简"/>
        </w:rPr>
      </w:pPr>
      <w:r>
        <w:rPr>
          <w:rFonts w:hint="eastAsia" w:ascii="汉仪中宋简" w:hAnsi="汉仪中宋简" w:eastAsia="汉仪中宋简" w:cs="汉仪中宋简"/>
          <w:sz w:val="24"/>
          <w:szCs w:val="32"/>
          <w:lang w:val="en-US" w:eastAsia="zh-CN"/>
        </w:rPr>
        <w:drawing>
          <ns3:inline distT="0" distB="0" distL="114300" distR="114300">
            <ns3:extent cx="5238750" cy="4293235"/>
            <ns3:effectExtent l="9525" t="9525" r="9525" b="15240"/>
            <ns3:docPr id="7" name="图片 7"/>
            <ns3:cNvGraphicFramePr/>
            <ns4:graphic>
              <ns4:graphicData uri="http://schemas.openxmlformats.org/drawingml/2006/picture">
                <ns8:pic>
                  <ns8:nvPicPr>
                    <ns8:cNvPr id="7" name="图片 7"/>
                    <ns8:cNvPicPr/>
                  </ns8:nvPicPr>
                  <ns8:blipFill>
                    <ns4:blip ns9:embed="rId10"/>
                    <ns4:stretch>
                      <ns4:fillRect/>
                    </ns4:stretch>
                  </ns8:blipFill>
                  <ns8:spPr>
                    <ns4:xfrm>
                      <ns4:off x="0" y="0"/>
                      <ns4:ext cx="5238750" cy="4293235"/>
                    </ns4:xfrm>
                    <ns4:prstGeom prst="rect">
                      <ns4:avLst/>
                    </ns4:prstGeom>
                    <ns4:ln>
                      <ns4:solidFill>
                        <ns4:srgbClr val="FFFFFF"/>
                      </ns4:solidFill>
                    </ns4:ln>
                    <ns4:extLst>
                      <ns4:ext uri="{8CAD56D8-0F58-4FB8-B24C-77498146470C}">
                        <ns11:webExtensionRef ns9:id="rId9"/>
                      </ns4:ext>
                      <ns11:webExtensionRef ns9:id="rId9"/>
                    </ns4:extLst>
                  </ns8:spPr>
                </ns8:pic>
              </ns4:graphicData>
            </ns4:graphic>
          </ns3:inline>
        </w:drawing>
      </w:r>
    </w:p>
    <w:p ns2:paraId="2A8B3975">
      <w:pPr>
        <w:keepNext w:val="0"/>
        <w:keepLines w:val="0"/>
        <w:pageBreakBefore w:val="0"/>
        <w:widowControl w:val="0"/>
        <w:numPr>
          <w:ilvl w:val="0"/>
          <w:numId w:val="0"/>
        </w:numPr>
        <w:kinsoku/>
        <w:wordWrap/>
        <w:overflowPunct/>
        <w:topLinePunct w:val="0"/>
        <w:autoSpaceDE/>
        <w:autoSpaceDN/>
        <w:bidi w:val="0"/>
        <w:adjustRightInd/>
        <w:snapToGrid/>
        <w:spacing w:line="600" w:lineRule="auto"/>
        <w:jc w:val="center"/>
        <w:textAlignment w:val="auto"/>
        <w:rPr>
          <w:rFonts w:hint="eastAsia" w:ascii="汉仪中宋简" w:hAnsi="汉仪中宋简" w:eastAsia="汉仪中宋简" w:cs="汉仪中宋简"/>
          <w:b w:val="0"/>
          <w:bCs w:val="0"/>
          <w:color w:val="000000" w:themeColor="text1"/>
          <w:sz w:val="24"/>
          <w:szCs w:val="24"/>
          <w:lang w:val="en-US" w:eastAsia="zh-CN"/>
          <ns2:textFill>
            <ns2:solidFill>
              <ns2:schemeClr ns2:val="tx1"/>
            </ns2:solidFill>
          </ns2:textFill>
        </w:rPr>
      </w:pPr>
      <w:r>
        <w:rPr>
          <w:rFonts w:hint="eastAsia" w:ascii="汉仪中宋简" w:hAnsi="汉仪中宋简" w:eastAsia="汉仪中宋简" w:cs="汉仪中宋简"/>
          <w:lang w:eastAsia="zh-CN"/>
        </w:rPr>
        <w:drawing>
          <ns3:inline distT="0" distB="0" distL="114300" distR="114300">
            <ns3:extent cx="5234305" cy="2489835"/>
            <ns3:effectExtent l="4445" t="4445" r="6350" b="45720"/>
            <ns3:docPr id="14" name="图表 14" descr="7b0a202020202263686172745265734964223a20223230343735383430220a7d0a"/>
            <ns3:cNvGraphicFramePr/>
            <ns4:graphic>
              <ns4:graphicData uri="http://schemas.openxmlformats.org/drawingml/2006/chart">
                <ns12:chart ns9:id="rId11"/>
              </ns4:graphicData>
            </ns4:graphic>
          </ns3:inline>
        </w:drawing>
      </w:r>
      <w:r>
        <w:rPr>
          <w:rFonts w:hint="eastAsia" w:ascii="汉仪中宋简" w:hAnsi="汉仪中宋简" w:eastAsia="汉仪中宋简" w:cs="汉仪中宋简"/>
          <w:lang w:eastAsia="zh-CN"/>
        </w:rPr>
        <w:drawing>
          <ns3:inline distT="0" distB="0" distL="114300" distR="114300">
            <ns3:extent cx="5240020" cy="2601595"/>
            <ns3:effectExtent l="4445" t="4445" r="13335" b="35560"/>
            <ns3:docPr id="11" name="图表 11" descr="7b0a202020202263686172745265734964223a20223230343735383430220a7d0a"/>
            <ns3:cNvGraphicFramePr/>
            <ns4:graphic>
              <ns4:graphicData uri="http://schemas.openxmlformats.org/drawingml/2006/chart">
                <ns12:chart ns9:id="rId12"/>
              </ns4:graphicData>
            </ns4:graphic>
          </ns3:inline>
        </w:drawing>
      </w:r>
    </w:p>
    <w:p ns2:paraId="6FEF9D0C">
      <w:pPr>
        <w:keepNext w:val="0"/>
        <w:keepLines w:val="0"/>
        <w:pageBreakBefore w:val="0"/>
        <w:widowControl w:val="0"/>
        <w:numPr>
          <w:ilvl w:val="0"/>
          <w:numId w:val="0"/>
        </w:numPr>
        <w:kinsoku/>
        <w:wordWrap/>
        <w:overflowPunct/>
        <w:topLinePunct w:val="0"/>
        <w:autoSpaceDE/>
        <w:autoSpaceDN/>
        <w:bidi w:val="0"/>
        <w:adjustRightInd/>
        <w:snapToGrid/>
        <w:spacing w:line="600" w:lineRule="auto"/>
        <w:jc w:val="both"/>
        <w:textAlignment w:val="auto"/>
        <w:rPr>
          <w:rFonts w:hint="eastAsia" w:ascii="汉仪中宋简" w:hAnsi="汉仪中宋简" w:eastAsia="汉仪中宋简" w:cs="汉仪中宋简"/>
          <w:lang w:val="en-US" w:eastAsia="zh-CN"/>
        </w:rPr>
      </w:pPr>
    </w:p>
    <w:p ns2:paraId="062BDC27">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5" w:name="_Toc23502"/>
      <w:r>
        <w:rPr>
          <w:rFonts w:hint="eastAsia" w:ascii="汉仪中宋简" w:hAnsi="汉仪中宋简" w:eastAsia="汉仪中宋简" w:cs="汉仪中宋简"/>
          <w:lang w:val="en-US" w:eastAsia="zh-CN"/>
        </w:rPr>
        <w:t>4.1药品疗效</w:t>
      </w:r>
      <w:bookmarkEnd w:id="15"/>
    </w:p>
    <w:p ns2:paraId="309B9A6C">
      <w:pPr>
        <w:pStyle w:val="4"/>
        <w:keepNext/>
        <w:keepLines/>
        <w:pageBreakBefore w:val="0"/>
        <w:widowControl w:val="0"/>
        <w:numPr>
          <w:ilvl w:val="0"/>
          <w:numId w:val="2"/>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血压控制效果分析</w:t>
      </w:r>
    </w:p>
    <w:tbl>
      <w:tblPr>
        <w:tblStyle w:val="10"/>
        <w:tblW w:w="510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24"/>
        <w:gridCol w:w="896"/>
        <w:gridCol w:w="1494"/>
        <w:gridCol w:w="1494"/>
        <w:gridCol w:w="1494"/>
        <w:gridCol w:w="1496"/>
      </w:tblGrid>
      <w:tr ns2:paraId="7EA3F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24"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8AD6E1E">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1.您服用厄贝沙坦氢氯噻嗪片后，血压控制效果如何？</w:t>
            </w:r>
          </w:p>
        </w:tc>
        <w:tc>
          <w:tcPr>
            <w:tcW w:w="89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1B2E7BCF">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36A4CE8">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A.血压稳定在正常范围</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D226F51">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B.血压多数时间在正常范围</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31F85F23">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C.血压偶尔超出正常范围</w:t>
            </w:r>
          </w:p>
        </w:tc>
        <w:tc>
          <w:tcPr>
            <w:tcW w:w="149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76F4B2D">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D.血压持续超出正常范围</w:t>
            </w:r>
          </w:p>
        </w:tc>
      </w:tr>
      <w:tr ns2:paraId="24BA0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24"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17E325A1">
            <w:pPr>
              <w:jc w:val="center"/>
              <w:rPr>
                <w:rFonts w:hint="eastAsia" w:ascii="汉仪中宋简" w:hAnsi="汉仪中宋简" w:eastAsia="汉仪中宋简" w:cs="汉仪中宋简"/>
                <w:b/>
                <w:bCs/>
                <w:i w:val="0"/>
                <w:iCs w:val="0"/>
                <w:color w:val="000000"/>
                <w:sz w:val="21"/>
                <w:szCs w:val="21"/>
                <w:u w:val="none"/>
              </w:rPr>
            </w:pPr>
          </w:p>
        </w:tc>
        <w:tc>
          <w:tcPr>
            <w:tcW w:w="89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70A805CD">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样本量</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8889C9E">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738</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18265E98">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804</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7328D70">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100</w:t>
            </w:r>
          </w:p>
        </w:tc>
        <w:tc>
          <w:tcPr>
            <w:tcW w:w="149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3B4C423E">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r>
      <w:tr ns2:paraId="7DBF7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24"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BB08899">
            <w:pPr>
              <w:jc w:val="center"/>
              <w:rPr>
                <w:rFonts w:hint="eastAsia" w:ascii="汉仪中宋简" w:hAnsi="汉仪中宋简" w:eastAsia="汉仪中宋简" w:cs="汉仪中宋简"/>
                <w:b/>
                <w:bCs/>
                <w:i w:val="0"/>
                <w:iCs w:val="0"/>
                <w:color w:val="000000"/>
                <w:sz w:val="21"/>
                <w:szCs w:val="21"/>
                <w:u w:val="none"/>
              </w:rPr>
            </w:pPr>
          </w:p>
        </w:tc>
        <w:tc>
          <w:tcPr>
            <w:tcW w:w="89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742B846">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占比</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F47C4A9">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44.95%</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3B0BF7C1">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48.96%</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34B33F64">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6.09%</w:t>
            </w:r>
          </w:p>
        </w:tc>
        <w:tc>
          <w:tcPr>
            <w:tcW w:w="149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3F13929">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r>
    </w:tbl>
    <w:p ns2:paraId="0107EF0C">
      <w:pPr>
        <w:rPr>
          <w:rFonts w:hint="eastAsia" w:ascii="汉仪中宋简" w:hAnsi="汉仪中宋简" w:eastAsia="汉仪中宋简" w:cs="汉仪中宋简"/>
          <w:lang w:val="en-US" w:eastAsia="zh-CN"/>
        </w:rPr>
      </w:pPr>
    </w:p>
    <w:p ns2:paraId="7DEDD867">
      <w:pPr>
        <w:keepNext w:val="0"/>
        <w:keepLines w:val="0"/>
        <w:pageBreakBefore w:val="0"/>
        <w:widowControl w:val="0"/>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调研结果呈现出极高的正向反馈比例。具体来看，44.95%的患者反馈血压能够稳定在正常范围，该部分患者通过规律服药实现了血压的精准管控，这是药物疗效达标的核心体现；48.96%的患者表示血压多数时间在正常范围，说明药物对该群体的血压调节具备持续有效性，仅在特殊生理状态或生活习惯波动时可能出现短暂波动，整体仍处于可控区间。两者合计占比高达93.91%，充分印证了厄贝沙坦氢氯噻嗪片作为复方降压药物的临床优势，其通过厄贝沙坦与氢氯噻嗪的协同作用，能够有效覆盖多数高血压患者的降压需求。此外，仅6.09%的患者存在血压偶尔超出正常范围的情况，无患者反馈血压持续失控，结合临床经验推测，该部分患者的血压波动可能与个体代谢差异、用药依从性细节偏差或生活方式干预不足相关，而非药物本身疗效不足，进一步说明该药物的整体疗效稳定性和可靠性。​</w:t>
      </w:r>
    </w:p>
    <w:p ns2:paraId="095C7902">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highlight w:val="none"/>
          <w:lang w:val="en-US" w:eastAsia="zh-CN"/>
        </w:rPr>
      </w:pPr>
      <w:bookmarkStart w:id="16" w:name="_Toc4015"/>
      <w:r>
        <w:rPr>
          <w:rFonts w:hint="eastAsia" w:ascii="汉仪中宋简" w:hAnsi="汉仪中宋简" w:eastAsia="汉仪中宋简" w:cs="汉仪中宋简"/>
          <w:highlight w:val="none"/>
          <w:lang w:val="en-US" w:eastAsia="zh-CN"/>
        </w:rPr>
        <w:t>4.2药品安全性</w:t>
      </w:r>
      <w:bookmarkEnd w:id="16"/>
    </w:p>
    <w:p ns2:paraId="24CF4E33">
      <w:pPr>
        <w:pStyle w:val="4"/>
        <w:keepNext/>
        <w:keepLines/>
        <w:pageBreakBefore w:val="0"/>
        <w:widowControl w:val="0"/>
        <w:numPr>
          <w:ilvl w:val="0"/>
          <w:numId w:val="3"/>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头晕头痛不良反应分析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853"/>
        <w:gridCol w:w="1434"/>
        <w:gridCol w:w="1434"/>
        <w:gridCol w:w="1434"/>
        <w:gridCol w:w="1435"/>
      </w:tblGrid>
      <w:tr ns2:paraId="4DC8D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665E77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2.您服用厄贝沙坦氢氯噻嗪片期间，是否出现过头晕、头痛症状？</w:t>
            </w:r>
          </w:p>
        </w:tc>
        <w:tc>
          <w:tcPr>
            <w:tcW w:w="85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657401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2F953B2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A.经常出现，症状严重</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34203C6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B.偶尔出现，症状轻微可忍受</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612A777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C.很少出现，几乎无感觉</w:t>
            </w:r>
          </w:p>
        </w:tc>
        <w:tc>
          <w:tcPr>
            <w:tcW w:w="143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FDF4EA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D.从未出现过</w:t>
            </w:r>
          </w:p>
        </w:tc>
      </w:tr>
      <w:tr ns2:paraId="1BFA2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48B34AA1">
            <w:pPr>
              <w:jc w:val="center"/>
              <w:rPr>
                <w:rFonts w:hint="eastAsia" w:ascii="汉仪中宋简" w:hAnsi="汉仪中宋简" w:eastAsia="汉仪中宋简" w:cs="汉仪中宋简"/>
                <w:b/>
                <w:bCs/>
                <w:i w:val="0"/>
                <w:iCs w:val="0"/>
                <w:color w:val="000000"/>
                <w:sz w:val="21"/>
                <w:szCs w:val="21"/>
                <w:u w:val="none"/>
              </w:rPr>
            </w:pPr>
          </w:p>
        </w:tc>
        <w:tc>
          <w:tcPr>
            <w:tcW w:w="85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5E9F0F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23C697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6B9E0C0D">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100</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E0274C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679</w:t>
            </w:r>
          </w:p>
        </w:tc>
        <w:tc>
          <w:tcPr>
            <w:tcW w:w="143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43BC792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863</w:t>
            </w:r>
          </w:p>
        </w:tc>
      </w:tr>
      <w:tr ns2:paraId="0F99E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6F4FD79">
            <w:pPr>
              <w:jc w:val="center"/>
              <w:rPr>
                <w:rFonts w:hint="eastAsia" w:ascii="汉仪中宋简" w:hAnsi="汉仪中宋简" w:eastAsia="汉仪中宋简" w:cs="汉仪中宋简"/>
                <w:b/>
                <w:bCs/>
                <w:i w:val="0"/>
                <w:iCs w:val="0"/>
                <w:color w:val="000000"/>
                <w:sz w:val="21"/>
                <w:szCs w:val="21"/>
                <w:u w:val="none"/>
              </w:rPr>
            </w:pPr>
          </w:p>
        </w:tc>
        <w:tc>
          <w:tcPr>
            <w:tcW w:w="85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BB906B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3C7C7E1D">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44DC1ED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6.09%</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07D4D82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41.35%</w:t>
            </w:r>
          </w:p>
        </w:tc>
        <w:tc>
          <w:tcPr>
            <w:tcW w:w="143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747184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52.56%</w:t>
            </w:r>
          </w:p>
        </w:tc>
      </w:tr>
    </w:tbl>
    <w:p ns2:paraId="67BFDFB0">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头晕、头痛是降压药物初期常见的不良反应，与血管扩张带来的脑部供血变化相关，其发生情况直接反映药物的安全性与患者耐受性。本次调研显示，52.56%的患者明确表示从未出现该症状，41.35%的患者反馈很少出现且几乎无感觉，两者合计占比93.91%，表明该药物对患者脑血管调节功能的影响极小，多数患者可快速适应药物作用。仅6.09%的患者出现偶尔轻微且可耐受的症状，无任何严重症状案例，说明即便出现不良反应，程度也较为轻微，不会对患者正常工作与生活造成干扰，进一步验证了该药物的安全性优势，为患者长期规律用药奠定了基础。​</w:t>
      </w:r>
    </w:p>
    <w:p ns2:paraId="08B2DF8A">
      <w:pPr>
        <w:pStyle w:val="4"/>
        <w:keepNext/>
        <w:keepLines/>
        <w:pageBreakBefore w:val="0"/>
        <w:widowControl w:val="0"/>
        <w:numPr>
          <w:ilvl w:val="0"/>
          <w:numId w:val="3"/>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口渴多尿不良反应分析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1318"/>
        <w:gridCol w:w="1417"/>
        <w:gridCol w:w="1219"/>
        <w:gridCol w:w="1318"/>
        <w:gridCol w:w="1318"/>
      </w:tblGrid>
      <w:tr ns2:paraId="59E1E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3E25056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3.您服用厄贝沙坦氢氯噻嗪片期间，是否出现过口渴、多尿情况？</w:t>
            </w:r>
          </w:p>
        </w:tc>
        <w:tc>
          <w:tcPr>
            <w:tcW w:w="131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43CC8C4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1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6CC7B06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A.经常出现，影响正常生活</w:t>
            </w:r>
          </w:p>
        </w:tc>
        <w:tc>
          <w:tcPr>
            <w:tcW w:w="12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32572A3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B.偶尔出现，无明显影响</w:t>
            </w:r>
          </w:p>
        </w:tc>
        <w:tc>
          <w:tcPr>
            <w:tcW w:w="131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605CE2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C.很少出现，几乎不察觉</w:t>
            </w:r>
          </w:p>
        </w:tc>
        <w:tc>
          <w:tcPr>
            <w:tcW w:w="131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246F8F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D.从未出现过</w:t>
            </w:r>
          </w:p>
        </w:tc>
      </w:tr>
      <w:tr ns2:paraId="3460A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6CA8FA64">
            <w:pPr>
              <w:jc w:val="center"/>
              <w:rPr>
                <w:rFonts w:hint="eastAsia" w:ascii="汉仪中宋简" w:hAnsi="汉仪中宋简" w:eastAsia="汉仪中宋简" w:cs="汉仪中宋简"/>
                <w:b/>
                <w:bCs/>
                <w:i w:val="0"/>
                <w:iCs w:val="0"/>
                <w:color w:val="000000"/>
                <w:sz w:val="21"/>
                <w:szCs w:val="21"/>
                <w:u w:val="none"/>
              </w:rPr>
            </w:pPr>
          </w:p>
        </w:tc>
        <w:tc>
          <w:tcPr>
            <w:tcW w:w="131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D270A5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1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422D6F0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c>
          <w:tcPr>
            <w:tcW w:w="12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88CF36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100</w:t>
            </w:r>
          </w:p>
        </w:tc>
        <w:tc>
          <w:tcPr>
            <w:tcW w:w="131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1B51B84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789</w:t>
            </w:r>
          </w:p>
        </w:tc>
        <w:tc>
          <w:tcPr>
            <w:tcW w:w="131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C7DCC4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753</w:t>
            </w:r>
          </w:p>
        </w:tc>
      </w:tr>
      <w:tr ns2:paraId="3750A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B5335A8">
            <w:pPr>
              <w:jc w:val="center"/>
              <w:rPr>
                <w:rFonts w:hint="eastAsia" w:ascii="汉仪中宋简" w:hAnsi="汉仪中宋简" w:eastAsia="汉仪中宋简" w:cs="汉仪中宋简"/>
                <w:b/>
                <w:bCs/>
                <w:i w:val="0"/>
                <w:iCs w:val="0"/>
                <w:color w:val="000000"/>
                <w:sz w:val="21"/>
                <w:szCs w:val="21"/>
                <w:u w:val="none"/>
              </w:rPr>
            </w:pPr>
          </w:p>
        </w:tc>
        <w:tc>
          <w:tcPr>
            <w:tcW w:w="131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321346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1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35B410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c>
          <w:tcPr>
            <w:tcW w:w="12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AEA5F0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6.09%</w:t>
            </w:r>
          </w:p>
        </w:tc>
        <w:tc>
          <w:tcPr>
            <w:tcW w:w="131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310A6EE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48.05%</w:t>
            </w:r>
          </w:p>
        </w:tc>
        <w:tc>
          <w:tcPr>
            <w:tcW w:w="131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CC7C9F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45.86%</w:t>
            </w:r>
          </w:p>
        </w:tc>
      </w:tr>
    </w:tbl>
    <w:p ns2:paraId="22E10E77">
      <w:pPr>
        <w:rPr>
          <w:rFonts w:hint="eastAsia" w:ascii="汉仪中宋简" w:hAnsi="汉仪中宋简" w:eastAsia="汉仪中宋简" w:cs="汉仪中宋简"/>
          <w:lang w:val="en-US" w:eastAsia="zh-CN"/>
        </w:rPr>
      </w:pPr>
    </w:p>
    <w:p ns2:paraId="692990EB">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氢氯噻嗪作为利尿剂，其作用机制可能导致尿量增加，进而引发口渴感，这是该类成分常见的潜在不良反应，也是评估药物剂量配比科学性的重要指标。本次调研结果显示，45.86%的患者从未出现口渴、多尿情况，48.05%的患者很少出现且几乎不察觉，合计占比达93.91%，说明该药物的剂量配比经过科学优化，能够在充分发挥利尿剂降压作用的同时，最大限度降低其对患者水电解质平衡的影响，减少不良反应发生。仅6.09%的患者偶尔出现相关症状且无明显影响，进一步佐证了患者对该药物的良好耐受性，也体现了复方制剂协同作用的优势，兼顾疗效与安全性。</w:t>
      </w:r>
    </w:p>
    <w:p ns2:paraId="12A7EA35">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7" w:name="_Toc4788"/>
      <w:r>
        <w:rPr>
          <w:rFonts w:hint="eastAsia" w:ascii="汉仪中宋简" w:hAnsi="汉仪中宋简" w:eastAsia="汉仪中宋简" w:cs="汉仪中宋简"/>
          <w:lang w:val="en-US" w:eastAsia="zh-CN"/>
        </w:rPr>
        <w:t>4.3用药行为与习惯​</w:t>
      </w:r>
      <w:bookmarkEnd w:id="17"/>
    </w:p>
    <w:p ns2:paraId="6C112BBD">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购药渠道分析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16"/>
        <w:gridCol w:w="1087"/>
        <w:gridCol w:w="1429"/>
        <w:gridCol w:w="1429"/>
        <w:gridCol w:w="1429"/>
        <w:gridCol w:w="1429"/>
      </w:tblGrid>
      <w:tr ns2:paraId="50E9C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3" w:hRule="atLeast"/>
        </w:trPr>
        <w:tc>
          <w:tcPr>
            <w:tcW w:w="1716"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9F6B614">
            <w:pPr>
              <w:keepNext w:val="0"/>
              <w:keepLines w:val="0"/>
              <w:widowControl/>
              <w:suppressLineNumbers w:val="0"/>
              <w:jc w:val="center"/>
              <w:textAlignment w:val="center"/>
              <w:rPr>
                <w:rFonts w:hint="eastAsia" w:ascii="汉仪中宋简" w:hAnsi="汉仪中宋简" w:eastAsia="汉仪中宋简" w:cs="汉仪中宋简"/>
                <w:lang w:val="en-US" w:eastAsia="zh-CN"/>
              </w:rPr>
            </w:pPr>
            <w:r>
              <w:rPr>
                <w:rFonts w:hint="default" w:ascii="Calibri" w:hAnsi="Calibri" w:eastAsia="宋体" w:cs="Calibri"/>
                <w:i w:val="0"/>
                <w:iCs w:val="0"/>
                <w:color w:val="000000"/>
                <w:kern w:val="0"/>
                <w:sz w:val="20"/>
                <w:szCs w:val="20"/>
                <w:u w:val="none"/>
                <w:lang w:val="en-US" w:eastAsia="zh-CN" w:bidi="ar"/>
              </w:rPr>
              <w:t>4.您通常通过什么渠道购买厄贝沙坦氢氯噻嗪片？</w:t>
            </w:r>
          </w:p>
        </w:tc>
        <w:tc>
          <w:tcPr>
            <w:tcW w:w="108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221EDF5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2558B0A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A.医院药房</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5A2557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B.线下连锁药店</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6C4E12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C.正规网上药店</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F424DC4">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D.其他渠道</w:t>
            </w:r>
          </w:p>
        </w:tc>
      </w:tr>
      <w:tr ns2:paraId="2065D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1716"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BF9FA66">
            <w:pPr>
              <w:jc w:val="center"/>
              <w:rPr>
                <w:rFonts w:hint="eastAsia" w:ascii="汉仪中宋简" w:hAnsi="汉仪中宋简" w:eastAsia="汉仪中宋简" w:cs="汉仪中宋简"/>
                <w:b/>
                <w:bCs/>
                <w:i w:val="0"/>
                <w:iCs w:val="0"/>
                <w:color w:val="000000"/>
                <w:sz w:val="21"/>
                <w:szCs w:val="21"/>
                <w:u w:val="none"/>
              </w:rPr>
            </w:pPr>
          </w:p>
        </w:tc>
        <w:tc>
          <w:tcPr>
            <w:tcW w:w="108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0DAEBA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12DE441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607</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6064E03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476</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11174C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197</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1BAA0E3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362</w:t>
            </w:r>
          </w:p>
        </w:tc>
      </w:tr>
      <w:tr ns2:paraId="6C684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1716"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B56F8C2">
            <w:pPr>
              <w:jc w:val="center"/>
              <w:rPr>
                <w:rFonts w:hint="eastAsia" w:ascii="汉仪中宋简" w:hAnsi="汉仪中宋简" w:eastAsia="汉仪中宋简" w:cs="汉仪中宋简"/>
                <w:b/>
                <w:bCs/>
                <w:i w:val="0"/>
                <w:iCs w:val="0"/>
                <w:color w:val="000000"/>
                <w:sz w:val="21"/>
                <w:szCs w:val="21"/>
                <w:u w:val="none"/>
              </w:rPr>
            </w:pPr>
          </w:p>
        </w:tc>
        <w:tc>
          <w:tcPr>
            <w:tcW w:w="108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08A9F67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3B27F44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36.97%</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1FC47C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28.99%</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861DC8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12.00%</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CFC469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22.04%</w:t>
            </w:r>
          </w:p>
        </w:tc>
      </w:tr>
    </w:tbl>
    <w:p ns2:paraId="084DF769">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购药渠道的选择直接关系到药品质量与用药安全，是反映患者用药认知的重要维度。本次调研显示，36.97%的患者通过医院药房购买，28.99%通过线下连锁药店购买，两者合计占比65.96%，体现了多数患者对正规购药渠道的信任，能够通过可靠渠道获取药品，有效规避非正规药品的质量风险；12.00%的患者选择正规网上药店，反映出部分患者对购药便利性、时效性的需求，契合当前数字化购药的发展趋势；而22.04%的患者通过其他渠道购买，该部分渠道信息不明确，存在购买到假冒伪劣药品的潜在风险，需重点关注并引导。</w:t>
      </w:r>
    </w:p>
    <w:p ns2:paraId="613F0823">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剂量遵循情况分析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13"/>
        <w:gridCol w:w="1000"/>
        <w:gridCol w:w="1426"/>
        <w:gridCol w:w="1426"/>
        <w:gridCol w:w="1426"/>
        <w:gridCol w:w="1428"/>
      </w:tblGrid>
      <w:tr ns2:paraId="536F8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93" w:hRule="atLeast"/>
        </w:trPr>
        <w:tc>
          <w:tcPr>
            <w:tcW w:w="1813"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392A41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6.您服用厄贝沙坦氢氯噻嗪片的剂量是否严格按照医嘱？</w:t>
            </w:r>
          </w:p>
        </w:tc>
        <w:tc>
          <w:tcPr>
            <w:tcW w:w="10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968C00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6318738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A.始终严格遵守</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5489B5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B.大部分时间遵守，偶尔微调</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6BFF562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C.经常根据自身感觉调整</w:t>
            </w:r>
          </w:p>
        </w:tc>
        <w:tc>
          <w:tcPr>
            <w:tcW w:w="142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1E7F137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D.从未按规定剂量服用</w:t>
            </w:r>
          </w:p>
        </w:tc>
      </w:tr>
      <w:tr ns2:paraId="24D78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trPr>
        <w:tc>
          <w:tcPr>
            <w:tcW w:w="1813"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6895E5C4">
            <w:pPr>
              <w:jc w:val="center"/>
              <w:rPr>
                <w:rFonts w:hint="eastAsia" w:ascii="汉仪中宋简" w:hAnsi="汉仪中宋简" w:eastAsia="汉仪中宋简" w:cs="汉仪中宋简"/>
                <w:b/>
                <w:bCs/>
                <w:i w:val="0"/>
                <w:iCs w:val="0"/>
                <w:color w:val="000000"/>
                <w:sz w:val="21"/>
                <w:szCs w:val="21"/>
                <w:u w:val="none"/>
              </w:rPr>
            </w:pPr>
          </w:p>
        </w:tc>
        <w:tc>
          <w:tcPr>
            <w:tcW w:w="10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63DF4F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C35548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771</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B20945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525</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9D8CF2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262</w:t>
            </w:r>
          </w:p>
        </w:tc>
        <w:tc>
          <w:tcPr>
            <w:tcW w:w="142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D9BD7E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84</w:t>
            </w:r>
          </w:p>
        </w:tc>
      </w:tr>
      <w:tr ns2:paraId="530FC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trPr>
        <w:tc>
          <w:tcPr>
            <w:tcW w:w="1813"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369FC243">
            <w:pPr>
              <w:jc w:val="center"/>
              <w:rPr>
                <w:rFonts w:hint="eastAsia" w:ascii="汉仪中宋简" w:hAnsi="汉仪中宋简" w:eastAsia="汉仪中宋简" w:cs="汉仪中宋简"/>
                <w:b/>
                <w:bCs/>
                <w:i w:val="0"/>
                <w:iCs w:val="0"/>
                <w:color w:val="000000"/>
                <w:sz w:val="21"/>
                <w:szCs w:val="21"/>
                <w:u w:val="none"/>
              </w:rPr>
            </w:pPr>
          </w:p>
        </w:tc>
        <w:tc>
          <w:tcPr>
            <w:tcW w:w="10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0C10716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0A01A1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46.95%</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4C08252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31.97%</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50A93EB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15.96%</w:t>
            </w:r>
          </w:p>
        </w:tc>
        <w:tc>
          <w:tcPr>
            <w:tcW w:w="142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3C890DC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5.12%</w:t>
            </w:r>
          </w:p>
        </w:tc>
      </w:tr>
    </w:tbl>
    <w:p ns2:paraId="7A23ED7B">
      <w:pPr>
        <w:rPr>
          <w:rFonts w:hint="eastAsia" w:ascii="汉仪中宋简" w:hAnsi="汉仪中宋简" w:eastAsia="汉仪中宋简" w:cs="汉仪中宋简"/>
          <w:lang w:val="en-US" w:eastAsia="zh-CN"/>
        </w:rPr>
      </w:pPr>
    </w:p>
    <w:p ns2:paraId="5022CDFD">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剂量遵医嘱情况是影响高血压治疗效果的关键因素，擅自调整剂量易导致血压波动，增加心脑血管并发症风险。调研结果显示，46.95%的患者能够始终严格遵守医嘱用药，31.97%的患者大部分时间遵守、仅偶尔微调，两者合计占比78.92%，说明多数患者具备基本的规范用药意识。但仍有21.08%的患者存在不规范用药情况，其中15.96%的患者经常根据自身感觉调整剂量，5.12%的患者从未按规定剂量服用，这类行为可能导致血压控制不佳或出现不良反应，是后续用药指导干预的重点群体。​</w:t>
      </w:r>
    </w:p>
    <w:p ns2:paraId="2EA2B37B">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联合用药情况分析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978"/>
        <w:gridCol w:w="1403"/>
        <w:gridCol w:w="1403"/>
        <w:gridCol w:w="1548"/>
        <w:gridCol w:w="1258"/>
      </w:tblGrid>
      <w:tr ns2:paraId="32996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1F303C4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8.您服用厄贝沙坦氢氯噻嗪片期间，是否同时服用其他降压药物？</w:t>
            </w:r>
          </w:p>
        </w:tc>
        <w:tc>
          <w:tcPr>
            <w:tcW w:w="97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12C8440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0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04871D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A.同时服用 1 种其他降压药</w:t>
            </w:r>
          </w:p>
        </w:tc>
        <w:tc>
          <w:tcPr>
            <w:tcW w:w="140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4A10D4ED">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B.同时服用 2 种及以上其他降压药</w:t>
            </w:r>
          </w:p>
        </w:tc>
        <w:tc>
          <w:tcPr>
            <w:tcW w:w="154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217FE39">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C.同时服用降压药及其他疾病治疗药物</w:t>
            </w:r>
          </w:p>
        </w:tc>
        <w:tc>
          <w:tcPr>
            <w:tcW w:w="125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25CBCF2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D.仅服用该药物</w:t>
            </w:r>
          </w:p>
        </w:tc>
      </w:tr>
      <w:tr ns2:paraId="68E8A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6838B876">
            <w:pPr>
              <w:jc w:val="center"/>
              <w:rPr>
                <w:rFonts w:hint="eastAsia" w:ascii="汉仪中宋简" w:hAnsi="汉仪中宋简" w:eastAsia="汉仪中宋简" w:cs="汉仪中宋简"/>
                <w:b/>
                <w:bCs/>
                <w:i w:val="0"/>
                <w:iCs w:val="0"/>
                <w:color w:val="000000"/>
                <w:sz w:val="21"/>
                <w:szCs w:val="21"/>
                <w:u w:val="none"/>
              </w:rPr>
            </w:pPr>
          </w:p>
        </w:tc>
        <w:tc>
          <w:tcPr>
            <w:tcW w:w="97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168AA94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0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78C7277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246</w:t>
            </w:r>
          </w:p>
        </w:tc>
        <w:tc>
          <w:tcPr>
            <w:tcW w:w="140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93ED2EE">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180</w:t>
            </w:r>
          </w:p>
        </w:tc>
        <w:tc>
          <w:tcPr>
            <w:tcW w:w="154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412F88E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410</w:t>
            </w:r>
          </w:p>
        </w:tc>
        <w:tc>
          <w:tcPr>
            <w:tcW w:w="125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411F76F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806</w:t>
            </w:r>
          </w:p>
        </w:tc>
      </w:tr>
      <w:tr ns2:paraId="79024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2D10F13">
            <w:pPr>
              <w:jc w:val="center"/>
              <w:rPr>
                <w:rFonts w:hint="eastAsia" w:ascii="汉仪中宋简" w:hAnsi="汉仪中宋简" w:eastAsia="汉仪中宋简" w:cs="汉仪中宋简"/>
                <w:b/>
                <w:bCs/>
                <w:i w:val="0"/>
                <w:iCs w:val="0"/>
                <w:color w:val="000000"/>
                <w:sz w:val="21"/>
                <w:szCs w:val="21"/>
                <w:u w:val="none"/>
              </w:rPr>
            </w:pPr>
          </w:p>
        </w:tc>
        <w:tc>
          <w:tcPr>
            <w:tcW w:w="97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DA2ECD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0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5D2EF81">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14.98%</w:t>
            </w:r>
          </w:p>
        </w:tc>
        <w:tc>
          <w:tcPr>
            <w:tcW w:w="140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52635368">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10.96%</w:t>
            </w:r>
          </w:p>
        </w:tc>
        <w:tc>
          <w:tcPr>
            <w:tcW w:w="154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282FC8F">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24.97%</w:t>
            </w:r>
          </w:p>
        </w:tc>
        <w:tc>
          <w:tcPr>
            <w:tcW w:w="125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10981D8">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49.09%</w:t>
            </w:r>
          </w:p>
        </w:tc>
      </w:tr>
    </w:tbl>
    <w:p ns2:paraId="756D313A">
      <w:pPr>
        <w:rPr>
          <w:rFonts w:hint="eastAsia" w:ascii="汉仪中宋简" w:hAnsi="汉仪中宋简" w:eastAsia="汉仪中宋简" w:cs="汉仪中宋简"/>
          <w:lang w:val="en-US" w:eastAsia="zh-CN"/>
        </w:rPr>
      </w:pPr>
    </w:p>
    <w:p ns2:paraId="020B70D7">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联合用药情况反映了患者病情复杂程度与药物适用范围。调研显示，49.09%的患者仅服用该药物即可实现血压控制，说明该药物对近半数高血压患者具备足够的降压效能，无需联合其他药物；14.98%的患者同时服用1种其他降压药，10.96%的患者同时服用2种及以上其他降压药，表明部分患者病情相对复杂，单一复方制剂无法满足降压需求；24.97%的患者同时服用降压药及其他疾病治疗药物，提示该部分患者可能合并糖尿病、冠心病等其他慢性疾病，用药方案需兼顾多疾病治疗需求，避免药物相互作用风险。</w:t>
      </w:r>
    </w:p>
    <w:p ns2:paraId="24B14632">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联合用药咨询情况分析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999"/>
        <w:gridCol w:w="1397"/>
        <w:gridCol w:w="1397"/>
        <w:gridCol w:w="1397"/>
        <w:gridCol w:w="1400"/>
      </w:tblGrid>
      <w:tr ns2:paraId="563C6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47BB59F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9.您是否咨询过医生，确认厄贝沙坦氢氯噻嗪片与其他药物可同时服用？</w:t>
            </w:r>
          </w:p>
        </w:tc>
        <w:tc>
          <w:tcPr>
            <w:tcW w:w="99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F3BD21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282AF121">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A.专门咨询过，确认无冲突</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B133FB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B.简单询问过，大致了解</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4B7028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C.没咨询过，但认为无问题</w:t>
            </w:r>
          </w:p>
        </w:tc>
        <w:tc>
          <w:tcPr>
            <w:tcW w:w="14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88A1E47">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D.没咨询过，不清楚是否有冲突</w:t>
            </w:r>
          </w:p>
        </w:tc>
      </w:tr>
      <w:tr ns2:paraId="6CE5E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3B23E40">
            <w:pPr>
              <w:jc w:val="center"/>
              <w:rPr>
                <w:rFonts w:hint="eastAsia" w:ascii="汉仪中宋简" w:hAnsi="汉仪中宋简" w:eastAsia="汉仪中宋简" w:cs="汉仪中宋简"/>
                <w:b/>
                <w:bCs/>
                <w:i w:val="0"/>
                <w:iCs w:val="0"/>
                <w:color w:val="000000"/>
                <w:sz w:val="21"/>
                <w:szCs w:val="21"/>
                <w:u w:val="none"/>
              </w:rPr>
            </w:pPr>
          </w:p>
        </w:tc>
        <w:tc>
          <w:tcPr>
            <w:tcW w:w="99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D04F4A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3C4FDD0D">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421</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7F015C06">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415</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93E7444">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471</w:t>
            </w:r>
          </w:p>
        </w:tc>
        <w:tc>
          <w:tcPr>
            <w:tcW w:w="14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494A1DA">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335</w:t>
            </w:r>
          </w:p>
        </w:tc>
      </w:tr>
      <w:tr ns2:paraId="0D806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CCF6ED0">
            <w:pPr>
              <w:jc w:val="center"/>
              <w:rPr>
                <w:rFonts w:hint="eastAsia" w:ascii="汉仪中宋简" w:hAnsi="汉仪中宋简" w:eastAsia="汉仪中宋简" w:cs="汉仪中宋简"/>
                <w:b/>
                <w:bCs/>
                <w:i w:val="0"/>
                <w:iCs w:val="0"/>
                <w:color w:val="000000"/>
                <w:sz w:val="21"/>
                <w:szCs w:val="21"/>
                <w:u w:val="none"/>
              </w:rPr>
            </w:pPr>
          </w:p>
        </w:tc>
        <w:tc>
          <w:tcPr>
            <w:tcW w:w="99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4265DD2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5558B287">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25.64%</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4D0B4067">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25.27%</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DF975E6">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28.68%</w:t>
            </w:r>
          </w:p>
        </w:tc>
        <w:tc>
          <w:tcPr>
            <w:tcW w:w="14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74D1E88">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20.41%</w:t>
            </w:r>
          </w:p>
        </w:tc>
      </w:tr>
    </w:tbl>
    <w:p ns2:paraId="4FB33A41">
      <w:pPr>
        <w:rPr>
          <w:rFonts w:hint="eastAsia" w:ascii="汉仪中宋简" w:hAnsi="汉仪中宋简" w:eastAsia="汉仪中宋简" w:cs="汉仪中宋简"/>
          <w:lang w:val="en-US" w:eastAsia="zh-CN"/>
        </w:rPr>
      </w:pPr>
    </w:p>
    <w:p ns2:paraId="4B5CE049">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药物相互作用是联合用药安全的核心关注点，咨询医生是规避该风险的关键途径。调研结果显示，仅25.64%的患者专门咨询过医生并确认无冲突，25.27%的患者简单询问过并大致了解，两者合计仅50.91%的患者对联合用药安全性进行过主动确认。而28.68%的患者未咨询过但主观认为无问题，20.41%的患者未咨询过且不清楚是否存在冲突，近半数患者对药物相互作用的关注度不足，存在潜在用药安全隐患，需通过强化用药指导予以纠正。</w:t>
      </w:r>
    </w:p>
    <w:p ns2:paraId="74646D95">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血压监测频率分析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61"/>
        <w:gridCol w:w="1052"/>
        <w:gridCol w:w="1426"/>
        <w:gridCol w:w="1502"/>
        <w:gridCol w:w="1500"/>
        <w:gridCol w:w="1278"/>
      </w:tblGrid>
      <w:tr ns2:paraId="77D00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61"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61307BB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11.您服用厄贝沙坦氢氯噻嗪片期间，是否定期监测血压？</w:t>
            </w:r>
          </w:p>
        </w:tc>
        <w:tc>
          <w:tcPr>
            <w:tcW w:w="105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6E53C28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1B8BCD8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A.每天监测，记录详细数据</w:t>
            </w:r>
          </w:p>
        </w:tc>
        <w:tc>
          <w:tcPr>
            <w:tcW w:w="150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6DC4402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B.每周监测 2-3 次，了解大致情况</w:t>
            </w:r>
          </w:p>
        </w:tc>
        <w:tc>
          <w:tcPr>
            <w:tcW w:w="15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24B91EB9">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C.偶尔监测，无固定频率</w:t>
            </w:r>
          </w:p>
        </w:tc>
        <w:tc>
          <w:tcPr>
            <w:tcW w:w="127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C6411A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D.从未监测</w:t>
            </w:r>
          </w:p>
        </w:tc>
      </w:tr>
      <w:tr ns2:paraId="613F6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61"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2191697">
            <w:pPr>
              <w:jc w:val="center"/>
              <w:rPr>
                <w:rFonts w:hint="eastAsia" w:ascii="汉仪中宋简" w:hAnsi="汉仪中宋简" w:eastAsia="汉仪中宋简" w:cs="汉仪中宋简"/>
                <w:b/>
                <w:bCs/>
                <w:i w:val="0"/>
                <w:iCs w:val="0"/>
                <w:color w:val="000000"/>
                <w:sz w:val="21"/>
                <w:szCs w:val="21"/>
                <w:u w:val="none"/>
              </w:rPr>
            </w:pPr>
          </w:p>
        </w:tc>
        <w:tc>
          <w:tcPr>
            <w:tcW w:w="105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136AE02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169A652">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410</w:t>
            </w:r>
          </w:p>
        </w:tc>
        <w:tc>
          <w:tcPr>
            <w:tcW w:w="150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F609813">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607</w:t>
            </w:r>
          </w:p>
        </w:tc>
        <w:tc>
          <w:tcPr>
            <w:tcW w:w="15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481E65A">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246</w:t>
            </w:r>
          </w:p>
        </w:tc>
        <w:tc>
          <w:tcPr>
            <w:tcW w:w="127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3094C872">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379</w:t>
            </w:r>
          </w:p>
        </w:tc>
      </w:tr>
      <w:tr ns2:paraId="73A17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61"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BEEE492">
            <w:pPr>
              <w:jc w:val="center"/>
              <w:rPr>
                <w:rFonts w:hint="eastAsia" w:ascii="汉仪中宋简" w:hAnsi="汉仪中宋简" w:eastAsia="汉仪中宋简" w:cs="汉仪中宋简"/>
                <w:b/>
                <w:bCs/>
                <w:i w:val="0"/>
                <w:iCs w:val="0"/>
                <w:color w:val="000000"/>
                <w:sz w:val="21"/>
                <w:szCs w:val="21"/>
                <w:u w:val="none"/>
              </w:rPr>
            </w:pPr>
          </w:p>
        </w:tc>
        <w:tc>
          <w:tcPr>
            <w:tcW w:w="105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3387614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CE3402D">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24.97%</w:t>
            </w:r>
          </w:p>
        </w:tc>
        <w:tc>
          <w:tcPr>
            <w:tcW w:w="150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79CC8D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36.97%</w:t>
            </w:r>
          </w:p>
        </w:tc>
        <w:tc>
          <w:tcPr>
            <w:tcW w:w="15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A518BD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14.98%</w:t>
            </w:r>
          </w:p>
        </w:tc>
        <w:tc>
          <w:tcPr>
            <w:tcW w:w="127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E1266F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23.08%</w:t>
            </w:r>
          </w:p>
        </w:tc>
      </w:tr>
    </w:tbl>
    <w:p ns2:paraId="131B88BA">
      <w:pPr>
        <w:rPr>
          <w:rFonts w:hint="eastAsia" w:ascii="汉仪中宋简" w:hAnsi="汉仪中宋简" w:eastAsia="汉仪中宋简" w:cs="汉仪中宋简"/>
          <w:lang w:val="en-US" w:eastAsia="zh-CN"/>
        </w:rPr>
      </w:pPr>
    </w:p>
    <w:p ns2:paraId="65C60A08">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定期监测血压是评估用药效果、及时调整治疗方案的重要依据。调研显示，24.97%的患者每天监测并记录详细数据，36.97%的患者每周监测2-3次以了解大致情况，两者合计61.94%的患者能够定期监测血压，为治疗方案优化提供了数据支撑。但仍有38.06%的患者监测频率不足，其中14.98%的患者偶尔监测、无固定频率，23.08%的患者从未监测，这类患者无法及时掌握血压控制情况，难以发现潜在的血压波动风险，不利于治疗方案的精准调整。</w:t>
      </w:r>
    </w:p>
    <w:p ns2:paraId="210ED651">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8" w:name="_Toc26585"/>
      <w:r>
        <w:rPr>
          <w:rFonts w:hint="eastAsia" w:ascii="汉仪中宋简" w:hAnsi="汉仪中宋简" w:eastAsia="汉仪中宋简" w:cs="汉仪中宋简"/>
          <w:lang w:val="en-US" w:eastAsia="zh-CN"/>
        </w:rPr>
        <w:t>4.4用药便利性</w:t>
      </w:r>
      <w:bookmarkEnd w:id="18"/>
    </w:p>
    <w:p ns2:paraId="590C4B7E">
      <w:pPr>
        <w:pStyle w:val="4"/>
        <w:keepNext/>
        <w:keepLines/>
        <w:pageBreakBefore w:val="0"/>
        <w:widowControl w:val="0"/>
        <w:numPr>
          <w:ilvl w:val="0"/>
          <w:numId w:val="5"/>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服药频率满意度分析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9"/>
        <w:gridCol w:w="929"/>
        <w:gridCol w:w="1519"/>
        <w:gridCol w:w="1519"/>
        <w:gridCol w:w="1519"/>
        <w:gridCol w:w="1522"/>
      </w:tblGrid>
      <w:tr ns2:paraId="2FF0F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0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63FA9A14">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7.您对厄贝沙坦氢氯噻嗪片的服药频率满意度如何？</w:t>
            </w:r>
          </w:p>
        </w:tc>
        <w:tc>
          <w:tcPr>
            <w:tcW w:w="9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AFFE84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5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E531A4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A.频率很合适，按要求吃很轻松</w:t>
            </w:r>
          </w:p>
        </w:tc>
        <w:tc>
          <w:tcPr>
            <w:tcW w:w="15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68DC7C7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B.频率还可以，没对生活造成困扰</w:t>
            </w:r>
          </w:p>
        </w:tc>
        <w:tc>
          <w:tcPr>
            <w:tcW w:w="15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30DA630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C.频率稍微有点高，偶尔会记不清</w:t>
            </w:r>
          </w:p>
        </w:tc>
        <w:tc>
          <w:tcPr>
            <w:tcW w:w="152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E426A0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D.频率不太适应，想过调整一下</w:t>
            </w:r>
          </w:p>
        </w:tc>
      </w:tr>
      <w:tr ns2:paraId="5DD4E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0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3DE3481">
            <w:pPr>
              <w:jc w:val="center"/>
              <w:rPr>
                <w:rFonts w:hint="eastAsia" w:ascii="汉仪中宋简" w:hAnsi="汉仪中宋简" w:eastAsia="汉仪中宋简" w:cs="汉仪中宋简"/>
                <w:i w:val="0"/>
                <w:iCs w:val="0"/>
                <w:color w:val="000000"/>
                <w:sz w:val="20"/>
                <w:szCs w:val="20"/>
                <w:u w:val="none"/>
              </w:rPr>
            </w:pPr>
          </w:p>
        </w:tc>
        <w:tc>
          <w:tcPr>
            <w:tcW w:w="9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1C6A1E24">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5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6F5FE7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899</w:t>
            </w:r>
          </w:p>
        </w:tc>
        <w:tc>
          <w:tcPr>
            <w:tcW w:w="15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E334D9F">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643</w:t>
            </w:r>
          </w:p>
        </w:tc>
        <w:tc>
          <w:tcPr>
            <w:tcW w:w="15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2F4A9CB">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100</w:t>
            </w:r>
          </w:p>
        </w:tc>
        <w:tc>
          <w:tcPr>
            <w:tcW w:w="152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DDF4DB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r>
      <w:tr ns2:paraId="10C32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0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1B25B9A">
            <w:pPr>
              <w:jc w:val="center"/>
              <w:rPr>
                <w:rFonts w:hint="eastAsia" w:ascii="汉仪中宋简" w:hAnsi="汉仪中宋简" w:eastAsia="汉仪中宋简" w:cs="汉仪中宋简"/>
                <w:i w:val="0"/>
                <w:iCs w:val="0"/>
                <w:color w:val="000000"/>
                <w:sz w:val="20"/>
                <w:szCs w:val="20"/>
                <w:u w:val="none"/>
              </w:rPr>
            </w:pPr>
          </w:p>
        </w:tc>
        <w:tc>
          <w:tcPr>
            <w:tcW w:w="9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753A51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5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50B4167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54.75%</w:t>
            </w:r>
          </w:p>
        </w:tc>
        <w:tc>
          <w:tcPr>
            <w:tcW w:w="15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138937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39.16%</w:t>
            </w:r>
          </w:p>
        </w:tc>
        <w:tc>
          <w:tcPr>
            <w:tcW w:w="15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05F6A9CA">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52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57A8DA9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ns2:paraId="3A81E758">
      <w:pPr>
        <w:rPr>
          <w:rFonts w:hint="eastAsia" w:ascii="汉仪中宋简" w:hAnsi="汉仪中宋简" w:eastAsia="汉仪中宋简" w:cs="汉仪中宋简"/>
          <w:lang w:val="en-US" w:eastAsia="zh-CN"/>
        </w:rPr>
      </w:pPr>
    </w:p>
    <w:p ns2:paraId="379417FC">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服药频率直接影响患者用药依从性，尤其对于需长期用药的高血压患者，科学的服药频率应与患者生活节奏相契合。调研结果显示，54.75%的患者认为服药频率很合适，能够轻松按要求服药，反馈该频率与自身作息安排高度适配，不会因服药打乱日常规划；39.16%的患者认为频率还可以，未对生活造成困扰，说明即使部分患者对服药频率有轻微感知，但未形成实际负担。两者合计占比93.91%，仅6.09%的患者认为频率稍高、偶尔记不清，无患者反馈无法适应，充分说明该药物的服药频率设计科学合理，符合绝大多数患者的生活习惯，能够有效提升用药依从性。</w:t>
      </w:r>
    </w:p>
    <w:p ns2:paraId="75165838">
      <w:pPr>
        <w:pStyle w:val="4"/>
        <w:keepNext/>
        <w:keepLines/>
        <w:pageBreakBefore w:val="0"/>
        <w:widowControl w:val="0"/>
        <w:numPr>
          <w:ilvl w:val="0"/>
          <w:numId w:val="5"/>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药品包装便利性分析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92"/>
        <w:gridCol w:w="951"/>
        <w:gridCol w:w="1493"/>
        <w:gridCol w:w="1493"/>
        <w:gridCol w:w="1493"/>
        <w:gridCol w:w="1495"/>
      </w:tblGrid>
      <w:tr ns2:paraId="4DA3B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92"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2DF85B5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12.您对厄贝沙坦氢氯噻嗪片药品包装的便利性评价如何？</w:t>
            </w:r>
          </w:p>
        </w:tc>
        <w:tc>
          <w:tcPr>
            <w:tcW w:w="951"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2189332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57EB0F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A.储存、取用都方便</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E1F826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B.基本满足需求</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1E0D504">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C.存在取用麻烦等问题</w:t>
            </w:r>
          </w:p>
        </w:tc>
        <w:tc>
          <w:tcPr>
            <w:tcW w:w="149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43DA892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D.非常不便利，严重影响使用</w:t>
            </w:r>
          </w:p>
        </w:tc>
      </w:tr>
      <w:tr ns2:paraId="51478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92"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637585F5">
            <w:pPr>
              <w:jc w:val="center"/>
              <w:rPr>
                <w:rFonts w:hint="eastAsia" w:ascii="汉仪中宋简" w:hAnsi="汉仪中宋简" w:eastAsia="汉仪中宋简" w:cs="汉仪中宋简"/>
                <w:i w:val="0"/>
                <w:iCs w:val="0"/>
                <w:color w:val="000000"/>
                <w:sz w:val="20"/>
                <w:szCs w:val="20"/>
                <w:u w:val="none"/>
              </w:rPr>
            </w:pPr>
          </w:p>
        </w:tc>
        <w:tc>
          <w:tcPr>
            <w:tcW w:w="951"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5E23B6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D56AE27">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748</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3998BC34">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794</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648E083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100</w:t>
            </w:r>
          </w:p>
        </w:tc>
        <w:tc>
          <w:tcPr>
            <w:tcW w:w="149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196A03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0</w:t>
            </w:r>
          </w:p>
        </w:tc>
      </w:tr>
      <w:tr ns2:paraId="15767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92"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55A41D4">
            <w:pPr>
              <w:jc w:val="center"/>
              <w:rPr>
                <w:rFonts w:hint="eastAsia" w:ascii="汉仪中宋简" w:hAnsi="汉仪中宋简" w:eastAsia="汉仪中宋简" w:cs="汉仪中宋简"/>
                <w:i w:val="0"/>
                <w:iCs w:val="0"/>
                <w:color w:val="000000"/>
                <w:sz w:val="20"/>
                <w:szCs w:val="20"/>
                <w:u w:val="none"/>
              </w:rPr>
            </w:pPr>
          </w:p>
        </w:tc>
        <w:tc>
          <w:tcPr>
            <w:tcW w:w="951"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4FB4097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D697EA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45.55%</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0B7D2F2">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48.36%</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D985BB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49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53F6AAB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ns2:paraId="4095A103">
      <w:pPr>
        <w:rPr>
          <w:rFonts w:hint="eastAsia" w:ascii="汉仪中宋简" w:hAnsi="汉仪中宋简" w:eastAsia="汉仪中宋简" w:cs="汉仪中宋简"/>
          <w:sz w:val="24"/>
          <w:szCs w:val="32"/>
          <w:lang w:val="en-US" w:eastAsia="zh-CN"/>
        </w:rPr>
      </w:pPr>
    </w:p>
    <w:p ns2:paraId="55A08AEF">
      <w:pPr>
        <w:keepNext w:val="0"/>
        <w:keepLines w:val="0"/>
        <w:pageBreakBefore w:val="0"/>
        <w:widowControl w:val="0"/>
        <w:kinsoku/>
        <w:wordWrap/>
        <w:overflowPunct/>
        <w:topLinePunct w:val="0"/>
        <w:autoSpaceDE/>
        <w:autoSpaceDN/>
        <w:bidi w:val="0"/>
        <w:adjustRightInd/>
        <w:snapToGrid/>
        <w:spacing w:line="600" w:lineRule="auto"/>
        <w:ind w:firstLine="420"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sz w:val="24"/>
          <w:szCs w:val="32"/>
          <w:lang w:val="en-US" w:eastAsia="zh-CN"/>
        </w:rPr>
        <w:t>药品包装的便利性直接影响患者日常取用与外出携带体验，是用药便利性的重要组成部分。调研显示，45.55%的患者认为包装储存、取用都方便，反馈包装设计人性化，无论是居家储存还是外出携带都便捷高效，取用过程无需复杂操作；48.36%的患者认为包装基本满足需求，说明包装核心功能完备，能够覆盖日常用药的基础需求，虽无突出亮点，但未存在明显缺陷。两者合计占比93.91%，仅6.09%的患者认为存在取用麻烦问题，无患者反馈严重不便利，表明该药物包装设计符合大众使用习惯，为患者长期用药提供了便利保障。</w:t>
      </w:r>
    </w:p>
    <w:p ns2:paraId="597E3376">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9" w:name="_Toc24377"/>
      <w:r>
        <w:rPr>
          <w:rFonts w:hint="eastAsia" w:ascii="汉仪中宋简" w:hAnsi="汉仪中宋简" w:eastAsia="汉仪中宋简" w:cs="汉仪中宋简"/>
          <w:lang w:val="en-US" w:eastAsia="zh-CN"/>
        </w:rPr>
        <w:t>4.5药品经济性</w:t>
      </w:r>
      <w:bookmarkEnd w:id="19"/>
    </w:p>
    <w:p ns2:paraId="48960627">
      <w:pPr>
        <w:pStyle w:val="4"/>
        <w:keepNext/>
        <w:keepLines/>
        <w:pageBreakBefore w:val="0"/>
        <w:widowControl w:val="0"/>
        <w:numPr>
          <w:ilvl w:val="0"/>
          <w:numId w:val="6"/>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价格负担影响分析</w:t>
      </w:r>
    </w:p>
    <w:tbl>
      <w:tblPr>
        <w:tblStyle w:val="10"/>
        <w:tblW w:w="510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93"/>
        <w:gridCol w:w="1437"/>
        <w:gridCol w:w="1367"/>
        <w:gridCol w:w="1367"/>
        <w:gridCol w:w="1367"/>
        <w:gridCol w:w="1367"/>
      </w:tblGrid>
      <w:tr ns2:paraId="22DC0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93"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454C5ED3">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5.您认为厄贝沙坦氢氯噻嗪片的价格对您的用药负担影响如何？</w:t>
            </w:r>
          </w:p>
        </w:tc>
        <w:tc>
          <w:tcPr>
            <w:tcW w:w="143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5BB9BC0">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26E0E5E">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A.难以承受</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D73750A">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B.勉强承受</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12A196D7">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C.在可接受范围</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837C00A">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D.无压力</w:t>
            </w:r>
          </w:p>
        </w:tc>
      </w:tr>
      <w:tr ns2:paraId="014E1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93"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85EA96B">
            <w:pPr>
              <w:jc w:val="center"/>
              <w:rPr>
                <w:rFonts w:hint="eastAsia" w:ascii="汉仪中宋简" w:hAnsi="汉仪中宋简" w:eastAsia="汉仪中宋简" w:cs="汉仪中宋简"/>
                <w:b/>
                <w:bCs/>
                <w:i w:val="0"/>
                <w:iCs w:val="0"/>
                <w:color w:val="000000"/>
                <w:sz w:val="21"/>
                <w:szCs w:val="21"/>
                <w:u w:val="none"/>
              </w:rPr>
            </w:pPr>
          </w:p>
        </w:tc>
        <w:tc>
          <w:tcPr>
            <w:tcW w:w="143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61321481">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样本量</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1194D37">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0</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33DAA08E">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56</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32DF4FE4">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819</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703ADE77">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767</w:t>
            </w:r>
          </w:p>
        </w:tc>
      </w:tr>
      <w:tr ns2:paraId="36AFC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93"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0B903C86">
            <w:pPr>
              <w:jc w:val="center"/>
              <w:rPr>
                <w:rFonts w:hint="eastAsia" w:ascii="汉仪中宋简" w:hAnsi="汉仪中宋简" w:eastAsia="汉仪中宋简" w:cs="汉仪中宋简"/>
                <w:b/>
                <w:bCs/>
                <w:i w:val="0"/>
                <w:iCs w:val="0"/>
                <w:color w:val="000000"/>
                <w:sz w:val="21"/>
                <w:szCs w:val="21"/>
                <w:u w:val="none"/>
              </w:rPr>
            </w:pPr>
          </w:p>
        </w:tc>
        <w:tc>
          <w:tcPr>
            <w:tcW w:w="143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0DA5CDC3">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占比</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55047D8">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0.00%</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940DCE8">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3.41%</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87D2D33">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49.88%</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0104F419">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46.71%</w:t>
            </w:r>
          </w:p>
        </w:tc>
      </w:tr>
    </w:tbl>
    <w:p ns2:paraId="0D7C2D97">
      <w:pPr>
        <w:rPr>
          <w:rFonts w:hint="eastAsia" w:ascii="汉仪中宋简" w:hAnsi="汉仪中宋简" w:eastAsia="汉仪中宋简" w:cs="汉仪中宋简"/>
          <w:lang w:val="en-US" w:eastAsia="zh-CN"/>
        </w:rPr>
      </w:pPr>
    </w:p>
    <w:p ns2:paraId="4EA4F767">
      <w:pPr>
        <w:keepNext w:val="0"/>
        <w:keepLines w:val="0"/>
        <w:pageBreakBefore w:val="0"/>
        <w:widowControl w:val="0"/>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经济性是影响高血压患者长期用药依从性的核心因素之一，尤其对于需终身服药的患者，合理的药品价格是保障治疗连续性的关键。本次调研结果显示，患者对该药物价格的接受度极高，96.59%的患者认为价格在可承受范围内或无压力，充分印证了该药物价格定位的合理性与亲民性。其中，46.71%的患者明确表示价格无压力，该部分患者无论是经济收入水平较高，还是认可药物价格与治疗价值的匹配度，均未因价格产生用药顾虑，能够保障长期规律购药；49.88%的患者认为价格在可接受范围，说明该药物价格虽可能对其日常开支产生轻微影响，但影响程度完全在可承受边界内，不会因此中断治疗。值得注意的是，仅3.41%的患者认为价格勉强承受，无患者反馈难以承受，该部分患者大概率属于低收入群体或需同时承担多种慢性疾病用药费用，整体占比极低，说明药物价格未对多数患者的用药可及性造成阻碍。从长期治疗视角来看，合理的价格定位有效降低了患者的长期用药负担，为提升整体治疗依从性、实现血压长期控制提供了重要支撑，也为后续是否需要针对特殊困难群体推出医保倾斜政策提供了精准的数据参考。</w:t>
      </w:r>
    </w:p>
    <w:p ns2:paraId="07DCD09F">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20" w:name="_Toc8285"/>
      <w:r>
        <w:rPr>
          <w:rFonts w:hint="eastAsia" w:ascii="汉仪中宋简" w:hAnsi="汉仪中宋简" w:eastAsia="汉仪中宋简" w:cs="汉仪中宋简"/>
          <w:lang w:val="en-US" w:eastAsia="zh-CN"/>
        </w:rPr>
        <w:t>4.6药品可及性</w:t>
      </w:r>
      <w:bookmarkEnd w:id="20"/>
    </w:p>
    <w:p ns2:paraId="4705B5D2">
      <w:pPr>
        <w:pStyle w:val="4"/>
        <w:keepNext/>
        <w:keepLines/>
        <w:pageBreakBefore w:val="0"/>
        <w:widowControl w:val="0"/>
        <w:numPr>
          <w:ilvl w:val="0"/>
          <w:numId w:val="7"/>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药品供应稳定性分析</w:t>
      </w:r>
    </w:p>
    <w:tbl>
      <w:tblPr>
        <w:tblStyle w:val="10"/>
        <w:tblW w:w="510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34"/>
        <w:gridCol w:w="969"/>
        <w:gridCol w:w="1575"/>
        <w:gridCol w:w="1440"/>
        <w:gridCol w:w="1440"/>
        <w:gridCol w:w="1440"/>
      </w:tblGrid>
      <w:tr ns2:paraId="02A87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67" w:hRule="atLeast"/>
        </w:trPr>
        <w:tc>
          <w:tcPr>
            <w:tcW w:w="1834"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40D4155F">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10.您所在地区的厄贝沙坦氢氯噻嗪片供应是否稳定？</w:t>
            </w:r>
          </w:p>
        </w:tc>
        <w:tc>
          <w:tcPr>
            <w:tcW w:w="96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0247003">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57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12A29FED">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A.随时能买到</w:t>
            </w:r>
          </w:p>
        </w:tc>
        <w:tc>
          <w:tcPr>
            <w:tcW w:w="144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E8F41AB">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B.偶尔缺货但不影响用药</w:t>
            </w:r>
          </w:p>
        </w:tc>
        <w:tc>
          <w:tcPr>
            <w:tcW w:w="144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1610E6FB">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C.经常缺货</w:t>
            </w:r>
          </w:p>
        </w:tc>
        <w:tc>
          <w:tcPr>
            <w:tcW w:w="144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6AF67FBB">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D.严重影响用药</w:t>
            </w:r>
          </w:p>
        </w:tc>
      </w:tr>
      <w:tr ns2:paraId="60F99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34"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42DA3E33">
            <w:pPr>
              <w:jc w:val="center"/>
              <w:rPr>
                <w:rFonts w:hint="eastAsia" w:ascii="汉仪中宋简" w:hAnsi="汉仪中宋简" w:eastAsia="汉仪中宋简" w:cs="汉仪中宋简"/>
                <w:b/>
                <w:bCs/>
                <w:i w:val="0"/>
                <w:iCs w:val="0"/>
                <w:color w:val="000000"/>
                <w:sz w:val="21"/>
                <w:szCs w:val="21"/>
                <w:u w:val="none"/>
              </w:rPr>
            </w:pPr>
          </w:p>
        </w:tc>
        <w:tc>
          <w:tcPr>
            <w:tcW w:w="96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1D55144B">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样本量</w:t>
            </w:r>
          </w:p>
        </w:tc>
        <w:tc>
          <w:tcPr>
            <w:tcW w:w="157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3F52E845">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1138</w:t>
            </w:r>
          </w:p>
        </w:tc>
        <w:tc>
          <w:tcPr>
            <w:tcW w:w="144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FEEC11B">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504</w:t>
            </w:r>
          </w:p>
        </w:tc>
        <w:tc>
          <w:tcPr>
            <w:tcW w:w="144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0501062">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c>
          <w:tcPr>
            <w:tcW w:w="144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935DBDA">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r>
      <w:tr ns2:paraId="16862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34"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0D765746">
            <w:pPr>
              <w:jc w:val="center"/>
              <w:rPr>
                <w:rFonts w:hint="eastAsia" w:ascii="汉仪中宋简" w:hAnsi="汉仪中宋简" w:eastAsia="汉仪中宋简" w:cs="汉仪中宋简"/>
                <w:b/>
                <w:bCs/>
                <w:i w:val="0"/>
                <w:iCs w:val="0"/>
                <w:color w:val="000000"/>
                <w:sz w:val="21"/>
                <w:szCs w:val="21"/>
                <w:u w:val="none"/>
              </w:rPr>
            </w:pPr>
          </w:p>
        </w:tc>
        <w:tc>
          <w:tcPr>
            <w:tcW w:w="96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5268F10">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占比</w:t>
            </w:r>
          </w:p>
        </w:tc>
        <w:tc>
          <w:tcPr>
            <w:tcW w:w="157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129FAC6">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69.31%</w:t>
            </w:r>
          </w:p>
        </w:tc>
        <w:tc>
          <w:tcPr>
            <w:tcW w:w="144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C29DBA3">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30.69%</w:t>
            </w:r>
          </w:p>
        </w:tc>
        <w:tc>
          <w:tcPr>
            <w:tcW w:w="144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304AE41C">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c>
          <w:tcPr>
            <w:tcW w:w="144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3760A086">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r>
    </w:tbl>
    <w:p ns2:paraId="0453E8DB">
      <w:pPr>
        <w:rPr>
          <w:rFonts w:hint="eastAsia" w:ascii="汉仪中宋简" w:hAnsi="汉仪中宋简" w:eastAsia="汉仪中宋简" w:cs="汉仪中宋简"/>
          <w:lang w:val="en-US" w:eastAsia="zh-CN"/>
        </w:rPr>
      </w:pPr>
    </w:p>
    <w:p ns2:paraId="41CBA2BB">
      <w:pPr>
        <w:keepNext w:val="0"/>
        <w:keepLines w:val="0"/>
        <w:pageBreakBefore w:val="0"/>
        <w:widowControl w:val="0"/>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药品供应稳定性是保障高血压患者长期规律治疗的前提，断药可能导致血压反弹，增加心脑血管并发症风险。本次调研显示，100%的患者用药供应得到有效保障，无患者因缺货影响治疗。具体来看，69.31%的患者表示随时能买到该药物，反映出其所在地区药品流通渠道畅通，医院药房、连锁药店、线上平台等多渠道均能稳定供应，充分满足日常用药需求；30.69%的患者表示偶尔缺货但不影响用药，说明该部分地区可能存在短期的供应链波动，但患者可通过提前储备药品、更换购药渠道等方式规避影响，未对治疗连续性造成实质干扰。无患者反馈经常缺货或严重影响用药，充分体现了该药物的供应保障体系完善，制药企业生产产能规划合理，药品流通环节管理规范，能够精准匹配不同地区患者的用药需求。​</w:t>
      </w:r>
    </w:p>
    <w:p ns2:paraId="04889787">
      <w:pPr>
        <w:pStyle w:val="3"/>
        <w:pageBreakBefore w:val="0"/>
        <w:kinsoku/>
        <w:wordWrap/>
        <w:overflowPunct/>
        <w:topLinePunct w:val="0"/>
        <w:autoSpaceDE/>
        <w:autoSpaceDN/>
        <w:bidi w:val="0"/>
        <w:adjustRightInd/>
        <w:snapToGrid/>
        <w:spacing w:line="480" w:lineRule="auto"/>
        <w:rPr>
          <w:rFonts w:hint="eastAsia"/>
          <w:lang w:val="en-US" w:eastAsia="zh-CN"/>
        </w:rPr>
      </w:pPr>
      <w:bookmarkStart w:id="21" w:name="_Toc1050"/>
      <w:r>
        <w:rPr>
          <w:rFonts w:hint="eastAsia" w:ascii="汉仪中宋简" w:hAnsi="汉仪中宋简" w:eastAsia="汉仪中宋简" w:cs="汉仪中宋简"/>
          <w:lang w:val="en-US" w:eastAsia="zh-CN"/>
        </w:rPr>
        <w:t>4.7用药指导信息评价</w:t>
      </w:r>
      <w:bookmarkEnd w:id="21"/>
    </w:p>
    <w:p ns2:paraId="11EE232C">
      <w:pPr>
        <w:pStyle w:val="4"/>
        <w:keepNext/>
        <w:keepLines/>
        <w:pageBreakBefore w:val="0"/>
        <w:widowControl w:val="0"/>
        <w:numPr>
          <w:ilvl w:val="0"/>
          <w:numId w:val="8"/>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说明书信息清晰度分析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49"/>
        <w:gridCol w:w="979"/>
        <w:gridCol w:w="1397"/>
        <w:gridCol w:w="1397"/>
        <w:gridCol w:w="1397"/>
        <w:gridCol w:w="1398"/>
      </w:tblGrid>
      <w:tr ns2:paraId="24759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4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DF43C8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13.您对厄贝沙坦氢氯噻嗪片说明书中 “用法用量”“不良反应” 的标注清晰度评价如何？</w:t>
            </w:r>
          </w:p>
        </w:tc>
        <w:tc>
          <w:tcPr>
            <w:tcW w:w="97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EF8C92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852641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A.一目了然</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720020D">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B.容易理解</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353559B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C.部分内容不够明确</w:t>
            </w:r>
          </w:p>
        </w:tc>
        <w:tc>
          <w:tcPr>
            <w:tcW w:w="139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748A8C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D.难以分辨</w:t>
            </w:r>
          </w:p>
        </w:tc>
      </w:tr>
      <w:tr ns2:paraId="109D9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4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7AB13150">
            <w:pPr>
              <w:jc w:val="center"/>
              <w:rPr>
                <w:rFonts w:hint="eastAsia" w:ascii="汉仪中宋简" w:hAnsi="汉仪中宋简" w:eastAsia="汉仪中宋简" w:cs="汉仪中宋简"/>
                <w:i w:val="0"/>
                <w:iCs w:val="0"/>
                <w:color w:val="000000"/>
                <w:sz w:val="20"/>
                <w:szCs w:val="20"/>
                <w:u w:val="none"/>
              </w:rPr>
            </w:pPr>
          </w:p>
        </w:tc>
        <w:tc>
          <w:tcPr>
            <w:tcW w:w="97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377405A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9814BE8">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827</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06601A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715</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D07C924">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100</w:t>
            </w:r>
          </w:p>
        </w:tc>
        <w:tc>
          <w:tcPr>
            <w:tcW w:w="139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383B57E7">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r>
      <w:tr ns2:paraId="05DD7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4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FB7945C">
            <w:pPr>
              <w:jc w:val="center"/>
              <w:rPr>
                <w:rFonts w:hint="eastAsia" w:ascii="汉仪中宋简" w:hAnsi="汉仪中宋简" w:eastAsia="汉仪中宋简" w:cs="汉仪中宋简"/>
                <w:i w:val="0"/>
                <w:iCs w:val="0"/>
                <w:color w:val="000000"/>
                <w:sz w:val="20"/>
                <w:szCs w:val="20"/>
                <w:u w:val="none"/>
              </w:rPr>
            </w:pPr>
          </w:p>
        </w:tc>
        <w:tc>
          <w:tcPr>
            <w:tcW w:w="97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5DFD98A8">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056B5B72">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50.37%</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2FBDC53">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43.54%</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3195E85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39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DF50BEB">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ns2:paraId="04453DAE">
      <w:pPr>
        <w:rPr>
          <w:rFonts w:hint="eastAsia" w:ascii="汉仪中宋简" w:hAnsi="汉仪中宋简" w:eastAsia="汉仪中宋简" w:cs="汉仪中宋简"/>
          <w:lang w:val="en-US" w:eastAsia="zh-CN"/>
        </w:rPr>
      </w:pPr>
    </w:p>
    <w:p ns2:paraId="73E1EAED">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药品说明书是患者获取用药信息的核心载体，其清晰度直接影响患者用药安全性。调研结果显示，50.37%的患者认为说明书中“用法用量”“不良反应”等关键信息一目了然，反馈说明书语言表述通俗易懂、排版逻辑清晰，能够快速定位并理解核心用药信息，无需借助专业知识；43.54%的患者认为容易理解，说明即使部分患者对少数专业术语存在轻微困惑，但结合上下文或简单思考后仍能准确把握核心内容。两者合计占比93.91%，仅6.09%的患者认为部分内容不够明确，无患者反馈难以分辨，表明说明书的信息呈现方式符合大众认知习惯，信息传递效率高，能够为患者安全用药提供基础指导。​</w:t>
      </w:r>
    </w:p>
    <w:p ns2:paraId="79F7EE2D">
      <w:pPr>
        <w:pStyle w:val="4"/>
        <w:keepNext/>
        <w:keepLines/>
        <w:pageBreakBefore w:val="0"/>
        <w:widowControl w:val="0"/>
        <w:numPr>
          <w:ilvl w:val="0"/>
          <w:numId w:val="8"/>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用药指导详细准确性分析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92"/>
        <w:gridCol w:w="982"/>
        <w:gridCol w:w="1485"/>
        <w:gridCol w:w="1485"/>
        <w:gridCol w:w="1485"/>
        <w:gridCol w:w="1488"/>
      </w:tblGrid>
      <w:tr ns2:paraId="48A9C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92"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2A9A3C9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14.您认为当前获取的用药指导是否足够详细准确？</w:t>
            </w:r>
          </w:p>
        </w:tc>
        <w:tc>
          <w:tcPr>
            <w:tcW w:w="98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4377CDD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BB40ED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A.非常详细准确，能解决所有疑问</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682938E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B.比较详细准确，能解决大部分疑问</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3130A1D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C.一般，部分疑问无法解答</w:t>
            </w:r>
          </w:p>
        </w:tc>
        <w:tc>
          <w:tcPr>
            <w:tcW w:w="148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254CB17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D.不够详细准确，存在很多困惑</w:t>
            </w:r>
          </w:p>
        </w:tc>
      </w:tr>
      <w:tr ns2:paraId="2C27C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92"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435C9E8B">
            <w:pPr>
              <w:jc w:val="center"/>
              <w:rPr>
                <w:rFonts w:hint="eastAsia" w:ascii="汉仪中宋简" w:hAnsi="汉仪中宋简" w:eastAsia="汉仪中宋简" w:cs="汉仪中宋简"/>
                <w:i w:val="0"/>
                <w:iCs w:val="0"/>
                <w:color w:val="000000"/>
                <w:sz w:val="20"/>
                <w:szCs w:val="20"/>
                <w:u w:val="none"/>
              </w:rPr>
            </w:pPr>
          </w:p>
        </w:tc>
        <w:tc>
          <w:tcPr>
            <w:tcW w:w="98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4679FA8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7515069A">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817</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68EF142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725</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CD03AC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100</w:t>
            </w:r>
          </w:p>
        </w:tc>
        <w:tc>
          <w:tcPr>
            <w:tcW w:w="148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FDC580E">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0</w:t>
            </w:r>
          </w:p>
        </w:tc>
      </w:tr>
      <w:tr ns2:paraId="16478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92"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FA9030D">
            <w:pPr>
              <w:jc w:val="center"/>
              <w:rPr>
                <w:rFonts w:hint="eastAsia" w:ascii="汉仪中宋简" w:hAnsi="汉仪中宋简" w:eastAsia="汉仪中宋简" w:cs="汉仪中宋简"/>
                <w:i w:val="0"/>
                <w:iCs w:val="0"/>
                <w:color w:val="000000"/>
                <w:sz w:val="20"/>
                <w:szCs w:val="20"/>
                <w:u w:val="none"/>
              </w:rPr>
            </w:pPr>
          </w:p>
        </w:tc>
        <w:tc>
          <w:tcPr>
            <w:tcW w:w="98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FE33FF7">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37BD82C">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49.76%</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A8F15A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44.15%</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9F2ED03">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48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3FE445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ns2:paraId="63D4734D">
      <w:pPr>
        <w:rPr>
          <w:rFonts w:hint="eastAsia" w:ascii="汉仪中宋简" w:hAnsi="汉仪中宋简" w:eastAsia="汉仪中宋简" w:cs="汉仪中宋简"/>
          <w:sz w:val="24"/>
          <w:szCs w:val="32"/>
          <w:lang w:val="en-US" w:eastAsia="zh-CN"/>
        </w:rPr>
      </w:pPr>
    </w:p>
    <w:p ns2:paraId="71D7FAEB">
      <w:pPr>
        <w:keepNext w:val="0"/>
        <w:keepLines w:val="0"/>
        <w:pageBreakBefore w:val="0"/>
        <w:widowControl w:val="0"/>
        <w:kinsoku/>
        <w:wordWrap/>
        <w:overflowPunct/>
        <w:topLinePunct w:val="0"/>
        <w:autoSpaceDE/>
        <w:autoSpaceDN/>
        <w:bidi w:val="0"/>
        <w:adjustRightInd/>
        <w:snapToGrid/>
        <w:spacing w:line="600" w:lineRule="auto"/>
        <w:ind w:firstLine="420"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sz w:val="24"/>
          <w:szCs w:val="32"/>
          <w:lang w:val="en-US" w:eastAsia="zh-CN"/>
        </w:rPr>
        <w:t>专业的用药指导是保障患者安全用药的重要支撑，其详细准确性直接影响用药效果与安全性。调研显示，49.76%的患者认为当前获取的用药指导非常详细准确，能够解决所有用药疑问，说明医疗机构、药店等渠道提供的用药指导服务专业且全面，涵盖了服药时间、注意事项、不良反应应对措施等关键内容；44.15%的患者认为指导比较详细准确，能够解决大部分疑问，说明指导服务基本满足核心用药需求，仅存在少量细节问题未完全覆盖。两者合计占比93.91%，仅6.09%的患者认为部分疑问无法解答，整体反映出当前用药指导服务体系较为完善，能够为患者安全用药提供有效支撑。</w:t>
      </w:r>
    </w:p>
    <w:p ns2:paraId="4E07A1E7">
      <w:pPr>
        <w:pStyle w:val="3"/>
        <w:keepNext/>
        <w:keepLines/>
        <w:pageBreakBefore w:val="0"/>
        <w:widowControl w:val="0"/>
        <w:numPr>
          <w:ilvl w:val="0"/>
          <w:numId w:val="1"/>
        </w:numPr>
        <w:kinsoku/>
        <w:wordWrap/>
        <w:overflowPunct/>
        <w:topLinePunct w:val="0"/>
        <w:autoSpaceDE/>
        <w:autoSpaceDN/>
        <w:bidi w:val="0"/>
        <w:adjustRightInd/>
        <w:snapToGrid/>
        <w:spacing w:line="720" w:lineRule="auto"/>
        <w:textAlignment w:val="auto"/>
        <w:outlineLvl w:val="0"/>
        <w:rPr>
          <w:rFonts w:hint="eastAsia" w:ascii="汉仪中宋简" w:hAnsi="汉仪中宋简" w:eastAsia="汉仪中宋简" w:cs="汉仪中宋简"/>
          <w:b/>
          <w:lang w:val="en-US" w:eastAsia="zh-CN"/>
        </w:rPr>
      </w:pPr>
      <w:bookmarkStart w:id="22" w:name="_Toc19608"/>
      <w:bookmarkStart w:id="30" w:name="_GoBack"/>
      <w:bookmarkEnd w:id="30"/>
      <w:r>
        <w:rPr>
          <w:rFonts w:hint="eastAsia" w:ascii="汉仪中宋简" w:hAnsi="汉仪中宋简" w:eastAsia="汉仪中宋简" w:cs="汉仪中宋简"/>
          <w:b/>
          <w:lang w:val="en-US" w:eastAsia="zh-CN"/>
        </w:rPr>
        <w:t>调研结果</w:t>
      </w:r>
      <w:bookmarkEnd w:id="22"/>
    </w:p>
    <w:p ns2:paraId="038E1764">
      <w:pPr>
        <w:pStyle w:val="3"/>
        <w:bidi w:val="0"/>
        <w:rPr>
          <w:rFonts w:hint="eastAsia" w:ascii="汉仪中宋简" w:hAnsi="汉仪中宋简" w:eastAsia="汉仪中宋简" w:cs="汉仪中宋简"/>
          <w:lang w:val="en-US" w:eastAsia="zh-CN"/>
        </w:rPr>
      </w:pPr>
      <w:bookmarkStart w:id="23" w:name="_Toc7275"/>
      <w:r>
        <w:rPr>
          <w:rFonts w:hint="eastAsia" w:ascii="汉仪中宋简" w:hAnsi="汉仪中宋简" w:eastAsia="汉仪中宋简" w:cs="汉仪中宋简"/>
          <w:lang w:val="en-US" w:eastAsia="zh-CN"/>
        </w:rPr>
        <w:t>5.1问卷重点问题分析</w:t>
      </w:r>
      <w:bookmarkEnd w:id="23"/>
    </w:p>
    <w:p ns2:paraId="435FF72E">
      <w:pPr>
        <w:keepNext w:val="0"/>
        <w:keepLines w:val="0"/>
        <w:pageBreakBefore w:val="0"/>
        <w:widowControl w:val="0"/>
        <w:numPr>
          <w:ilvl w:val="0"/>
          <w:numId w:val="0"/>
        </w:numPr>
        <w:kinsoku/>
        <w:wordWrap/>
        <w:overflowPunct/>
        <w:topLinePunct w:val="0"/>
        <w:autoSpaceDE/>
        <w:autoSpaceDN/>
        <w:bidi w:val="0"/>
        <w:adjustRightInd/>
        <w:snapToGrid/>
        <w:spacing w:line="600" w:lineRule="auto"/>
        <w:ind w:left="0" w:leftChars="0" w:firstLine="480" w:firstLineChars="200"/>
        <w:jc w:val="left"/>
        <w:textAlignment w:val="auto"/>
        <w:rPr>
          <w:rFonts w:hint="eastAsia" w:ascii="汉仪中宋简" w:hAnsi="汉仪中宋简" w:eastAsia="汉仪中宋简" w:cs="汉仪中宋简"/>
          <w:b w:val="0"/>
          <w:bCs w:val="0"/>
          <w:color w:val="000000" w:themeColor="text1"/>
          <w:sz w:val="24"/>
          <w:szCs w:val="24"/>
          <w:highlight w:val="none"/>
          <w:lang w:val="en-US" w:eastAsia="zh-CN"/>
          <ns2:textFill>
            <ns2:solidFill>
              <ns2:schemeClr ns2:val="tx1"/>
            </ns2:solidFill>
          </ns2:textFill>
        </w:rPr>
      </w:pPr>
      <w:r>
        <w:rPr>
          <w:rFonts w:hint="eastAsia" w:ascii="汉仪中宋简" w:hAnsi="汉仪中宋简" w:eastAsia="汉仪中宋简" w:cs="汉仪中宋简"/>
          <w:b w:val="0"/>
          <w:bCs w:val="0"/>
          <w:color w:val="000000" w:themeColor="text1"/>
          <w:sz w:val="24"/>
          <w:szCs w:val="24"/>
          <w:highlight w:val="none"/>
          <w:lang w:val="en-US" w:eastAsia="zh-CN"/>
          <ns2:textFill>
            <ns2:solidFill>
              <ns2:schemeClr ns2:val="tx1"/>
            </ns2:solidFill>
          </ns2:textFill>
        </w:rPr>
        <w:t>药品疗效与经济性是影响高血压患者长期治疗依从性和疾病控制效果的核心维度，两者并非孤立存在，而是存在显著的协同关联。结合本次调研核心数据，对两个维度开展交叉联合分析，结果如下：</w:t>
      </w:r>
    </w:p>
    <w:p ns2:paraId="02310A52">
      <w:pPr>
        <w:keepNext w:val="0"/>
        <w:keepLines w:val="0"/>
        <w:pageBreakBefore w:val="0"/>
        <w:widowControl w:val="0"/>
        <w:numPr>
          <w:ilvl w:val="0"/>
          <w:numId w:val="0"/>
        </w:numPr>
        <w:kinsoku/>
        <w:wordWrap/>
        <w:overflowPunct/>
        <w:topLinePunct w:val="0"/>
        <w:autoSpaceDE/>
        <w:autoSpaceDN/>
        <w:bidi w:val="0"/>
        <w:adjustRightInd/>
        <w:snapToGrid/>
        <w:spacing w:line="600" w:lineRule="auto"/>
        <w:ind w:left="0" w:leftChars="0" w:firstLine="480" w:firstLineChars="200"/>
        <w:jc w:val="left"/>
        <w:textAlignment w:val="auto"/>
        <w:rPr>
          <w:rFonts w:hint="eastAsia" w:ascii="汉仪中宋简" w:hAnsi="汉仪中宋简" w:eastAsia="汉仪中宋简" w:cs="汉仪中宋简"/>
          <w:b w:val="0"/>
          <w:bCs w:val="0"/>
          <w:color w:val="000000" w:themeColor="text1"/>
          <w:sz w:val="24"/>
          <w:szCs w:val="24"/>
          <w:highlight w:val="none"/>
          <w:lang w:val="en-US" w:eastAsia="zh-CN"/>
          <ns2:textFill>
            <ns2:solidFill>
              <ns2:schemeClr ns2:val="tx1"/>
            </ns2:solidFill>
          </ns2:textFill>
        </w:rPr>
      </w:pPr>
      <w:r>
        <w:rPr>
          <w:rFonts w:hint="eastAsia" w:ascii="汉仪中宋简" w:hAnsi="汉仪中宋简" w:eastAsia="汉仪中宋简" w:cs="汉仪中宋简"/>
          <w:b w:val="0"/>
          <w:bCs w:val="0"/>
          <w:color w:val="000000" w:themeColor="text1"/>
          <w:sz w:val="24"/>
          <w:szCs w:val="24"/>
          <w:highlight w:val="none"/>
          <w:lang w:val="en-US" w:eastAsia="zh-CN"/>
          <ns2:textFill>
            <ns2:solidFill>
              <ns2:schemeClr ns2:val="tx1"/>
            </ns2:solidFill>
          </ns2:textFill>
        </w:rPr>
        <w:t>从数据交叉关联来看，在血压控制达标（即选择A“血压稳定在正常范围”+B“血压多数时间在正常范围”）的1542名患者中，96.82%（1493/1542）的患者同时认可药品价格合理性（选择C“在可接受范围”+D“无压力”），仅有3.18%（49/1542）的患者认为价格勉强承受；而在血压偶尔波动）的100名患者中，虽有92%（92/100）的患者认可价格合理性，但价格勉强承受的比例为8%（8/100），显著高于血压控制达标群体。这一数据差异清晰揭示了疗效与经济性的正向协同关系。</w:t>
      </w:r>
    </w:p>
    <w:p ns2:paraId="100136A4">
      <w:pPr>
        <w:keepNext w:val="0"/>
        <w:keepLines w:val="0"/>
        <w:pageBreakBefore w:val="0"/>
        <w:widowControl w:val="0"/>
        <w:numPr>
          <w:ilvl w:val="0"/>
          <w:numId w:val="0"/>
        </w:numPr>
        <w:kinsoku/>
        <w:wordWrap/>
        <w:overflowPunct/>
        <w:topLinePunct w:val="0"/>
        <w:autoSpaceDE/>
        <w:autoSpaceDN/>
        <w:bidi w:val="0"/>
        <w:adjustRightInd/>
        <w:snapToGrid/>
        <w:spacing w:line="600" w:lineRule="auto"/>
        <w:ind w:left="0" w:leftChars="0" w:firstLine="480" w:firstLineChars="200"/>
        <w:jc w:val="left"/>
        <w:textAlignment w:val="auto"/>
        <w:rPr>
          <w:rFonts w:hint="eastAsia" w:ascii="汉仪中宋简" w:hAnsi="汉仪中宋简" w:eastAsia="汉仪中宋简" w:cs="汉仪中宋简"/>
          <w:b w:val="0"/>
          <w:bCs w:val="0"/>
          <w:color w:val="000000" w:themeColor="text1"/>
          <w:sz w:val="24"/>
          <w:szCs w:val="24"/>
          <w:highlight w:val="none"/>
          <w:lang w:val="en-US" w:eastAsia="zh-CN"/>
          <ns2:textFill>
            <ns2:solidFill>
              <ns2:schemeClr ns2:val="tx1"/>
            </ns2:solidFill>
          </ns2:textFill>
        </w:rPr>
      </w:pPr>
      <w:r>
        <w:rPr>
          <w:rFonts w:hint="eastAsia" w:ascii="汉仪中宋简" w:hAnsi="汉仪中宋简" w:eastAsia="汉仪中宋简" w:cs="汉仪中宋简"/>
          <w:b w:val="0"/>
          <w:bCs w:val="0"/>
          <w:color w:val="000000" w:themeColor="text1"/>
          <w:sz w:val="24"/>
          <w:szCs w:val="24"/>
          <w:highlight w:val="none"/>
          <w:lang w:val="en-US" w:eastAsia="zh-CN"/>
          <ns2:textFill>
            <ns2:solidFill>
              <ns2:schemeClr ns2:val="tx1"/>
            </ns2:solidFill>
          </ns2:textFill>
        </w:rPr>
        <w:t>从临床治疗逻辑来看，这种协同关系形成了“经济可及-规律用药-疗效稳固”的良性循环：一方面，该药物96.59%的高价格接受度，大幅降低了患者长期购药的经济压力，使其能够持续规律服药，避免因经济负担中断治疗，为药物疗效的充分发挥提供了前提保障；另一方面，93.91%的高血压控制达标率，让患者切实感知到药物的治疗价值，进一步强化了对“价格-治疗价值”匹配度的认可，反向提升了其长期用药的意愿。反之，血压偶尔波动群体中更高的价格勉强承受比例也提示，经济压力可能是影响该部分患者用药连续性的潜在因素，进而间接影响血压控制效果。</w:t>
      </w:r>
    </w:p>
    <w:p ns2:paraId="7E5CDE53">
      <w:pPr>
        <w:keepNext w:val="0"/>
        <w:keepLines w:val="0"/>
        <w:pageBreakBefore w:val="0"/>
        <w:widowControl w:val="0"/>
        <w:numPr>
          <w:ilvl w:val="0"/>
          <w:numId w:val="0"/>
        </w:numPr>
        <w:kinsoku/>
        <w:wordWrap/>
        <w:overflowPunct/>
        <w:topLinePunct w:val="0"/>
        <w:autoSpaceDE/>
        <w:autoSpaceDN/>
        <w:bidi w:val="0"/>
        <w:adjustRightInd/>
        <w:snapToGrid/>
        <w:spacing w:line="600" w:lineRule="auto"/>
        <w:ind w:left="0" w:leftChars="0" w:firstLine="480" w:firstLineChars="200"/>
        <w:jc w:val="left"/>
        <w:textAlignment w:val="auto"/>
        <w:rPr>
          <w:rFonts w:hint="eastAsia" w:ascii="汉仪中宋简" w:hAnsi="汉仪中宋简" w:eastAsia="汉仪中宋简" w:cs="汉仪中宋简"/>
          <w:b w:val="0"/>
          <w:bCs w:val="0"/>
          <w:color w:val="000000" w:themeColor="text1"/>
          <w:sz w:val="24"/>
          <w:szCs w:val="24"/>
          <w:highlight w:val="none"/>
          <w:lang w:val="en-US" w:eastAsia="zh-CN"/>
          <ns2:textFill>
            <ns2:solidFill>
              <ns2:schemeClr ns2:val="tx1"/>
            </ns2:solidFill>
          </ns2:textFill>
        </w:rPr>
      </w:pPr>
      <w:r>
        <w:rPr>
          <w:rFonts w:hint="eastAsia" w:ascii="汉仪中宋简" w:hAnsi="汉仪中宋简" w:eastAsia="汉仪中宋简" w:cs="汉仪中宋简"/>
          <w:b w:val="0"/>
          <w:bCs w:val="0"/>
          <w:color w:val="000000" w:themeColor="text1"/>
          <w:sz w:val="24"/>
          <w:szCs w:val="24"/>
          <w:highlight w:val="none"/>
          <w:lang w:val="en-US" w:eastAsia="zh-CN"/>
          <ns2:textFill>
            <ns2:solidFill>
              <ns2:schemeClr ns2:val="tx1"/>
            </ns2:solidFill>
          </ns2:textFill>
        </w:rPr>
        <w:t>此外，无患者反馈血压持续失控，也无患者反馈价格难以承受，这一“双零”结果进一步印证了该药物在疗效可靠性与价格亲民性上的均衡优势，能够同时满足患者“能降压”的核心治疗需求和“用得起”的经济需求，为高血压长期规范管理提供了双重核心支撑。</w:t>
      </w:r>
    </w:p>
    <w:p ns2:paraId="472857A5">
      <w:pPr>
        <w:pStyle w:val="3"/>
        <w:bidi w:val="0"/>
        <w:rPr>
          <w:rFonts w:hint="eastAsia" w:ascii="汉仪中宋简" w:hAnsi="汉仪中宋简" w:eastAsia="汉仪中宋简" w:cs="汉仪中宋简"/>
          <w:b w:val="0"/>
          <w:bCs w:val="0"/>
          <w:color w:val="000000" w:themeColor="text1"/>
          <w:sz w:val="24"/>
          <w:szCs w:val="24"/>
          <w:highlight w:val="none"/>
          <w:lang w:val="en-US" w:eastAsia="zh-CN"/>
          <ns2:textFill>
            <ns2:solidFill>
              <ns2:schemeClr ns2:val="tx1"/>
            </ns2:solidFill>
          </ns2:textFill>
        </w:rPr>
      </w:pPr>
      <w:bookmarkStart w:id="24" w:name="_Toc25533"/>
      <w:r>
        <w:rPr>
          <w:rFonts w:hint="eastAsia" w:ascii="汉仪中宋简" w:hAnsi="汉仪中宋简" w:eastAsia="汉仪中宋简" w:cs="汉仪中宋简"/>
          <w:highlight w:val="none"/>
          <w:lang w:val="en-US" w:eastAsia="zh-CN"/>
        </w:rPr>
        <w:t>5.2调研结果分析</w:t>
      </w:r>
      <w:bookmarkEnd w:id="24"/>
    </w:p>
    <w:p ns2:paraId="40A1FD76">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20" w:firstLineChars="0"/>
        <w:jc w:val="left"/>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ns2:textFill>
            <ns2:solidFill>
              <ns2:schemeClr ns2:val="tx1"/>
            </ns2:solidFill>
          </ns2:textFill>
        </w:rPr>
      </w:pPr>
      <w:r>
        <w:rPr>
          <w:rFonts w:hint="eastAsia" w:ascii="汉仪中宋简" w:hAnsi="汉仪中宋简" w:eastAsia="汉仪中宋简" w:cs="汉仪中宋简"/>
          <w:b w:val="0"/>
          <w:bCs w:val="0"/>
          <w:color w:val="000000" w:themeColor="text1"/>
          <w:kern w:val="2"/>
          <w:sz w:val="24"/>
          <w:szCs w:val="24"/>
          <w:highlight w:val="none"/>
          <w:lang w:val="en-US" w:eastAsia="zh-CN" w:bidi="ar-SA"/>
          <ns2:textFill>
            <ns2:solidFill>
              <ns2:schemeClr ns2:val="tx1"/>
            </ns2:solidFill>
          </ns2:textFill>
        </w:rPr>
        <w:t>本次调研基于1642份有效问卷，系统分析了厄贝沙坦氢氯噻嗪片在临床应用中的疗效、安全性、用药体验等核心维度，整体呈现“核心优势突出、细节有待优化”的特征，其中药品疗效与经济性的优势尤为显著。</w:t>
      </w:r>
    </w:p>
    <w:p ns2:paraId="54DB6C37">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20" w:firstLineChars="0"/>
        <w:jc w:val="left"/>
        <w:textAlignment w:val="auto"/>
        <w:rPr>
          <w:rFonts w:hint="eastAsia" w:ascii="汉仪中宋简" w:hAnsi="汉仪中宋简" w:eastAsia="汉仪中宋简" w:cs="汉仪中宋简"/>
          <w:b/>
          <w:bCs/>
          <w:color w:val="000000" w:themeColor="text1"/>
          <w:kern w:val="2"/>
          <w:sz w:val="24"/>
          <w:szCs w:val="24"/>
          <w:highlight w:val="none"/>
          <w:lang w:val="en-US" w:eastAsia="zh-CN" w:bidi="ar-SA"/>
          <ns2:textFill>
            <ns2:solidFill>
              <ns2:schemeClr ns2:val="tx1"/>
            </ns2:solidFill>
          </ns2:textFill>
        </w:rPr>
      </w:pPr>
      <w:r>
        <w:rPr>
          <w:rFonts w:hint="eastAsia" w:ascii="汉仪中宋简" w:hAnsi="汉仪中宋简" w:eastAsia="汉仪中宋简" w:cs="汉仪中宋简"/>
          <w:b/>
          <w:bCs/>
          <w:color w:val="000000" w:themeColor="text1"/>
          <w:kern w:val="2"/>
          <w:sz w:val="24"/>
          <w:szCs w:val="24"/>
          <w:highlight w:val="none"/>
          <w:lang w:val="en-US" w:eastAsia="zh-CN" w:bidi="ar-SA"/>
          <ns2:textFill>
            <ns2:solidFill>
              <ns2:schemeClr ns2:val="tx1"/>
            </ns2:solidFill>
          </ns2:textFill>
        </w:rPr>
        <w:t>1. 核心优势：</w:t>
      </w:r>
      <w:r>
        <w:rPr>
          <w:rFonts w:hint="eastAsia" w:ascii="汉仪中宋简" w:hAnsi="汉仪中宋简" w:eastAsia="汉仪中宋简" w:cs="汉仪中宋简"/>
          <w:b w:val="0"/>
          <w:bCs w:val="0"/>
          <w:color w:val="000000" w:themeColor="text1"/>
          <w:kern w:val="2"/>
          <w:sz w:val="24"/>
          <w:szCs w:val="24"/>
          <w:highlight w:val="none"/>
          <w:lang w:val="en-US" w:eastAsia="zh-CN" w:bidi="ar-SA"/>
          <ns2:textFill>
            <ns2:solidFill>
              <ns2:schemeClr ns2:val="tx1"/>
            </ns2:solidFill>
          </ns2:textFill>
        </w:rPr>
        <w:t>一是疗效可靠稳定，作为核心治疗指标，血压控制达标率高达93.91%，近半数患者实现血压稳定控制，超四成患者血压多数时间处于正常范围，无患者反馈血压持续失控，充分验证了该复方制剂的临床降压价值；二是安全性良好，头晕头痛、口渴多尿等典型不良反应发生率均仅为6.09%，且症状轻微可耐受，近九成半患者无明显不适，未出现严重不良反应，为长期用药筑牢安全基础；三是经济性亲民，96.59%的患者认为药品价格在可承受范围或无压力，无患者反馈价格难以承受，合理的价格定位有效降低了长期用药负担，提升了治疗依从性；四是用药便利性与可及性佳，超九成患者对服药频率满意，近九成四患者认可药品包装便利性，且100%患者的用药供应得到保障，无因缺货影响治疗的情况；五是用药指导体系完善，超九成患者认可用药指导的详细准确性，说明书关键信息清晰度符合大众认知需求</w:t>
      </w:r>
      <w:r>
        <w:rPr>
          <w:rFonts w:hint="eastAsia" w:ascii="汉仪中宋简" w:hAnsi="汉仪中宋简" w:eastAsia="汉仪中宋简" w:cs="汉仪中宋简"/>
          <w:b/>
          <w:bCs/>
          <w:color w:val="000000" w:themeColor="text1"/>
          <w:kern w:val="2"/>
          <w:sz w:val="24"/>
          <w:szCs w:val="24"/>
          <w:highlight w:val="none"/>
          <w:lang w:val="en-US" w:eastAsia="zh-CN" w:bidi="ar-SA"/>
          <ns2:textFill>
            <ns2:solidFill>
              <ns2:schemeClr ns2:val="tx1"/>
            </ns2:solidFill>
          </ns2:textFill>
        </w:rPr>
        <w:t>。</w:t>
      </w:r>
    </w:p>
    <w:p ns2:paraId="5D03F8F9">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20" w:firstLineChars="0"/>
        <w:jc w:val="left"/>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ns2:textFill>
            <ns2:solidFill>
              <ns2:schemeClr ns2:val="tx1"/>
            </ns2:solidFill>
          </ns2:textFill>
        </w:rPr>
      </w:pPr>
      <w:r>
        <w:rPr>
          <w:rFonts w:hint="eastAsia" w:ascii="汉仪中宋简" w:hAnsi="汉仪中宋简" w:eastAsia="汉仪中宋简" w:cs="汉仪中宋简"/>
          <w:b/>
          <w:bCs/>
          <w:color w:val="000000" w:themeColor="text1"/>
          <w:kern w:val="2"/>
          <w:sz w:val="24"/>
          <w:szCs w:val="24"/>
          <w:highlight w:val="none"/>
          <w:lang w:val="en-US" w:eastAsia="zh-CN" w:bidi="ar-SA"/>
          <ns2:textFill>
            <ns2:solidFill>
              <ns2:schemeClr ns2:val="tx1"/>
            </ns2:solidFill>
          </ns2:textFill>
        </w:rPr>
        <w:t>2. 优化空间：</w:t>
      </w:r>
      <w:r>
        <w:rPr>
          <w:rFonts w:hint="eastAsia" w:ascii="汉仪中宋简" w:hAnsi="汉仪中宋简" w:eastAsia="汉仪中宋简" w:cs="汉仪中宋简"/>
          <w:b w:val="0"/>
          <w:bCs w:val="0"/>
          <w:color w:val="000000" w:themeColor="text1"/>
          <w:kern w:val="2"/>
          <w:sz w:val="24"/>
          <w:szCs w:val="24"/>
          <w:highlight w:val="none"/>
          <w:lang w:val="en-US" w:eastAsia="zh-CN" w:bidi="ar-SA"/>
          <ns2:textFill>
            <ns2:solidFill>
              <ns2:schemeClr ns2:val="tx1"/>
            </ns2:solidFill>
          </ns2:textFill>
        </w:rPr>
        <w:t>一是用药规范性有待提升，21.08%的患者存在不规范用药情况，超一成患者经常自行调整剂量，5.12%的患者从未按规定剂量服用；二是联合用药安全意识不足，联合用药患者中近半数未咨询医生确认药物兼容性，存在潜在用药风险；三是血压监测频率不足，38.06%的患者无法定期监测血压，难以及时掌握血压控制情况；四是部分购药渠道存在风险，22.04%的患者通过其他非正规渠道购药，可能面临药品质量隐患。</w:t>
      </w:r>
    </w:p>
    <w:p ns2:paraId="352EFD12">
      <w:pPr>
        <w:pStyle w:val="3"/>
        <w:bidi w:val="0"/>
        <w:rPr>
          <w:rFonts w:hint="eastAsia" w:ascii="汉仪中宋简" w:hAnsi="汉仪中宋简" w:eastAsia="汉仪中宋简" w:cs="汉仪中宋简"/>
          <w:sz w:val="24"/>
          <w:szCs w:val="24"/>
          <w:highlight w:val="none"/>
          <w:lang w:val="en-US" w:eastAsia="zh-CN"/>
        </w:rPr>
      </w:pPr>
      <w:bookmarkStart w:id="25" w:name="_Toc4442"/>
      <w:r>
        <w:rPr>
          <w:rFonts w:hint="eastAsia" w:ascii="汉仪中宋简" w:hAnsi="汉仪中宋简" w:eastAsia="汉仪中宋简" w:cs="汉仪中宋简"/>
          <w:highlight w:val="none"/>
          <w:lang w:val="en-US" w:eastAsia="zh-CN"/>
        </w:rPr>
        <w:t>5.3建议</w:t>
      </w:r>
      <w:bookmarkEnd w:id="25"/>
    </w:p>
    <w:p ns2:paraId="1B2E2CF6">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20" w:firstLineChars="0"/>
        <w:jc w:val="left"/>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ns2:textFill>
            <ns2:solidFill>
              <ns2:schemeClr ns2:val="tx1"/>
            </ns2:solidFill>
          </ns2:textFill>
        </w:rPr>
      </w:pPr>
      <w:r>
        <w:rPr>
          <w:rFonts w:hint="eastAsia" w:ascii="汉仪中宋简" w:hAnsi="汉仪中宋简" w:eastAsia="汉仪中宋简" w:cs="汉仪中宋简"/>
          <w:b w:val="0"/>
          <w:bCs w:val="0"/>
          <w:color w:val="000000" w:themeColor="text1"/>
          <w:kern w:val="2"/>
          <w:sz w:val="24"/>
          <w:szCs w:val="24"/>
          <w:highlight w:val="none"/>
          <w:lang w:val="en-US" w:eastAsia="zh-CN" w:bidi="ar-SA"/>
          <ns2:textFill>
            <ns2:solidFill>
              <ns2:schemeClr ns2:val="tx1"/>
            </ns2:solidFill>
          </ns2:textFill>
        </w:rPr>
        <w:t>结合调研结果，为进一步强化厄贝沙坦氢氯噻嗪片的临床应用效果，提升患者用药体验与安全性，围绕临床诊疗、药企优化服务维度提出以下建议：</w:t>
      </w:r>
    </w:p>
    <w:p ns2:paraId="1B2B00F5">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20" w:firstLineChars="0"/>
        <w:jc w:val="left"/>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ns2:textFill>
            <ns2:solidFill>
              <ns2:schemeClr ns2:val="tx1"/>
            </ns2:solidFill>
          </ns2:textFill>
        </w:rPr>
      </w:pPr>
      <w:r>
        <w:rPr>
          <w:rFonts w:hint="eastAsia" w:ascii="汉仪中宋简" w:hAnsi="汉仪中宋简" w:eastAsia="汉仪中宋简" w:cs="汉仪中宋简"/>
          <w:b w:val="0"/>
          <w:bCs w:val="0"/>
          <w:color w:val="000000" w:themeColor="text1"/>
          <w:kern w:val="2"/>
          <w:sz w:val="24"/>
          <w:szCs w:val="24"/>
          <w:highlight w:val="none"/>
          <w:lang w:val="en-US" w:eastAsia="zh-CN" w:bidi="ar-SA"/>
          <ns2:textFill>
            <ns2:solidFill>
              <ns2:schemeClr ns2:val="tx1"/>
            </ns2:solidFill>
          </ns2:textFill>
        </w:rPr>
        <w:t>1. 临床层面：聚焦用药规范性提升，强化精准教育干预。针对血压偶尔波动、用药不规范的重点群体，通过复诊一对一宣讲、线上科普短视频、患者手册等多种形式，重点强调剂量调整必须严格遵循医嘱，严禁自行根据主观感受调整剂量；针对联合用药患者，在开具处方时主动提醒并确认药物兼容性，定期梳理用药清单，规避药物相互作用风险；同时普及血压监测的重要性，指导患者选择合适的监测工具，养成“每周至少监测2-3次”的规律监测习惯，并记录监测数据，为治疗方案优化提供支撑。</w:t>
      </w:r>
    </w:p>
    <w:p ns2:paraId="6087A099">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20" w:firstLineChars="0"/>
        <w:jc w:val="left"/>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ns2:textFill>
            <ns2:solidFill>
              <ns2:schemeClr ns2:val="tx1"/>
            </ns2:solidFill>
          </ns2:textFill>
        </w:rPr>
      </w:pPr>
      <w:r>
        <w:rPr>
          <w:rFonts w:hint="eastAsia" w:ascii="汉仪中宋简" w:hAnsi="汉仪中宋简" w:eastAsia="汉仪中宋简" w:cs="汉仪中宋简"/>
          <w:b w:val="0"/>
          <w:bCs w:val="0"/>
          <w:color w:val="000000" w:themeColor="text1"/>
          <w:kern w:val="2"/>
          <w:sz w:val="24"/>
          <w:szCs w:val="24"/>
          <w:highlight w:val="none"/>
          <w:lang w:val="en-US" w:eastAsia="zh-CN" w:bidi="ar-SA"/>
          <ns2:textFill>
            <ns2:solidFill>
              <ns2:schemeClr ns2:val="tx1"/>
            </ns2:solidFill>
          </ns2:textFill>
        </w:rPr>
        <w:t>2. 药企方面：持续优化产品细节，补充服务支撑体系。针对少数患者反映的包装取用问题，开展针对性调研，优化包装设计（如增加易撕口、推出分剂量包装等），提升使用便捷性；针对说明书中部分不明确内容，采用更通俗的语言表述，增加图文解读模块，降低患者理解难度；搭建官方线上咨询平台，组建专业药师团队，为患者提供个性化用药指导服务，补充现有指导渠道的不足，重点解答联合用药、不良反应应对等常见疑问。</w:t>
      </w:r>
    </w:p>
    <w:p ns2:paraId="5D64DD0F">
      <w:pPr>
        <w:rPr>
          <w:rFonts w:hint="eastAsia" w:ascii="汉仪中宋简" w:hAnsi="汉仪中宋简" w:eastAsia="汉仪中宋简" w:cs="汉仪中宋简"/>
          <w:lang w:val="en-US" w:eastAsia="zh-CN"/>
        </w:rPr>
      </w:pPr>
      <w:bookmarkStart w:id="26" w:name="_Toc17910"/>
      <w:r>
        <w:rPr>
          <w:rFonts w:hint="eastAsia" w:ascii="汉仪中宋简" w:hAnsi="汉仪中宋简" w:eastAsia="汉仪中宋简" w:cs="汉仪中宋简"/>
          <w:lang w:val="en-US" w:eastAsia="zh-CN"/>
        </w:rPr>
        <w:br w:type="page"/>
      </w:r>
    </w:p>
    <w:p ns2:paraId="4272D18C">
      <w:pPr>
        <w:pStyle w:val="2"/>
        <w:bidi w:val="0"/>
        <w:jc w:val="left"/>
        <w:rPr>
          <w:rFonts w:hint="eastAsia" w:ascii="汉仪中宋简" w:hAnsi="汉仪中宋简" w:eastAsia="汉仪中宋简" w:cs="汉仪中宋简"/>
          <w:lang w:val="en-US" w:eastAsia="zh-CN"/>
        </w:rPr>
      </w:pPr>
      <w:r>
        <w:rPr>
          <w:rFonts w:hint="eastAsia" w:ascii="汉仪中宋简" w:hAnsi="汉仪中宋简" w:eastAsia="汉仪中宋简" w:cs="汉仪中宋简"/>
          <w:lang w:val="en-US" w:eastAsia="zh-CN"/>
        </w:rPr>
        <w:t>附件1：厄贝沙坦氢氯噻嗪片用药体验与疗效反馈患者调查问卷</w:t>
      </w:r>
      <w:bookmarkEnd w:id="26"/>
    </w:p>
    <w:p ns2:paraId="1FEC2CC2">
      <w:pPr>
        <w:ind w:left="0" w:leftChars="0" w:firstLine="0" w:firstLineChars="0"/>
        <w:jc w:val="both"/>
        <w:rPr>
          <w:rFonts w:hint="eastAsia" w:ascii="汉仪中宋简" w:hAnsi="汉仪中宋简" w:eastAsia="汉仪中宋简" w:cs="汉仪中宋简"/>
          <w:lang w:val="en-US" w:eastAsia="zh-CN"/>
        </w:rPr>
      </w:pPr>
    </w:p>
    <w:p ns2:paraId="6CCA3D18">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您服用厄贝沙坦氢氯噻嗪片后，血压控制效果如何？</w:t>
      </w:r>
    </w:p>
    <w:p ns2:paraId="66C0D4C3">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血压稳定在正常范围</w:t>
      </w:r>
    </w:p>
    <w:p ns2:paraId="6CE1425B">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血压多数时间在正常范围</w:t>
      </w:r>
    </w:p>
    <w:p ns2:paraId="4B4D6147">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血压偶尔超出正常范围</w:t>
      </w:r>
    </w:p>
    <w:p ns2:paraId="2B1D7314">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血压持续超出正常范围</w:t>
      </w:r>
    </w:p>
    <w:p ns2:paraId="352AD0F7">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您服用厄贝沙坦氢氯噻嗪片期间，是否出现过头晕、头痛症状？</w:t>
      </w:r>
    </w:p>
    <w:p ns2:paraId="5AB3DCC9">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经常出现，症状严重</w:t>
      </w:r>
    </w:p>
    <w:p ns2:paraId="0DDB611B">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偶尔出现，症状轻微可忍受</w:t>
      </w:r>
    </w:p>
    <w:p ns2:paraId="29DD6DC3">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很少出现，几乎无感觉</w:t>
      </w:r>
    </w:p>
    <w:p ns2:paraId="78517D89">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从未出现过</w:t>
      </w:r>
    </w:p>
    <w:p ns2:paraId="3CD4510E">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您服用厄贝沙坦氢氯噻嗪片期间，是否出现过口渴、多尿情况？</w:t>
      </w:r>
    </w:p>
    <w:p ns2:paraId="044674F6">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经常出现，影响正常生活</w:t>
      </w:r>
    </w:p>
    <w:p ns2:paraId="5DD87521">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偶尔出现，无明显影响</w:t>
      </w:r>
    </w:p>
    <w:p ns2:paraId="407CF38D">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很少出现，几乎不察觉</w:t>
      </w:r>
    </w:p>
    <w:p ns2:paraId="2245D953">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从未出现过</w:t>
      </w:r>
    </w:p>
    <w:p ns2:paraId="1BB602CA">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您通常通过什么渠道购买厄贝沙坦氢氯噻嗪片？</w:t>
      </w:r>
    </w:p>
    <w:p ns2:paraId="1091005F">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医院药房</w:t>
      </w:r>
    </w:p>
    <w:p ns2:paraId="17BF188A">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线下连锁药店</w:t>
      </w:r>
    </w:p>
    <w:p ns2:paraId="1367894C">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正规网上药店</w:t>
      </w:r>
    </w:p>
    <w:p ns2:paraId="2E411F45">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其他渠道（请注明）</w:t>
      </w:r>
    </w:p>
    <w:p ns2:paraId="4A6E75C8">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您认为厄贝沙坦氢氯噻嗪片的价格对您的用药负担影响如何？</w:t>
      </w:r>
    </w:p>
    <w:p ns2:paraId="12BF58ED">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难以承受</w:t>
      </w:r>
    </w:p>
    <w:p ns2:paraId="7D855842">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勉强承受</w:t>
      </w:r>
    </w:p>
    <w:p ns2:paraId="6568AEB4">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在可接受范围</w:t>
      </w:r>
    </w:p>
    <w:p ns2:paraId="75966934">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无压力</w:t>
      </w:r>
    </w:p>
    <w:p ns2:paraId="5A4BE6E6">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您服用厄贝沙坦氢氯噻嗪片的剂量是否严格按照医嘱？</w:t>
      </w:r>
    </w:p>
    <w:p ns2:paraId="6F7208D9">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始终严格遵守</w:t>
      </w:r>
    </w:p>
    <w:p ns2:paraId="301BBCB2">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大部分时间遵守，偶尔微调</w:t>
      </w:r>
    </w:p>
    <w:p ns2:paraId="02514DCE">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经常根据自身感觉调整</w:t>
      </w:r>
    </w:p>
    <w:p ns2:paraId="2FDCE85C">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eastAsia"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从未按规定剂量服用</w:t>
      </w:r>
    </w:p>
    <w:p ns2:paraId="3C8B964E">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您对厄贝沙坦氢氯噻嗪片的服药频率满意度如何？</w:t>
      </w:r>
    </w:p>
    <w:p ns2:paraId="21EE6A01">
      <w:pPr>
        <w:keepNext w:val="0"/>
        <w:keepLines w:val="0"/>
        <w:pageBreakBefore w:val="0"/>
        <w:widowControl w:val="0"/>
        <w:numPr>
          <w:ilvl w:val="0"/>
          <w:numId w:val="1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频率很合适，按要求吃很轻松</w:t>
      </w:r>
    </w:p>
    <w:p ns2:paraId="6D967439">
      <w:pPr>
        <w:keepNext w:val="0"/>
        <w:keepLines w:val="0"/>
        <w:pageBreakBefore w:val="0"/>
        <w:widowControl w:val="0"/>
        <w:numPr>
          <w:ilvl w:val="0"/>
          <w:numId w:val="1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频率还可以，没对生活造成困扰</w:t>
      </w:r>
    </w:p>
    <w:p ns2:paraId="4411C818">
      <w:pPr>
        <w:keepNext w:val="0"/>
        <w:keepLines w:val="0"/>
        <w:pageBreakBefore w:val="0"/>
        <w:widowControl w:val="0"/>
        <w:numPr>
          <w:ilvl w:val="0"/>
          <w:numId w:val="1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频率稍微有点高，偶尔会记不清</w:t>
      </w:r>
    </w:p>
    <w:p ns2:paraId="35B610CD">
      <w:pPr>
        <w:keepNext w:val="0"/>
        <w:keepLines w:val="0"/>
        <w:pageBreakBefore w:val="0"/>
        <w:widowControl w:val="0"/>
        <w:numPr>
          <w:ilvl w:val="0"/>
          <w:numId w:val="1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频率不太适应，想过调整一下</w:t>
      </w:r>
    </w:p>
    <w:p ns2:paraId="6B0ADD53">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您服用厄贝沙坦氢氯噻嗪片期间，是否同时服用其他降压药物？</w:t>
      </w:r>
    </w:p>
    <w:p ns2:paraId="785C0DD9">
      <w:pPr>
        <w:keepNext w:val="0"/>
        <w:keepLines w:val="0"/>
        <w:pageBreakBefore w:val="0"/>
        <w:widowControl w:val="0"/>
        <w:numPr>
          <w:ilvl w:val="0"/>
          <w:numId w:val="11"/>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同时服用 1 种其他降压药</w:t>
      </w:r>
    </w:p>
    <w:p ns2:paraId="18BDF8E6">
      <w:pPr>
        <w:keepNext w:val="0"/>
        <w:keepLines w:val="0"/>
        <w:pageBreakBefore w:val="0"/>
        <w:widowControl w:val="0"/>
        <w:numPr>
          <w:ilvl w:val="0"/>
          <w:numId w:val="11"/>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同时服用 2 种及以上其他降压药</w:t>
      </w:r>
    </w:p>
    <w:p ns2:paraId="0E01FA29">
      <w:pPr>
        <w:keepNext w:val="0"/>
        <w:keepLines w:val="0"/>
        <w:pageBreakBefore w:val="0"/>
        <w:widowControl w:val="0"/>
        <w:numPr>
          <w:ilvl w:val="0"/>
          <w:numId w:val="11"/>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同时服用降压药及其他疾病治疗药物</w:t>
      </w:r>
    </w:p>
    <w:p ns2:paraId="3627E7B2">
      <w:pPr>
        <w:keepNext w:val="0"/>
        <w:keepLines w:val="0"/>
        <w:pageBreakBefore w:val="0"/>
        <w:widowControl w:val="0"/>
        <w:numPr>
          <w:ilvl w:val="0"/>
          <w:numId w:val="11"/>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仅服用该药物</w:t>
      </w:r>
    </w:p>
    <w:p ns2:paraId="24C53AFE">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您是否咨询过医生，确认厄贝沙坦氢氯噻嗪片与其他药物可同时服用？</w:t>
      </w:r>
    </w:p>
    <w:p ns2:paraId="2A751218">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专门咨询过，确认无冲突</w:t>
      </w:r>
    </w:p>
    <w:p ns2:paraId="2CA52B37">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简单询问过，大致了解</w:t>
      </w:r>
    </w:p>
    <w:p ns2:paraId="2FEC6149">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没咨询过，但认为无问题</w:t>
      </w:r>
    </w:p>
    <w:p ns2:paraId="6280C8A0">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没咨询过，不清楚是否有冲突</w:t>
      </w:r>
    </w:p>
    <w:p ns2:paraId="761D9CEC">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您所在地区的厄贝沙坦氢氯噻嗪片供应是否稳定？</w:t>
      </w:r>
    </w:p>
    <w:p ns2:paraId="285FB246">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随时能买到</w:t>
      </w:r>
    </w:p>
    <w:p ns2:paraId="5D6C5B9E">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偶尔缺货但不影响用药</w:t>
      </w:r>
    </w:p>
    <w:p ns2:paraId="33820A1F">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经常缺货</w:t>
      </w:r>
    </w:p>
    <w:p ns2:paraId="7C7F41D9">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eastAsia"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严重影响用药</w:t>
      </w:r>
    </w:p>
    <w:p ns2:paraId="429D0FCE">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您服用厄贝沙坦氢氯噻嗪片期间，是否定期监测血压？</w:t>
      </w:r>
    </w:p>
    <w:p ns2:paraId="0092B7AB">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每天监测，记录详细数据</w:t>
      </w:r>
    </w:p>
    <w:p ns2:paraId="290FDC11">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每周监测 2-3 次，了解大致情况</w:t>
      </w:r>
    </w:p>
    <w:p ns2:paraId="772CAEC4">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偶尔监测，无固定频率</w:t>
      </w:r>
    </w:p>
    <w:p ns2:paraId="095D4DE0">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从未监测</w:t>
      </w:r>
    </w:p>
    <w:p ns2:paraId="12C2374E">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您对厄贝沙坦氢氯噻嗪片药品包装的便利性评价如何？</w:t>
      </w:r>
    </w:p>
    <w:p ns2:paraId="3B9158A8">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储存、取用都方便</w:t>
      </w:r>
    </w:p>
    <w:p ns2:paraId="61A7E73D">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基本满足需求</w:t>
      </w:r>
    </w:p>
    <w:p ns2:paraId="0234AF46">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存在取用麻烦等问题</w:t>
      </w:r>
    </w:p>
    <w:p ns2:paraId="63775ECB">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非常不便利，严重影响使用</w:t>
      </w:r>
    </w:p>
    <w:p ns2:paraId="7C23499B">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您对厄贝沙坦氢氯噻嗪片说明书中</w:t>
      </w:r>
      <w:r>
        <w:rPr>
          <w:rFonts w:hint="eastAsia" w:ascii="汉仪中宋简" w:hAnsi="汉仪中宋简" w:eastAsia="汉仪中宋简" w:cs="汉仪中宋简"/>
          <w:snapToGrid/>
          <w:kern w:val="2"/>
          <w:sz w:val="24"/>
          <w:szCs w:val="24"/>
          <w:lang w:val="en-US" w:eastAsia="zh-CN"/>
        </w:rPr>
        <w:t>“</w:t>
      </w:r>
      <w:r>
        <w:rPr>
          <w:rFonts w:hint="default" w:ascii="汉仪中宋简" w:hAnsi="汉仪中宋简" w:eastAsia="汉仪中宋简" w:cs="汉仪中宋简"/>
          <w:snapToGrid/>
          <w:kern w:val="2"/>
          <w:sz w:val="24"/>
          <w:szCs w:val="24"/>
          <w:lang w:val="en-US" w:eastAsia="zh-CN"/>
        </w:rPr>
        <w:t>用法用量”“不良反应</w:t>
      </w:r>
      <w:r>
        <w:rPr>
          <w:rFonts w:hint="eastAsia" w:ascii="汉仪中宋简" w:hAnsi="汉仪中宋简" w:eastAsia="汉仪中宋简" w:cs="汉仪中宋简"/>
          <w:snapToGrid/>
          <w:kern w:val="2"/>
          <w:sz w:val="24"/>
          <w:szCs w:val="24"/>
          <w:lang w:val="en-US" w:eastAsia="zh-CN"/>
        </w:rPr>
        <w:t>”</w:t>
      </w:r>
      <w:r>
        <w:rPr>
          <w:rFonts w:hint="default" w:ascii="汉仪中宋简" w:hAnsi="汉仪中宋简" w:eastAsia="汉仪中宋简" w:cs="汉仪中宋简"/>
          <w:snapToGrid/>
          <w:kern w:val="2"/>
          <w:sz w:val="24"/>
          <w:szCs w:val="24"/>
          <w:lang w:val="en-US" w:eastAsia="zh-CN"/>
        </w:rPr>
        <w:t>的标注清晰度评价如何？</w:t>
      </w:r>
    </w:p>
    <w:p ns2:paraId="4EE70D2B">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一目了然</w:t>
      </w:r>
    </w:p>
    <w:p ns2:paraId="2D376978">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容易理解</w:t>
      </w:r>
    </w:p>
    <w:p ns2:paraId="7D0C4622">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部分内容不够明确</w:t>
      </w:r>
    </w:p>
    <w:p ns2:paraId="185B13AD">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eastAsia"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难以分辨</w:t>
      </w:r>
    </w:p>
    <w:p ns2:paraId="00B8B3B2">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您认为当前获取的用药指导是否足够详细准确？</w:t>
      </w:r>
    </w:p>
    <w:p ns2:paraId="13782D53">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非常详细准确，能解决所有疑问</w:t>
      </w:r>
    </w:p>
    <w:p ns2:paraId="2536600B">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比较详细准确，能解决大部分疑问</w:t>
      </w:r>
    </w:p>
    <w:p ns2:paraId="5031355C">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一般，部分疑问无法解答</w:t>
      </w:r>
    </w:p>
    <w:p ns2:paraId="6743342D">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不够详细准确，存在很多困惑</w:t>
      </w:r>
    </w:p>
    <w:p ns2:paraId="2E498182">
      <w:pPr>
        <w:rPr>
          <w:rFonts w:hint="eastAsia" w:ascii="汉仪中宋简" w:hAnsi="汉仪中宋简" w:eastAsia="汉仪中宋简" w:cs="汉仪中宋简"/>
          <w:lang w:val="en-US" w:eastAsia="zh-CN"/>
        </w:rPr>
      </w:pPr>
    </w:p>
    <w:p ns2:paraId="769D578A">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420" w:firstLineChars="200"/>
        <w:jc w:val="left"/>
        <w:textAlignment w:val="auto"/>
        <w:rPr>
          <w:rFonts w:hint="eastAsia" w:ascii="汉仪中宋简" w:hAnsi="汉仪中宋简" w:eastAsia="汉仪中宋简" w:cs="汉仪中宋简"/>
          <w:lang w:val="en-US" w:eastAsia="zh-CN"/>
        </w:rPr>
      </w:pPr>
      <w:r>
        <w:rPr>
          <w:rFonts w:hint="eastAsia" w:ascii="汉仪中宋简" w:hAnsi="汉仪中宋简" w:eastAsia="汉仪中宋简" w:cs="汉仪中宋简"/>
          <w:lang w:val="en-US" w:eastAsia="zh-CN"/>
        </w:rPr>
        <w:br w:type="page"/>
      </w:r>
    </w:p>
    <w:p ns2:paraId="683C6AC0">
      <w:pPr>
        <w:pStyle w:val="2"/>
        <w:bidi w:val="0"/>
        <w:rPr>
          <w:rFonts w:hint="eastAsia" w:ascii="汉仪中宋简" w:hAnsi="汉仪中宋简" w:eastAsia="汉仪中宋简" w:cs="汉仪中宋简"/>
          <w:highlight w:val="none"/>
          <w:lang w:val="en-US" w:eastAsia="zh-CN"/>
        </w:rPr>
      </w:pPr>
      <w:bookmarkStart w:id="27" w:name="_Toc22330"/>
      <w:r>
        <w:rPr>
          <w:rFonts w:hint="eastAsia" w:ascii="汉仪中宋简" w:hAnsi="汉仪中宋简" w:eastAsia="汉仪中宋简" w:cs="汉仪中宋简"/>
          <w:highlight w:val="none"/>
          <w:lang w:val="en-US" w:eastAsia="zh-CN"/>
        </w:rPr>
        <w:t>附件2：问卷调查明细表</w:t>
      </w:r>
      <w:bookmarkEnd w:id="27"/>
    </w:p>
    <w:p ns2:paraId="6CD34407">
      <w:pPr>
        <w:bidi w:val="0"/>
        <w:rPr>
          <w:rFonts w:hint="eastAsia" w:ascii="汉仪中宋简" w:hAnsi="汉仪中宋简" w:eastAsia="汉仪中宋简" w:cs="汉仪中宋简"/>
          <w:highlight w:val="none"/>
        </w:rPr>
      </w:pPr>
      <w:r>
        <w:rPr>
          <w:rFonts w:hint="eastAsia" w:ascii="汉仪中宋简" w:hAnsi="汉仪中宋简" w:eastAsia="汉仪中宋简" w:cs="汉仪中宋简"/>
          <w:sz w:val="24"/>
          <w:szCs w:val="32"/>
          <w:highlight w:val="none"/>
          <w:lang w:val="en-US" w:eastAsia="zh-CN"/>
        </w:rPr>
        <w:t>01-1. 团队问卷调查明细-厄贝沙坦氢氯噻嗪片用药体验与疗效反馈-患者调查问卷(广东省)</w:t>
      </w:r>
    </w:p>
    <w:p ns2:paraId="6A33FBAA">
      <w:pPr>
        <w:rPr>
          <w:rFonts w:hint="eastAsia" w:ascii="汉仪中宋简" w:hAnsi="汉仪中宋简" w:eastAsia="汉仪中宋简" w:cs="汉仪中宋简"/>
        </w:rPr>
      </w:pPr>
    </w:p>
    <w:p ns2:paraId="61B638CE">
      <w:pPr>
        <w:rPr>
          <w:rFonts w:hint="eastAsia" w:ascii="汉仪中宋简" w:hAnsi="汉仪中宋简" w:eastAsia="汉仪中宋简" w:cs="汉仪中宋简"/>
        </w:rPr>
      </w:pPr>
    </w:p>
    <w:p ns2:paraId="544422C2">
      <w:pPr>
        <w:rPr>
          <w:rFonts w:hint="eastAsia" w:ascii="汉仪中宋简" w:hAnsi="汉仪中宋简" w:eastAsia="汉仪中宋简" w:cs="汉仪中宋简"/>
        </w:rPr>
      </w:pPr>
      <w:r>
        <w:rPr>
          <w:rFonts w:hint="eastAsia" w:ascii="汉仪中宋简" w:hAnsi="汉仪中宋简" w:eastAsia="汉仪中宋简" w:cs="汉仪中宋简"/>
        </w:rPr>
        <w:br w:type="page"/>
      </w:r>
    </w:p>
    <w:p ns2:paraId="6101B089">
      <w:pPr>
        <w:pStyle w:val="2"/>
        <w:bidi w:val="0"/>
        <w:jc w:val="center"/>
        <w:rPr>
          <w:rFonts w:hint="eastAsia" w:ascii="汉仪中宋简" w:hAnsi="汉仪中宋简" w:eastAsia="汉仪中宋简" w:cs="汉仪中宋简"/>
        </w:rPr>
      </w:pPr>
      <w:bookmarkStart w:id="28" w:name="_Toc30276"/>
      <w:bookmarkStart w:id="29" w:name="_Toc8154"/>
      <w:r>
        <w:rPr>
          <w:rFonts w:hint="eastAsia" w:ascii="汉仪中宋简" w:hAnsi="汉仪中宋简" w:eastAsia="汉仪中宋简" w:cs="汉仪中宋简"/>
        </w:rPr>
        <w:t>免责申明</w:t>
      </w:r>
      <w:bookmarkEnd w:id="28"/>
      <w:bookmarkEnd w:id="29"/>
    </w:p>
    <w:p ns2:paraId="5D943D93">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汉仪中宋简" w:hAnsi="汉仪中宋简" w:eastAsia="汉仪中宋简" w:cs="汉仪中宋简"/>
          <w:sz w:val="24"/>
          <w:szCs w:val="24"/>
        </w:rPr>
      </w:pPr>
      <w:r>
        <w:rPr>
          <w:rFonts w:hint="eastAsia" w:ascii="汉仪中宋简" w:hAnsi="汉仪中宋简" w:eastAsia="汉仪中宋简" w:cs="汉仪中宋简"/>
          <w:sz w:val="24"/>
          <w:szCs w:val="24"/>
        </w:rPr>
        <w:t>（1）本次调研项目以随机选取对象进行面对面调研，本次调研只对本次样本数据负责。</w:t>
      </w:r>
    </w:p>
    <w:p ns2:paraId="262A001F">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汉仪中宋简" w:hAnsi="汉仪中宋简" w:eastAsia="汉仪中宋简" w:cs="汉仪中宋简"/>
          <w:sz w:val="24"/>
          <w:szCs w:val="24"/>
        </w:rPr>
      </w:pPr>
      <w:r>
        <w:rPr>
          <w:rFonts w:hint="eastAsia" w:ascii="汉仪中宋简" w:hAnsi="汉仪中宋简" w:eastAsia="汉仪中宋简" w:cs="汉仪中宋简"/>
          <w:sz w:val="24"/>
          <w:szCs w:val="24"/>
        </w:rPr>
        <w:t>（2）承接单位调研项目，是针对</w:t>
      </w:r>
      <w:r>
        <w:rPr>
          <w:rFonts w:hint="eastAsia" w:ascii="汉仪中宋简" w:hAnsi="汉仪中宋简" w:eastAsia="汉仪中宋简" w:cs="汉仪中宋简"/>
          <w:sz w:val="24"/>
          <w:szCs w:val="24"/>
          <w:lang w:eastAsia="zh-CN"/>
        </w:rPr>
        <w:t>厄贝沙坦氢氯噻嗪片</w:t>
      </w:r>
      <w:r>
        <w:rPr>
          <w:rFonts w:hint="eastAsia" w:ascii="汉仪中宋简" w:hAnsi="汉仪中宋简" w:eastAsia="汉仪中宋简" w:cs="汉仪中宋简"/>
          <w:sz w:val="24"/>
          <w:szCs w:val="24"/>
        </w:rPr>
        <w:t>这一品种调研，并非指定厂家指定品种。</w:t>
      </w:r>
    </w:p>
    <w:p ns2:paraId="3F3994F8">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汉仪中宋简" w:hAnsi="汉仪中宋简" w:eastAsia="汉仪中宋简" w:cs="汉仪中宋简"/>
          <w:sz w:val="24"/>
          <w:szCs w:val="24"/>
        </w:rPr>
      </w:pPr>
      <w:r>
        <w:rPr>
          <w:rFonts w:hint="eastAsia" w:ascii="汉仪中宋简" w:hAnsi="汉仪中宋简" w:eastAsia="汉仪中宋简" w:cs="汉仪中宋简"/>
          <w:sz w:val="24"/>
          <w:szCs w:val="24"/>
        </w:rPr>
        <w:t>（3）本次调研只针对调研区域数据负责，不代表全国调研数据。</w:t>
      </w:r>
    </w:p>
    <w:p ns2:paraId="12ACD20B">
      <w:pPr>
        <w:spacing w:line="400" w:lineRule="exact"/>
        <w:rPr>
          <w:rFonts w:hint="eastAsia" w:ascii="汉仪中宋简" w:hAnsi="汉仪中宋简" w:eastAsia="汉仪中宋简" w:cs="汉仪中宋简"/>
        </w:rPr>
      </w:pPr>
    </w:p>
    <w:p ns2:paraId="4A0BBAF2">
      <w:pPr>
        <w:spacing w:line="400" w:lineRule="exact"/>
        <w:rPr>
          <w:rFonts w:hint="eastAsia" w:ascii="汉仪中宋简" w:hAnsi="汉仪中宋简" w:eastAsia="汉仪中宋简" w:cs="汉仪中宋简"/>
        </w:rPr>
      </w:pPr>
    </w:p>
    <w:p ns2:paraId="13580F1B">
      <w:pPr>
        <w:spacing w:line="400" w:lineRule="exact"/>
        <w:rPr>
          <w:rFonts w:hint="eastAsia" w:ascii="汉仪中宋简" w:hAnsi="汉仪中宋简" w:eastAsia="汉仪中宋简" w:cs="汉仪中宋简"/>
        </w:rPr>
      </w:pPr>
    </w:p>
    <w:p ns2:paraId="1AF2960F">
      <w:pPr>
        <w:spacing w:line="400" w:lineRule="exact"/>
        <w:rPr>
          <w:rFonts w:hint="eastAsia" w:ascii="汉仪中宋简" w:hAnsi="汉仪中宋简" w:eastAsia="汉仪中宋简" w:cs="汉仪中宋简"/>
        </w:rPr>
      </w:pPr>
    </w:p>
    <w:p ns2:paraId="47DCED2E">
      <w:pPr>
        <w:spacing w:line="400" w:lineRule="exact"/>
        <w:rPr>
          <w:rFonts w:hint="eastAsia" w:ascii="汉仪中宋简" w:hAnsi="汉仪中宋简" w:eastAsia="汉仪中宋简" w:cs="汉仪中宋简"/>
        </w:rPr>
      </w:pPr>
    </w:p>
    <w:p ns2:paraId="22FC2F08">
      <w:pPr>
        <w:spacing w:line="400" w:lineRule="exact"/>
        <w:rPr>
          <w:rFonts w:hint="eastAsia" w:ascii="汉仪中宋简" w:hAnsi="汉仪中宋简" w:eastAsia="汉仪中宋简" w:cs="汉仪中宋简"/>
        </w:rPr>
      </w:pPr>
    </w:p>
    <w:p ns2:paraId="2B71D7B4">
      <w:pPr>
        <w:keepNext w:val="0"/>
        <w:keepLines w:val="0"/>
        <w:pageBreakBefore w:val="0"/>
        <w:widowControl w:val="0"/>
        <w:kinsoku/>
        <w:wordWrap/>
        <w:overflowPunct/>
        <w:topLinePunct w:val="0"/>
        <w:autoSpaceDE/>
        <w:autoSpaceDN/>
        <w:bidi w:val="0"/>
        <w:adjustRightInd/>
        <w:snapToGrid/>
        <w:spacing w:line="480" w:lineRule="auto"/>
        <w:jc w:val="right"/>
        <w:textAlignment w:val="auto"/>
        <w:rPr>
          <w:rFonts w:hint="eastAsia" w:ascii="汉仪中宋简" w:hAnsi="汉仪中宋简" w:eastAsia="汉仪中宋简" w:cs="汉仪中宋简"/>
          <w:sz w:val="24"/>
          <w:szCs w:val="24"/>
        </w:rPr>
      </w:pPr>
      <w:r>
        <w:rPr>
          <w:rFonts w:hint="eastAsia" w:ascii="汉仪中宋简" w:hAnsi="汉仪中宋简" w:eastAsia="汉仪中宋简" w:cs="汉仪中宋简"/>
          <w:sz w:val="24"/>
          <w:szCs w:val="24"/>
        </w:rPr>
        <w:t>服务提供单位:</w:t>
      </w:r>
      <w:r>
        <w:rPr>
          <w:rFonts w:hint="eastAsia" w:ascii="汉仪中宋简" w:hAnsi="汉仪中宋简" w:eastAsia="汉仪中宋简" w:cs="汉仪中宋简"/>
          <w:sz w:val="24"/>
          <w:szCs w:val="24"/>
          <w:lang w:val="en-US" w:eastAsia="zh-CN"/>
        </w:rPr>
        <w:t>北京玖麟空科技有限公司</w:t>
      </w:r>
    </w:p>
    <w:p ns2:paraId="1D60D8EB">
      <w:pPr>
        <w:keepNext w:val="0"/>
        <w:keepLines w:val="0"/>
        <w:pageBreakBefore w:val="0"/>
        <w:widowControl w:val="0"/>
        <w:kinsoku/>
        <w:wordWrap/>
        <w:overflowPunct/>
        <w:topLinePunct w:val="0"/>
        <w:autoSpaceDE/>
        <w:autoSpaceDN/>
        <w:bidi w:val="0"/>
        <w:adjustRightInd/>
        <w:snapToGrid/>
        <w:spacing w:line="480" w:lineRule="auto"/>
        <w:jc w:val="right"/>
        <w:textAlignment w:val="auto"/>
        <w:rPr>
          <w:rFonts w:hint="eastAsia" w:ascii="汉仪中宋简" w:hAnsi="汉仪中宋简" w:eastAsia="汉仪中宋简" w:cs="汉仪中宋简"/>
          <w:lang w:val="en-US" w:eastAsia="zh-CN"/>
        </w:rPr>
      </w:pPr>
      <w:r>
        <w:rPr>
          <w:rFonts w:hint="eastAsia" w:ascii="汉仪中宋简" w:hAnsi="汉仪中宋简" w:eastAsia="汉仪中宋简" w:cs="汉仪中宋简"/>
          <w:sz w:val="24"/>
          <w:szCs w:val="24"/>
          <w:lang w:eastAsia="zh-CN"/>
        </w:rPr>
        <w:t>2025</w:t>
      </w:r>
      <w:r>
        <w:rPr>
          <w:rFonts w:hint="eastAsia" w:ascii="汉仪中宋简" w:hAnsi="汉仪中宋简" w:eastAsia="汉仪中宋简" w:cs="汉仪中宋简"/>
          <w:sz w:val="24"/>
          <w:szCs w:val="24"/>
        </w:rPr>
        <w:t>年</w:t>
      </w:r>
      <w:r>
        <w:rPr>
          <w:rFonts w:hint="eastAsia" w:ascii="汉仪中宋简" w:hAnsi="汉仪中宋简" w:eastAsia="汉仪中宋简" w:cs="汉仪中宋简"/>
          <w:sz w:val="24"/>
          <w:szCs w:val="24"/>
          <w:lang w:val="en-US" w:eastAsia="zh-CN"/>
        </w:rPr>
        <w:t>12</w:t>
      </w:r>
      <w:r>
        <w:rPr>
          <w:rFonts w:hint="eastAsia" w:ascii="汉仪中宋简" w:hAnsi="汉仪中宋简" w:eastAsia="汉仪中宋简" w:cs="汉仪中宋简"/>
          <w:sz w:val="24"/>
          <w:szCs w:val="24"/>
        </w:rPr>
        <w:t>月</w:t>
      </w:r>
      <w:r>
        <w:rPr>
          <w:rFonts w:hint="eastAsia" w:ascii="汉仪中宋简" w:hAnsi="汉仪中宋简" w:eastAsia="汉仪中宋简" w:cs="汉仪中宋简"/>
          <w:sz w:val="24"/>
          <w:szCs w:val="24"/>
          <w:lang w:val="en-US" w:eastAsia="zh-CN"/>
        </w:rPr>
        <w:t>11</w:t>
      </w:r>
      <w:r>
        <w:rPr>
          <w:rFonts w:hint="eastAsia" w:ascii="汉仪中宋简" w:hAnsi="汉仪中宋简" w:eastAsia="汉仪中宋简" w:cs="汉仪中宋简"/>
          <w:sz w:val="24"/>
          <w:szCs w:val="24"/>
        </w:rPr>
        <w:t>日</w:t>
      </w: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decorative"/>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916C5615-01DB-4827-BD4E-F8610F5BD1FE}"/>
  </w:font>
  <w:font w:name="汉仪粗黑简">
    <w:panose1 w:val="02010600000101010101"/>
    <w:charset w:val="86"/>
    <w:family w:val="auto"/>
    <w:pitch w:val="default"/>
    <w:sig w:usb0="00000001" w:usb1="080E0800" w:usb2="00000002" w:usb3="00000000" w:csb0="00040000" w:csb1="00000000"/>
    <w:embedRegular r:id="rId2" w:fontKey="{D3E379EE-1C2C-4E0F-A61E-0A5D4F1DDB05}"/>
  </w:font>
  <w:font w:name="汉仪中宋简">
    <w:panose1 w:val="02010600000101010101"/>
    <w:charset w:val="80"/>
    <w:family w:val="auto"/>
    <w:pitch w:val="default"/>
    <w:sig w:usb0="800002BF" w:usb1="184F6CF8" w:usb2="00000012" w:usb3="00000000" w:csb0="00020001" w:csb1="00000000"/>
    <w:embedRegular r:id="rId3" w:fontKey="{E49E4BB4-9C54-44F1-84D6-2CCB9BE61129}"/>
  </w:font>
  <w:font w:name="汉仪元隆黑-105简">
    <w:panose1 w:val="00020600040101010101"/>
    <w:charset w:val="86"/>
    <w:family w:val="auto"/>
    <w:pitch w:val="default"/>
    <w:sig w:usb0="8000003F" w:usb1="1AC17CFA" w:usb2="00000016" w:usb3="00000000" w:csb0="0004009F" w:csb1="00000000"/>
    <w:embedRegular r:id="rId4" w:fontKey="{40560A2B-C648-4B1B-B617-701B83EC873A}"/>
  </w:font>
  <w:font w:name="WPSEMBED14">
    <w:panose1 w:val="02010600000101010101"/>
    <w:charset w:val="86"/>
    <w:family w:val="auto"/>
    <w:pitch w:val="default"/>
    <w:sig w:usb0="00000001" w:usb1="080E0800" w:usb2="00000002" w:usb3="00000000" w:csb0="00040000" w:csb1="00000000"/>
  </w:font>
  <w:font w:name="WPSEMBED15">
    <w:panose1 w:val="00020600040101010101"/>
    <w:charset w:val="86"/>
    <w:family w:val="auto"/>
    <w:pitch w:val="default"/>
    <w:sig w:usb0="8000003F" w:usb1="1AC17CFA" w:usb2="00000016" w:usb3="00000000" w:csb0="0004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88EBE">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CE882">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A4DAF">
    <w:pPr>
      <w:pStyle w:val="5"/>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5D9F86">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55D9F86">
                    <w:pPr>
                      <w:pStyle w:val="5"/>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BE0B2">
    <w:pPr>
      <w:pStyle w:val="6"/>
      <w:pBdr>
        <w:bottom w:val="single" w:color="auto" w:sz="4" w:space="1"/>
      </w:pBdr>
      <w:rPr>
        <w:rFonts w:hint="default"/>
        <w:lang w:val="en-US" w:eastAsia="zh-CN"/>
      </w:rPr>
    </w:pPr>
    <w:r>
      <w:rPr>
        <w:rFonts w:hint="eastAsia"/>
        <w:lang w:val="en-US" w:eastAsia="zh-CN"/>
      </w:rPr>
      <w:t>厄贝沙坦氢氯噻嗪片用药体验与疗效反馈患者调查问卷分析报告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A128A2"/>
    <w:multiLevelType w:val="singleLevel"/>
    <w:tmpl w:val="BAA128A2"/>
    <w:lvl w:ilvl="0" w:tentative="0">
      <w:start w:val="1"/>
      <w:numFmt w:val="decimal"/>
      <w:lvlText w:val="(%1)"/>
      <w:lvlJc w:val="left"/>
      <w:pPr>
        <w:ind w:left="425" w:hanging="425"/>
      </w:pPr>
      <w:rPr>
        <w:rFonts w:hint="default"/>
      </w:rPr>
    </w:lvl>
  </w:abstractNum>
  <w:abstractNum w:abstractNumId="1">
    <w:nsid w:val="C8B9116B"/>
    <w:multiLevelType w:val="singleLevel"/>
    <w:tmpl w:val="C8B9116B"/>
    <w:lvl w:ilvl="0" w:tentative="0">
      <w:start w:val="1"/>
      <w:numFmt w:val="decimal"/>
      <w:lvlText w:val="(%1)"/>
      <w:lvlJc w:val="left"/>
      <w:pPr>
        <w:ind w:left="425" w:hanging="425"/>
      </w:pPr>
      <w:rPr>
        <w:rFonts w:hint="default"/>
      </w:rPr>
    </w:lvl>
  </w:abstractNum>
  <w:abstractNum w:abstractNumId="2">
    <w:nsid w:val="036A05D1"/>
    <w:multiLevelType w:val="singleLevel"/>
    <w:tmpl w:val="036A05D1"/>
    <w:lvl w:ilvl="0" w:tentative="0">
      <w:start w:val="1"/>
      <w:numFmt w:val="upperLetter"/>
      <w:suff w:val="space"/>
      <w:lvlText w:val="%1."/>
      <w:lvlJc w:val="left"/>
    </w:lvl>
  </w:abstractNum>
  <w:abstractNum w:abstractNumId="3">
    <w:nsid w:val="072B0078"/>
    <w:multiLevelType w:val="singleLevel"/>
    <w:tmpl w:val="072B0078"/>
    <w:lvl w:ilvl="0" w:tentative="0">
      <w:start w:val="1"/>
      <w:numFmt w:val="decimal"/>
      <w:lvlText w:val="(%1)"/>
      <w:lvlJc w:val="left"/>
      <w:pPr>
        <w:ind w:left="425" w:hanging="425"/>
      </w:pPr>
      <w:rPr>
        <w:rFonts w:hint="default"/>
      </w:rPr>
    </w:lvl>
  </w:abstractNum>
  <w:abstractNum w:abstractNumId="4">
    <w:nsid w:val="1108D3A0"/>
    <w:multiLevelType w:val="singleLevel"/>
    <w:tmpl w:val="1108D3A0"/>
    <w:lvl w:ilvl="0" w:tentative="0">
      <w:start w:val="1"/>
      <w:numFmt w:val="decimal"/>
      <w:lvlText w:val="(%1)"/>
      <w:lvlJc w:val="left"/>
      <w:pPr>
        <w:ind w:left="425" w:hanging="425"/>
      </w:pPr>
      <w:rPr>
        <w:rFonts w:hint="default"/>
      </w:rPr>
    </w:lvl>
  </w:abstractNum>
  <w:abstractNum w:abstractNumId="5">
    <w:nsid w:val="2D9BC5AA"/>
    <w:multiLevelType w:val="singleLevel"/>
    <w:tmpl w:val="2D9BC5AA"/>
    <w:lvl w:ilvl="0" w:tentative="0">
      <w:start w:val="1"/>
      <w:numFmt w:val="chineseCounting"/>
      <w:suff w:val="nothing"/>
      <w:lvlText w:val="%1、"/>
      <w:lvlJc w:val="left"/>
      <w:rPr>
        <w:rFonts w:hint="eastAsia"/>
      </w:rPr>
    </w:lvl>
  </w:abstractNum>
  <w:abstractNum w:abstractNumId="6">
    <w:nsid w:val="30E93D70"/>
    <w:multiLevelType w:val="singleLevel"/>
    <w:tmpl w:val="30E93D70"/>
    <w:lvl w:ilvl="0" w:tentative="0">
      <w:start w:val="1"/>
      <w:numFmt w:val="decimal"/>
      <w:lvlText w:val="(%1)"/>
      <w:lvlJc w:val="left"/>
      <w:pPr>
        <w:ind w:left="425" w:hanging="425"/>
      </w:pPr>
      <w:rPr>
        <w:rFonts w:hint="default"/>
      </w:rPr>
    </w:lvl>
  </w:abstractNum>
  <w:abstractNum w:abstractNumId="7">
    <w:nsid w:val="364EF7CF"/>
    <w:multiLevelType w:val="singleLevel"/>
    <w:tmpl w:val="364EF7CF"/>
    <w:lvl w:ilvl="0" w:tentative="0">
      <w:start w:val="1"/>
      <w:numFmt w:val="decimal"/>
      <w:lvlText w:val="(%1)"/>
      <w:lvlJc w:val="left"/>
      <w:pPr>
        <w:ind w:left="425" w:hanging="425"/>
      </w:pPr>
      <w:rPr>
        <w:rFonts w:hint="default"/>
      </w:rPr>
    </w:lvl>
  </w:abstractNum>
  <w:abstractNum w:abstractNumId="8">
    <w:nsid w:val="4CC8A90B"/>
    <w:multiLevelType w:val="singleLevel"/>
    <w:tmpl w:val="4CC8A90B"/>
    <w:lvl w:ilvl="0" w:tentative="0">
      <w:start w:val="1"/>
      <w:numFmt w:val="decimal"/>
      <w:lvlText w:val="(%1)"/>
      <w:lvlJc w:val="left"/>
      <w:pPr>
        <w:ind w:left="425" w:hanging="425"/>
      </w:pPr>
      <w:rPr>
        <w:rFonts w:hint="default"/>
      </w:rPr>
    </w:lvl>
  </w:abstractNum>
  <w:abstractNum w:abstractNumId="9">
    <w:nsid w:val="514C377C"/>
    <w:multiLevelType w:val="singleLevel"/>
    <w:tmpl w:val="514C377C"/>
    <w:lvl w:ilvl="0" w:tentative="0">
      <w:start w:val="1"/>
      <w:numFmt w:val="upperLetter"/>
      <w:suff w:val="space"/>
      <w:lvlText w:val="%1."/>
      <w:lvlJc w:val="left"/>
    </w:lvl>
  </w:abstractNum>
  <w:abstractNum w:abstractNumId="10">
    <w:nsid w:val="76A2585A"/>
    <w:multiLevelType w:val="singleLevel"/>
    <w:tmpl w:val="76A2585A"/>
    <w:lvl w:ilvl="0" w:tentative="0">
      <w:start w:val="1"/>
      <w:numFmt w:val="decimal"/>
      <w:lvlText w:val="(%1)"/>
      <w:lvlJc w:val="left"/>
      <w:pPr>
        <w:ind w:left="425" w:hanging="425"/>
      </w:pPr>
      <w:rPr>
        <w:rFonts w:hint="default"/>
      </w:rPr>
    </w:lvl>
  </w:abstractNum>
  <w:num w:numId="1">
    <w:abstractNumId w:val="5"/>
  </w:num>
  <w:num w:numId="2">
    <w:abstractNumId w:val="7"/>
  </w:num>
  <w:num w:numId="3">
    <w:abstractNumId w:val="0"/>
  </w:num>
  <w:num w:numId="4">
    <w:abstractNumId w:val="10"/>
  </w:num>
  <w:num w:numId="5">
    <w:abstractNumId w:val="1"/>
  </w:num>
  <w:num w:numId="6">
    <w:abstractNumId w:val="8"/>
  </w:num>
  <w:num w:numId="7">
    <w:abstractNumId w:val="4"/>
  </w:num>
  <w:num w:numId="8">
    <w:abstractNumId w:val="6"/>
  </w:num>
  <w:num w:numId="9">
    <w:abstractNumId w:val="3"/>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Y5ZGQ5ZWQ1MmJhMGZkNmYwMjg3MjM4MGI4MGE3YjQifQ=="/>
  </w:docVars>
  <w:rsids>
    <w:rsidRoot w:val="00172A27"/>
    <w:rsid w:val="00115AC3"/>
    <w:rsid w:val="003A6B66"/>
    <w:rsid w:val="006E0802"/>
    <w:rsid w:val="00870763"/>
    <w:rsid w:val="00A566D5"/>
    <w:rsid w:val="00A80AAC"/>
    <w:rsid w:val="00B87A8B"/>
    <w:rsid w:val="00D5688F"/>
    <w:rsid w:val="00DF3269"/>
    <w:rsid w:val="00F143F4"/>
    <w:rsid w:val="011473B7"/>
    <w:rsid w:val="014E5AB0"/>
    <w:rsid w:val="015D278A"/>
    <w:rsid w:val="01761E20"/>
    <w:rsid w:val="01921BA8"/>
    <w:rsid w:val="01B071AF"/>
    <w:rsid w:val="01F9628B"/>
    <w:rsid w:val="0224362A"/>
    <w:rsid w:val="022D1E3A"/>
    <w:rsid w:val="023451DC"/>
    <w:rsid w:val="028D7F54"/>
    <w:rsid w:val="02A1111E"/>
    <w:rsid w:val="02A14C7A"/>
    <w:rsid w:val="02A66735"/>
    <w:rsid w:val="02C44BAF"/>
    <w:rsid w:val="034E3B00"/>
    <w:rsid w:val="03A91663"/>
    <w:rsid w:val="04511E3D"/>
    <w:rsid w:val="04DF7CDC"/>
    <w:rsid w:val="04E92909"/>
    <w:rsid w:val="04F068B8"/>
    <w:rsid w:val="050339CA"/>
    <w:rsid w:val="051C1B5A"/>
    <w:rsid w:val="05322502"/>
    <w:rsid w:val="0559183C"/>
    <w:rsid w:val="055F2BCB"/>
    <w:rsid w:val="056B3129"/>
    <w:rsid w:val="058F34B0"/>
    <w:rsid w:val="05C018BB"/>
    <w:rsid w:val="05E90CD0"/>
    <w:rsid w:val="05EA06E6"/>
    <w:rsid w:val="0616772D"/>
    <w:rsid w:val="06484524"/>
    <w:rsid w:val="06512D33"/>
    <w:rsid w:val="067A14B5"/>
    <w:rsid w:val="0680104B"/>
    <w:rsid w:val="06A37841"/>
    <w:rsid w:val="07234289"/>
    <w:rsid w:val="0768220B"/>
    <w:rsid w:val="07D94EB6"/>
    <w:rsid w:val="081E2791"/>
    <w:rsid w:val="08455529"/>
    <w:rsid w:val="08471B07"/>
    <w:rsid w:val="0893471C"/>
    <w:rsid w:val="08A019CA"/>
    <w:rsid w:val="08A116F6"/>
    <w:rsid w:val="08C81683"/>
    <w:rsid w:val="08D97F17"/>
    <w:rsid w:val="08F71A98"/>
    <w:rsid w:val="09185D37"/>
    <w:rsid w:val="091E6200"/>
    <w:rsid w:val="09291197"/>
    <w:rsid w:val="09772BD9"/>
    <w:rsid w:val="09DC6722"/>
    <w:rsid w:val="0A0F696E"/>
    <w:rsid w:val="0A576E8B"/>
    <w:rsid w:val="0A5B0B52"/>
    <w:rsid w:val="0AB63A17"/>
    <w:rsid w:val="0B1F33EE"/>
    <w:rsid w:val="0B494101"/>
    <w:rsid w:val="0B500BE0"/>
    <w:rsid w:val="0B767ABF"/>
    <w:rsid w:val="0B8F622A"/>
    <w:rsid w:val="0B9124F0"/>
    <w:rsid w:val="0BA17A09"/>
    <w:rsid w:val="0C0A7D34"/>
    <w:rsid w:val="0C3B4EC0"/>
    <w:rsid w:val="0C4C20FB"/>
    <w:rsid w:val="0C6831D4"/>
    <w:rsid w:val="0C935725"/>
    <w:rsid w:val="0CB06EE6"/>
    <w:rsid w:val="0CB84064"/>
    <w:rsid w:val="0CE05F94"/>
    <w:rsid w:val="0CE642FD"/>
    <w:rsid w:val="0D305579"/>
    <w:rsid w:val="0D642486"/>
    <w:rsid w:val="0D8B6C53"/>
    <w:rsid w:val="0D9E5A21"/>
    <w:rsid w:val="0DE60CCA"/>
    <w:rsid w:val="0E1327A4"/>
    <w:rsid w:val="0E2A1FC8"/>
    <w:rsid w:val="0E353822"/>
    <w:rsid w:val="0E7B6CC7"/>
    <w:rsid w:val="0E937761"/>
    <w:rsid w:val="0EA855E3"/>
    <w:rsid w:val="0EBB1744"/>
    <w:rsid w:val="0EC37DD2"/>
    <w:rsid w:val="0F120ABD"/>
    <w:rsid w:val="0F1D3EC4"/>
    <w:rsid w:val="0F24110D"/>
    <w:rsid w:val="0F7F00F1"/>
    <w:rsid w:val="0FCB3337"/>
    <w:rsid w:val="0FDD21EC"/>
    <w:rsid w:val="0FDF6DE2"/>
    <w:rsid w:val="10366FB9"/>
    <w:rsid w:val="103C5FE2"/>
    <w:rsid w:val="107F04D7"/>
    <w:rsid w:val="10B36F25"/>
    <w:rsid w:val="10BD5D42"/>
    <w:rsid w:val="10CB381A"/>
    <w:rsid w:val="10E0013B"/>
    <w:rsid w:val="115577AF"/>
    <w:rsid w:val="116636F0"/>
    <w:rsid w:val="116C28F7"/>
    <w:rsid w:val="11765524"/>
    <w:rsid w:val="118F39F0"/>
    <w:rsid w:val="11923F5B"/>
    <w:rsid w:val="11FD79F3"/>
    <w:rsid w:val="12217B86"/>
    <w:rsid w:val="12A7643B"/>
    <w:rsid w:val="12E865C3"/>
    <w:rsid w:val="12F9379A"/>
    <w:rsid w:val="130A686C"/>
    <w:rsid w:val="132F1E2E"/>
    <w:rsid w:val="139A199E"/>
    <w:rsid w:val="13AB5686"/>
    <w:rsid w:val="13F24D75"/>
    <w:rsid w:val="14184FB8"/>
    <w:rsid w:val="1495298C"/>
    <w:rsid w:val="14B71CD0"/>
    <w:rsid w:val="14C376F9"/>
    <w:rsid w:val="14F450DE"/>
    <w:rsid w:val="150F1F18"/>
    <w:rsid w:val="15183504"/>
    <w:rsid w:val="1574621E"/>
    <w:rsid w:val="15BC31A1"/>
    <w:rsid w:val="15C50828"/>
    <w:rsid w:val="15CF16A7"/>
    <w:rsid w:val="15D46CBD"/>
    <w:rsid w:val="15F10C2F"/>
    <w:rsid w:val="160F1869"/>
    <w:rsid w:val="165C118C"/>
    <w:rsid w:val="165D2B8A"/>
    <w:rsid w:val="16751C00"/>
    <w:rsid w:val="16CA259A"/>
    <w:rsid w:val="16D90A2F"/>
    <w:rsid w:val="16E3365C"/>
    <w:rsid w:val="1731510D"/>
    <w:rsid w:val="177E552D"/>
    <w:rsid w:val="17852965"/>
    <w:rsid w:val="17930E82"/>
    <w:rsid w:val="17E56F60"/>
    <w:rsid w:val="17F15FAE"/>
    <w:rsid w:val="1816180F"/>
    <w:rsid w:val="18165BC0"/>
    <w:rsid w:val="181F19E3"/>
    <w:rsid w:val="18277578"/>
    <w:rsid w:val="18512847"/>
    <w:rsid w:val="185A0482"/>
    <w:rsid w:val="186C7681"/>
    <w:rsid w:val="187A7FF0"/>
    <w:rsid w:val="188A386F"/>
    <w:rsid w:val="18A87A9A"/>
    <w:rsid w:val="18DA45EA"/>
    <w:rsid w:val="18F17B89"/>
    <w:rsid w:val="190175E5"/>
    <w:rsid w:val="194B7296"/>
    <w:rsid w:val="195920A9"/>
    <w:rsid w:val="19B906A4"/>
    <w:rsid w:val="19F94F44"/>
    <w:rsid w:val="1A813C91"/>
    <w:rsid w:val="1ACC5A4B"/>
    <w:rsid w:val="1AFB72AE"/>
    <w:rsid w:val="1B0D514B"/>
    <w:rsid w:val="1B281F85"/>
    <w:rsid w:val="1B652C55"/>
    <w:rsid w:val="1B8847D2"/>
    <w:rsid w:val="1BDE4794"/>
    <w:rsid w:val="1BE13EE2"/>
    <w:rsid w:val="1BE67E80"/>
    <w:rsid w:val="1BF26033"/>
    <w:rsid w:val="1C1F7144"/>
    <w:rsid w:val="1C2002B7"/>
    <w:rsid w:val="1C33298F"/>
    <w:rsid w:val="1C636C39"/>
    <w:rsid w:val="1C7106F0"/>
    <w:rsid w:val="1CA53161"/>
    <w:rsid w:val="1CB533A4"/>
    <w:rsid w:val="1CEF446B"/>
    <w:rsid w:val="1CF531D1"/>
    <w:rsid w:val="1D3544E5"/>
    <w:rsid w:val="1D945A3B"/>
    <w:rsid w:val="1DAB29F9"/>
    <w:rsid w:val="1DBA5174"/>
    <w:rsid w:val="1DC046F7"/>
    <w:rsid w:val="1DF61EC7"/>
    <w:rsid w:val="1E116D00"/>
    <w:rsid w:val="1E124D0F"/>
    <w:rsid w:val="1E15334A"/>
    <w:rsid w:val="1E6E1383"/>
    <w:rsid w:val="1E6E272B"/>
    <w:rsid w:val="1E814709"/>
    <w:rsid w:val="1EA01E32"/>
    <w:rsid w:val="1EAC5247"/>
    <w:rsid w:val="1EDC730E"/>
    <w:rsid w:val="1F370A48"/>
    <w:rsid w:val="1F4367BC"/>
    <w:rsid w:val="1FBA3134"/>
    <w:rsid w:val="1FE951F7"/>
    <w:rsid w:val="203A6774"/>
    <w:rsid w:val="208A1A2D"/>
    <w:rsid w:val="208F215E"/>
    <w:rsid w:val="209C2AB0"/>
    <w:rsid w:val="20A83220"/>
    <w:rsid w:val="20E57FD0"/>
    <w:rsid w:val="215E4EE8"/>
    <w:rsid w:val="21B463FC"/>
    <w:rsid w:val="21DD6EFA"/>
    <w:rsid w:val="21DF298D"/>
    <w:rsid w:val="21E45038"/>
    <w:rsid w:val="225418B2"/>
    <w:rsid w:val="225F0C79"/>
    <w:rsid w:val="22761828"/>
    <w:rsid w:val="229E48DB"/>
    <w:rsid w:val="22B97967"/>
    <w:rsid w:val="22D36C7A"/>
    <w:rsid w:val="22FD5AA5"/>
    <w:rsid w:val="232272BA"/>
    <w:rsid w:val="233B6F8E"/>
    <w:rsid w:val="236D16F9"/>
    <w:rsid w:val="23767606"/>
    <w:rsid w:val="23A70B19"/>
    <w:rsid w:val="23B4085A"/>
    <w:rsid w:val="23CD191B"/>
    <w:rsid w:val="23DE7F31"/>
    <w:rsid w:val="23E80503"/>
    <w:rsid w:val="23EB1DA2"/>
    <w:rsid w:val="24343749"/>
    <w:rsid w:val="243451F1"/>
    <w:rsid w:val="24637B8A"/>
    <w:rsid w:val="247D37DD"/>
    <w:rsid w:val="24816262"/>
    <w:rsid w:val="24AD5661"/>
    <w:rsid w:val="24BB1774"/>
    <w:rsid w:val="24FF3D57"/>
    <w:rsid w:val="25501043"/>
    <w:rsid w:val="2572277A"/>
    <w:rsid w:val="259E22CD"/>
    <w:rsid w:val="25C32FD6"/>
    <w:rsid w:val="25F61A23"/>
    <w:rsid w:val="264B4D7A"/>
    <w:rsid w:val="267F0A80"/>
    <w:rsid w:val="267F462A"/>
    <w:rsid w:val="26914DED"/>
    <w:rsid w:val="26D60AE7"/>
    <w:rsid w:val="26FE3B9A"/>
    <w:rsid w:val="27BF157B"/>
    <w:rsid w:val="28100433"/>
    <w:rsid w:val="281236EF"/>
    <w:rsid w:val="2818512F"/>
    <w:rsid w:val="284B1152"/>
    <w:rsid w:val="28547D0B"/>
    <w:rsid w:val="285642D5"/>
    <w:rsid w:val="286F399E"/>
    <w:rsid w:val="28956780"/>
    <w:rsid w:val="289A78F2"/>
    <w:rsid w:val="28B9246E"/>
    <w:rsid w:val="28E42C08"/>
    <w:rsid w:val="2901038D"/>
    <w:rsid w:val="29115675"/>
    <w:rsid w:val="299762DC"/>
    <w:rsid w:val="29CB0601"/>
    <w:rsid w:val="2A14048F"/>
    <w:rsid w:val="2A2B5E5C"/>
    <w:rsid w:val="2A3049B2"/>
    <w:rsid w:val="2A451994"/>
    <w:rsid w:val="2A522B7B"/>
    <w:rsid w:val="2A6E1037"/>
    <w:rsid w:val="2A8B3997"/>
    <w:rsid w:val="2AAB7789"/>
    <w:rsid w:val="2ABE3D6C"/>
    <w:rsid w:val="2ADA00F5"/>
    <w:rsid w:val="2AEC6B2B"/>
    <w:rsid w:val="2B1E7CFB"/>
    <w:rsid w:val="2B282108"/>
    <w:rsid w:val="2B2B291F"/>
    <w:rsid w:val="2B413AB8"/>
    <w:rsid w:val="2B6052C0"/>
    <w:rsid w:val="2B65243A"/>
    <w:rsid w:val="2BA54F2C"/>
    <w:rsid w:val="2BC1575F"/>
    <w:rsid w:val="2BF04D49"/>
    <w:rsid w:val="2C277C1E"/>
    <w:rsid w:val="2C2E0A7D"/>
    <w:rsid w:val="2C686611"/>
    <w:rsid w:val="2C691F08"/>
    <w:rsid w:val="2C752B50"/>
    <w:rsid w:val="2CBC6463"/>
    <w:rsid w:val="2CC11743"/>
    <w:rsid w:val="2CD2650A"/>
    <w:rsid w:val="2CD51B1F"/>
    <w:rsid w:val="2D1F65F8"/>
    <w:rsid w:val="2D5E1836"/>
    <w:rsid w:val="2D67693D"/>
    <w:rsid w:val="2D821BBD"/>
    <w:rsid w:val="2D8F19F0"/>
    <w:rsid w:val="2DBA2F11"/>
    <w:rsid w:val="2DD218DC"/>
    <w:rsid w:val="2DD647D7"/>
    <w:rsid w:val="2DF4043C"/>
    <w:rsid w:val="2E2204B6"/>
    <w:rsid w:val="2E4E18AB"/>
    <w:rsid w:val="2E7A61FC"/>
    <w:rsid w:val="2E8762A6"/>
    <w:rsid w:val="2E882855"/>
    <w:rsid w:val="2E9F64F2"/>
    <w:rsid w:val="2EC102CF"/>
    <w:rsid w:val="2EC90F31"/>
    <w:rsid w:val="2ED3341D"/>
    <w:rsid w:val="2ED3590C"/>
    <w:rsid w:val="2EED10C4"/>
    <w:rsid w:val="2F0361F1"/>
    <w:rsid w:val="2F4F58DB"/>
    <w:rsid w:val="2FA15A0A"/>
    <w:rsid w:val="2FAA1469"/>
    <w:rsid w:val="301A16BC"/>
    <w:rsid w:val="3034105F"/>
    <w:rsid w:val="303F76FD"/>
    <w:rsid w:val="308A4FF7"/>
    <w:rsid w:val="30A27C8C"/>
    <w:rsid w:val="30EC0F07"/>
    <w:rsid w:val="3135465C"/>
    <w:rsid w:val="315E4CA9"/>
    <w:rsid w:val="31692558"/>
    <w:rsid w:val="31807FCD"/>
    <w:rsid w:val="318501E2"/>
    <w:rsid w:val="31945827"/>
    <w:rsid w:val="31D64091"/>
    <w:rsid w:val="31EA69B8"/>
    <w:rsid w:val="32220A03"/>
    <w:rsid w:val="3244724D"/>
    <w:rsid w:val="3281224F"/>
    <w:rsid w:val="32B029E9"/>
    <w:rsid w:val="32DA2ABE"/>
    <w:rsid w:val="32E93950"/>
    <w:rsid w:val="32FD11AA"/>
    <w:rsid w:val="33114C55"/>
    <w:rsid w:val="33153347"/>
    <w:rsid w:val="332E1CAB"/>
    <w:rsid w:val="33963E2B"/>
    <w:rsid w:val="33A04957"/>
    <w:rsid w:val="33A1247D"/>
    <w:rsid w:val="33AB32FB"/>
    <w:rsid w:val="33F14D68"/>
    <w:rsid w:val="33FE78CF"/>
    <w:rsid w:val="34362F96"/>
    <w:rsid w:val="346A2C09"/>
    <w:rsid w:val="346D235F"/>
    <w:rsid w:val="346F60D7"/>
    <w:rsid w:val="34B260C8"/>
    <w:rsid w:val="34BF705E"/>
    <w:rsid w:val="34D523DE"/>
    <w:rsid w:val="34D80120"/>
    <w:rsid w:val="34E22D4D"/>
    <w:rsid w:val="354B26A0"/>
    <w:rsid w:val="359A460D"/>
    <w:rsid w:val="35BF4E3C"/>
    <w:rsid w:val="35E84393"/>
    <w:rsid w:val="363B2715"/>
    <w:rsid w:val="36606EC6"/>
    <w:rsid w:val="368247AC"/>
    <w:rsid w:val="37184804"/>
    <w:rsid w:val="371E0070"/>
    <w:rsid w:val="372E4027"/>
    <w:rsid w:val="376734F4"/>
    <w:rsid w:val="379921C2"/>
    <w:rsid w:val="37EA4306"/>
    <w:rsid w:val="384D672F"/>
    <w:rsid w:val="39002FB3"/>
    <w:rsid w:val="390C0398"/>
    <w:rsid w:val="390E2362"/>
    <w:rsid w:val="390E2462"/>
    <w:rsid w:val="39170C92"/>
    <w:rsid w:val="391D4354"/>
    <w:rsid w:val="392E47B3"/>
    <w:rsid w:val="395466E3"/>
    <w:rsid w:val="39921705"/>
    <w:rsid w:val="39A678B1"/>
    <w:rsid w:val="39DC77C9"/>
    <w:rsid w:val="39EC1AC0"/>
    <w:rsid w:val="3A0F5F29"/>
    <w:rsid w:val="3A1F5EA9"/>
    <w:rsid w:val="3A295F9B"/>
    <w:rsid w:val="3A2C3979"/>
    <w:rsid w:val="3A4B6C9E"/>
    <w:rsid w:val="3A5C70FE"/>
    <w:rsid w:val="3A7D5381"/>
    <w:rsid w:val="3ACA5A0A"/>
    <w:rsid w:val="3AEC66D3"/>
    <w:rsid w:val="3AFA0DF0"/>
    <w:rsid w:val="3B4D0803"/>
    <w:rsid w:val="3B64626A"/>
    <w:rsid w:val="3BDE6803"/>
    <w:rsid w:val="3C08753D"/>
    <w:rsid w:val="3C495460"/>
    <w:rsid w:val="3C5502A8"/>
    <w:rsid w:val="3C5E2583"/>
    <w:rsid w:val="3C687FDC"/>
    <w:rsid w:val="3C6E6982"/>
    <w:rsid w:val="3C862FBA"/>
    <w:rsid w:val="3C991F43"/>
    <w:rsid w:val="3D381350"/>
    <w:rsid w:val="3D780336"/>
    <w:rsid w:val="3D803103"/>
    <w:rsid w:val="3D8A5D30"/>
    <w:rsid w:val="3DA825AF"/>
    <w:rsid w:val="3DC47C3F"/>
    <w:rsid w:val="3DEB4A20"/>
    <w:rsid w:val="3DF257B2"/>
    <w:rsid w:val="3DF77869"/>
    <w:rsid w:val="3E086884"/>
    <w:rsid w:val="3E734A16"/>
    <w:rsid w:val="3EA82911"/>
    <w:rsid w:val="3F0965F9"/>
    <w:rsid w:val="3F0E5A67"/>
    <w:rsid w:val="3F2C09B1"/>
    <w:rsid w:val="3F740A45"/>
    <w:rsid w:val="3F8B219C"/>
    <w:rsid w:val="3FB456CB"/>
    <w:rsid w:val="407C4056"/>
    <w:rsid w:val="40D02F9B"/>
    <w:rsid w:val="40EE08A2"/>
    <w:rsid w:val="40EF4858"/>
    <w:rsid w:val="40F1696F"/>
    <w:rsid w:val="40F2256A"/>
    <w:rsid w:val="40FE0993"/>
    <w:rsid w:val="412224FD"/>
    <w:rsid w:val="41362456"/>
    <w:rsid w:val="41384420"/>
    <w:rsid w:val="41A53138"/>
    <w:rsid w:val="41B132F0"/>
    <w:rsid w:val="41F540C0"/>
    <w:rsid w:val="41F8593B"/>
    <w:rsid w:val="4230130C"/>
    <w:rsid w:val="424F183F"/>
    <w:rsid w:val="42636F27"/>
    <w:rsid w:val="42664FBD"/>
    <w:rsid w:val="426B5FFB"/>
    <w:rsid w:val="42772A73"/>
    <w:rsid w:val="42A65516"/>
    <w:rsid w:val="42C910A8"/>
    <w:rsid w:val="42F9198D"/>
    <w:rsid w:val="42FC167C"/>
    <w:rsid w:val="43217136"/>
    <w:rsid w:val="433F7758"/>
    <w:rsid w:val="439B2A45"/>
    <w:rsid w:val="43A54F96"/>
    <w:rsid w:val="43CC0E50"/>
    <w:rsid w:val="44590106"/>
    <w:rsid w:val="44625310"/>
    <w:rsid w:val="44831180"/>
    <w:rsid w:val="44C8711D"/>
    <w:rsid w:val="45151F83"/>
    <w:rsid w:val="453E18DA"/>
    <w:rsid w:val="455235D7"/>
    <w:rsid w:val="460743C1"/>
    <w:rsid w:val="46380A1F"/>
    <w:rsid w:val="463827CD"/>
    <w:rsid w:val="469228C4"/>
    <w:rsid w:val="46965745"/>
    <w:rsid w:val="46EA1201"/>
    <w:rsid w:val="471274C2"/>
    <w:rsid w:val="47AD0F98"/>
    <w:rsid w:val="47B0504B"/>
    <w:rsid w:val="47EF74AA"/>
    <w:rsid w:val="48233009"/>
    <w:rsid w:val="486309CF"/>
    <w:rsid w:val="48735D3E"/>
    <w:rsid w:val="488B0FC5"/>
    <w:rsid w:val="488C6E00"/>
    <w:rsid w:val="48950BDB"/>
    <w:rsid w:val="48A92658"/>
    <w:rsid w:val="48CB154A"/>
    <w:rsid w:val="48E82B89"/>
    <w:rsid w:val="48F350D1"/>
    <w:rsid w:val="49115557"/>
    <w:rsid w:val="49155047"/>
    <w:rsid w:val="49254325"/>
    <w:rsid w:val="49675177"/>
    <w:rsid w:val="49A01D61"/>
    <w:rsid w:val="49EB2377"/>
    <w:rsid w:val="4A1277D9"/>
    <w:rsid w:val="4A26699A"/>
    <w:rsid w:val="4A8A4B54"/>
    <w:rsid w:val="4ACC3E2B"/>
    <w:rsid w:val="4ACC47A3"/>
    <w:rsid w:val="4B052E99"/>
    <w:rsid w:val="4B1E132F"/>
    <w:rsid w:val="4B27776C"/>
    <w:rsid w:val="4B3519D1"/>
    <w:rsid w:val="4B35552D"/>
    <w:rsid w:val="4B9A5CD8"/>
    <w:rsid w:val="4BA64CEC"/>
    <w:rsid w:val="4BBB5B68"/>
    <w:rsid w:val="4BBE6EC5"/>
    <w:rsid w:val="4BC25D7D"/>
    <w:rsid w:val="4BC74433"/>
    <w:rsid w:val="4BDE7972"/>
    <w:rsid w:val="4BE8259F"/>
    <w:rsid w:val="4C0516D1"/>
    <w:rsid w:val="4C194E4E"/>
    <w:rsid w:val="4C2757BD"/>
    <w:rsid w:val="4C4F3C91"/>
    <w:rsid w:val="4C5A2FDC"/>
    <w:rsid w:val="4C680B4F"/>
    <w:rsid w:val="4C7347DE"/>
    <w:rsid w:val="4C8F6EBF"/>
    <w:rsid w:val="4CA30308"/>
    <w:rsid w:val="4CB67BF1"/>
    <w:rsid w:val="4CE622C3"/>
    <w:rsid w:val="4D1A2C2C"/>
    <w:rsid w:val="4D2C6110"/>
    <w:rsid w:val="4D357A66"/>
    <w:rsid w:val="4D7560B4"/>
    <w:rsid w:val="4D8E53C8"/>
    <w:rsid w:val="4DA92202"/>
    <w:rsid w:val="4DD51249"/>
    <w:rsid w:val="4E6E7AAD"/>
    <w:rsid w:val="4E946A0E"/>
    <w:rsid w:val="4EB81536"/>
    <w:rsid w:val="4EBB2485"/>
    <w:rsid w:val="4ECA19FE"/>
    <w:rsid w:val="4EE21425"/>
    <w:rsid w:val="4EEF1E97"/>
    <w:rsid w:val="4F1870FF"/>
    <w:rsid w:val="4F801EFF"/>
    <w:rsid w:val="4FAE58AE"/>
    <w:rsid w:val="4FC77E70"/>
    <w:rsid w:val="5019366F"/>
    <w:rsid w:val="5019541D"/>
    <w:rsid w:val="50266224"/>
    <w:rsid w:val="5031074C"/>
    <w:rsid w:val="504E6532"/>
    <w:rsid w:val="506A793C"/>
    <w:rsid w:val="50AC6075"/>
    <w:rsid w:val="50FD0F68"/>
    <w:rsid w:val="511B6F73"/>
    <w:rsid w:val="512E185C"/>
    <w:rsid w:val="514C730E"/>
    <w:rsid w:val="518670D6"/>
    <w:rsid w:val="51A46F68"/>
    <w:rsid w:val="51D535C6"/>
    <w:rsid w:val="51EA18B0"/>
    <w:rsid w:val="52197E96"/>
    <w:rsid w:val="52224331"/>
    <w:rsid w:val="522B7478"/>
    <w:rsid w:val="523A78CD"/>
    <w:rsid w:val="52616BAE"/>
    <w:rsid w:val="52A01E26"/>
    <w:rsid w:val="52AF16AD"/>
    <w:rsid w:val="52B72CCB"/>
    <w:rsid w:val="52B9474D"/>
    <w:rsid w:val="52FB3500"/>
    <w:rsid w:val="530879CB"/>
    <w:rsid w:val="53702DD7"/>
    <w:rsid w:val="538C6936"/>
    <w:rsid w:val="53A6376C"/>
    <w:rsid w:val="543C16DA"/>
    <w:rsid w:val="54BD27CE"/>
    <w:rsid w:val="54D943F6"/>
    <w:rsid w:val="55452810"/>
    <w:rsid w:val="55FC3817"/>
    <w:rsid w:val="562C1C22"/>
    <w:rsid w:val="56777156"/>
    <w:rsid w:val="568F4D4F"/>
    <w:rsid w:val="56927CD7"/>
    <w:rsid w:val="56AB0D99"/>
    <w:rsid w:val="56B75990"/>
    <w:rsid w:val="56C105BC"/>
    <w:rsid w:val="56C43C09"/>
    <w:rsid w:val="56D02B61"/>
    <w:rsid w:val="56D6406E"/>
    <w:rsid w:val="570A1F63"/>
    <w:rsid w:val="571C7539"/>
    <w:rsid w:val="572B1EDA"/>
    <w:rsid w:val="578A6C00"/>
    <w:rsid w:val="5797131D"/>
    <w:rsid w:val="57997088"/>
    <w:rsid w:val="57B819BF"/>
    <w:rsid w:val="57EA3B43"/>
    <w:rsid w:val="58022C3B"/>
    <w:rsid w:val="58490869"/>
    <w:rsid w:val="58690AF4"/>
    <w:rsid w:val="58920462"/>
    <w:rsid w:val="589917F1"/>
    <w:rsid w:val="58D63E23"/>
    <w:rsid w:val="59082C0D"/>
    <w:rsid w:val="59142C25"/>
    <w:rsid w:val="59367D0E"/>
    <w:rsid w:val="596E218B"/>
    <w:rsid w:val="59BB284B"/>
    <w:rsid w:val="59D03FE9"/>
    <w:rsid w:val="5A0802B0"/>
    <w:rsid w:val="5A647BDD"/>
    <w:rsid w:val="5A820063"/>
    <w:rsid w:val="5AAC3332"/>
    <w:rsid w:val="5AB242ED"/>
    <w:rsid w:val="5AD3266C"/>
    <w:rsid w:val="5AD84127"/>
    <w:rsid w:val="5AF01470"/>
    <w:rsid w:val="5B0E7B48"/>
    <w:rsid w:val="5B172023"/>
    <w:rsid w:val="5BCA2D15"/>
    <w:rsid w:val="5BD60CC0"/>
    <w:rsid w:val="5C1019F3"/>
    <w:rsid w:val="5C1A6503"/>
    <w:rsid w:val="5C3F41AF"/>
    <w:rsid w:val="5CB12E81"/>
    <w:rsid w:val="5CB62246"/>
    <w:rsid w:val="5CF547EA"/>
    <w:rsid w:val="5CF8285E"/>
    <w:rsid w:val="5D37510F"/>
    <w:rsid w:val="5DD111E4"/>
    <w:rsid w:val="5E0E058B"/>
    <w:rsid w:val="5E17280A"/>
    <w:rsid w:val="5E4F2952"/>
    <w:rsid w:val="5E7B54F5"/>
    <w:rsid w:val="5EA80B24"/>
    <w:rsid w:val="5F5D4BFA"/>
    <w:rsid w:val="5F97635E"/>
    <w:rsid w:val="5FA06419"/>
    <w:rsid w:val="5FCC55B0"/>
    <w:rsid w:val="5FD72BFF"/>
    <w:rsid w:val="5FE74F09"/>
    <w:rsid w:val="5FF3766A"/>
    <w:rsid w:val="601C5F42"/>
    <w:rsid w:val="60363DC9"/>
    <w:rsid w:val="60483AFC"/>
    <w:rsid w:val="60966616"/>
    <w:rsid w:val="60A254D6"/>
    <w:rsid w:val="60A50A50"/>
    <w:rsid w:val="60D158A0"/>
    <w:rsid w:val="60D66C28"/>
    <w:rsid w:val="611413BC"/>
    <w:rsid w:val="61706E67"/>
    <w:rsid w:val="61717761"/>
    <w:rsid w:val="619E09FC"/>
    <w:rsid w:val="61BE4076"/>
    <w:rsid w:val="61EA5B50"/>
    <w:rsid w:val="623460E6"/>
    <w:rsid w:val="62DA46B0"/>
    <w:rsid w:val="62F87114"/>
    <w:rsid w:val="630006BE"/>
    <w:rsid w:val="634E142A"/>
    <w:rsid w:val="636522D0"/>
    <w:rsid w:val="636C365E"/>
    <w:rsid w:val="637349EC"/>
    <w:rsid w:val="63814E23"/>
    <w:rsid w:val="63846BFA"/>
    <w:rsid w:val="638E7A78"/>
    <w:rsid w:val="63B868A3"/>
    <w:rsid w:val="63CE0DB5"/>
    <w:rsid w:val="63D80CF3"/>
    <w:rsid w:val="63DD630A"/>
    <w:rsid w:val="63DE39EA"/>
    <w:rsid w:val="63F278A5"/>
    <w:rsid w:val="64656A2B"/>
    <w:rsid w:val="64A70DF2"/>
    <w:rsid w:val="651D5558"/>
    <w:rsid w:val="65646CE3"/>
    <w:rsid w:val="65E34872"/>
    <w:rsid w:val="65E73470"/>
    <w:rsid w:val="65ED067A"/>
    <w:rsid w:val="662621EA"/>
    <w:rsid w:val="66383CCB"/>
    <w:rsid w:val="669E0B88"/>
    <w:rsid w:val="670F6369"/>
    <w:rsid w:val="674072DB"/>
    <w:rsid w:val="674E7C4A"/>
    <w:rsid w:val="675039C2"/>
    <w:rsid w:val="676239C8"/>
    <w:rsid w:val="681349F0"/>
    <w:rsid w:val="681C5653"/>
    <w:rsid w:val="68AA0BDE"/>
    <w:rsid w:val="68D91796"/>
    <w:rsid w:val="68ED3493"/>
    <w:rsid w:val="68F04A29"/>
    <w:rsid w:val="690031C6"/>
    <w:rsid w:val="6904760A"/>
    <w:rsid w:val="69146D78"/>
    <w:rsid w:val="6984366B"/>
    <w:rsid w:val="69A71894"/>
    <w:rsid w:val="69CE6E20"/>
    <w:rsid w:val="69D361E5"/>
    <w:rsid w:val="69E72CD3"/>
    <w:rsid w:val="69F10D61"/>
    <w:rsid w:val="6A186A78"/>
    <w:rsid w:val="6A253BE6"/>
    <w:rsid w:val="6A2931E3"/>
    <w:rsid w:val="6A505A87"/>
    <w:rsid w:val="6A660130"/>
    <w:rsid w:val="6A891E90"/>
    <w:rsid w:val="6A9E228F"/>
    <w:rsid w:val="6B2F7D93"/>
    <w:rsid w:val="6B347157"/>
    <w:rsid w:val="6B6317EA"/>
    <w:rsid w:val="6B637901"/>
    <w:rsid w:val="6B8C0A69"/>
    <w:rsid w:val="6B8E1A00"/>
    <w:rsid w:val="6BE7241B"/>
    <w:rsid w:val="6C18484A"/>
    <w:rsid w:val="6C5555D7"/>
    <w:rsid w:val="6C72358B"/>
    <w:rsid w:val="6CA566B8"/>
    <w:rsid w:val="6CC4275D"/>
    <w:rsid w:val="6CDE2113"/>
    <w:rsid w:val="6CF941B4"/>
    <w:rsid w:val="6D0A2D4D"/>
    <w:rsid w:val="6D490B0E"/>
    <w:rsid w:val="6D633D24"/>
    <w:rsid w:val="6D934572"/>
    <w:rsid w:val="6DEC3D19"/>
    <w:rsid w:val="6DF36E56"/>
    <w:rsid w:val="6E0472B5"/>
    <w:rsid w:val="6E206F36"/>
    <w:rsid w:val="6E531FEA"/>
    <w:rsid w:val="6E7C07ED"/>
    <w:rsid w:val="6EAC0452"/>
    <w:rsid w:val="6ECD3B4B"/>
    <w:rsid w:val="6ECD58F9"/>
    <w:rsid w:val="6F343BCA"/>
    <w:rsid w:val="6FE3114C"/>
    <w:rsid w:val="70195673"/>
    <w:rsid w:val="702A0B29"/>
    <w:rsid w:val="703A6FBE"/>
    <w:rsid w:val="706202C3"/>
    <w:rsid w:val="70742EB9"/>
    <w:rsid w:val="70A97C9F"/>
    <w:rsid w:val="70AB1C6A"/>
    <w:rsid w:val="70B84386"/>
    <w:rsid w:val="70DC13F2"/>
    <w:rsid w:val="712612F0"/>
    <w:rsid w:val="712A2783"/>
    <w:rsid w:val="71687B5B"/>
    <w:rsid w:val="717C1858"/>
    <w:rsid w:val="719C3171"/>
    <w:rsid w:val="71C56D5B"/>
    <w:rsid w:val="71CB12E6"/>
    <w:rsid w:val="71E01DE7"/>
    <w:rsid w:val="71EF192C"/>
    <w:rsid w:val="72226E67"/>
    <w:rsid w:val="723D0FE7"/>
    <w:rsid w:val="72926649"/>
    <w:rsid w:val="72C00BD6"/>
    <w:rsid w:val="72C07522"/>
    <w:rsid w:val="737347AD"/>
    <w:rsid w:val="73B46F4E"/>
    <w:rsid w:val="73C92407"/>
    <w:rsid w:val="73D370C8"/>
    <w:rsid w:val="74510D7A"/>
    <w:rsid w:val="7479207F"/>
    <w:rsid w:val="748A7EA3"/>
    <w:rsid w:val="74F13F7F"/>
    <w:rsid w:val="754937FF"/>
    <w:rsid w:val="755B7C06"/>
    <w:rsid w:val="758533AB"/>
    <w:rsid w:val="75A82C1C"/>
    <w:rsid w:val="75C760F4"/>
    <w:rsid w:val="76636A51"/>
    <w:rsid w:val="76A51D5C"/>
    <w:rsid w:val="76C92E49"/>
    <w:rsid w:val="76EE5DC1"/>
    <w:rsid w:val="771F16B2"/>
    <w:rsid w:val="7726029C"/>
    <w:rsid w:val="77366005"/>
    <w:rsid w:val="773E13B6"/>
    <w:rsid w:val="779F3BAA"/>
    <w:rsid w:val="77C935C3"/>
    <w:rsid w:val="77E12415"/>
    <w:rsid w:val="77F35CA4"/>
    <w:rsid w:val="78006D3F"/>
    <w:rsid w:val="78223F07"/>
    <w:rsid w:val="784B788E"/>
    <w:rsid w:val="785D684A"/>
    <w:rsid w:val="78CE219D"/>
    <w:rsid w:val="78DF4BA6"/>
    <w:rsid w:val="79037CBC"/>
    <w:rsid w:val="79116D2A"/>
    <w:rsid w:val="791441C7"/>
    <w:rsid w:val="795B557D"/>
    <w:rsid w:val="79681B1A"/>
    <w:rsid w:val="79B4687C"/>
    <w:rsid w:val="79D833A4"/>
    <w:rsid w:val="7A596CDF"/>
    <w:rsid w:val="7B226FCC"/>
    <w:rsid w:val="7BA563C1"/>
    <w:rsid w:val="7BED0F1C"/>
    <w:rsid w:val="7C16029D"/>
    <w:rsid w:val="7C421F6C"/>
    <w:rsid w:val="7C7840F4"/>
    <w:rsid w:val="7C943EFA"/>
    <w:rsid w:val="7CB41EA6"/>
    <w:rsid w:val="7CBB44DD"/>
    <w:rsid w:val="7D5A0C9F"/>
    <w:rsid w:val="7D5D078F"/>
    <w:rsid w:val="7D6436AF"/>
    <w:rsid w:val="7D851A94"/>
    <w:rsid w:val="7D895DFA"/>
    <w:rsid w:val="7DBB1900"/>
    <w:rsid w:val="7DBD5782"/>
    <w:rsid w:val="7E645B88"/>
    <w:rsid w:val="7E857F9E"/>
    <w:rsid w:val="7E861620"/>
    <w:rsid w:val="7EE12CFA"/>
    <w:rsid w:val="7F4172A6"/>
    <w:rsid w:val="7F437511"/>
    <w:rsid w:val="7F4C286A"/>
    <w:rsid w:val="7FA103A4"/>
    <w:rsid w:val="7FC05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1">
    <w:name w:val="Default Paragraph Font"/>
    <w:autoRedefine/>
    <w:semiHidden/>
    <w:qFormat/>
    <w:uiPriority w:val="0"/>
  </w:style>
  <w:style w:type="table" w:default="1" w:styleId="10">
    <w:name w:val="Normal Table"/>
    <w:autoRedefine/>
    <w:semiHidden/>
    <w:qFormat/>
    <w:uiPriority w:val="0"/>
    <w:tblPr>
      <w:tblCellMar>
        <w:top w:w="0" w:type="dxa"/>
        <w:left w:w="108" w:type="dxa"/>
        <w:bottom w:w="0" w:type="dxa"/>
        <w:right w:w="108" w:type="dxa"/>
      </w:tblCellMar>
    </w:tbl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autoRedefine/>
    <w:qFormat/>
    <w:uiPriority w:val="0"/>
  </w:style>
  <w:style w:type="paragraph" w:styleId="8">
    <w:name w:val="toc 2"/>
    <w:basedOn w:val="1"/>
    <w:next w:val="1"/>
    <w:qFormat/>
    <w:uiPriority w:val="0"/>
    <w:pPr>
      <w:ind w:left="420" w:leftChars="200"/>
    </w:pPr>
  </w:style>
  <w:style w:type="paragraph" w:styleId="9">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autoRedefine/>
    <w:qFormat/>
    <w:uiPriority w:val="0"/>
    <w:rPr>
      <w:b/>
    </w:rPr>
  </w:style>
  <w:style w:type="character" w:styleId="13">
    <w:name w:val="Emphasis"/>
    <w:basedOn w:val="11"/>
    <w:autoRedefine/>
    <w:qFormat/>
    <w:uiPriority w:val="0"/>
    <w:rPr>
      <w:i/>
    </w:rPr>
  </w:style>
  <w:style w:type="paragraph" w:customStyle="1" w:styleId="14">
    <w:name w:val="WPSOffice手动目录 1"/>
    <w:autoRedefine/>
    <w:qFormat/>
    <w:uiPriority w:val="0"/>
    <w:pPr>
      <w:ind w:leftChars="0"/>
    </w:pPr>
    <w:rPr>
      <w:rFonts w:ascii="Times New Roman" w:hAnsi="Times New Roman" w:eastAsia="宋体" w:cs="Times New Roman"/>
      <w:sz w:val="20"/>
      <w:szCs w:val="20"/>
    </w:rPr>
  </w:style>
  <w:style w:type="character" w:customStyle="1" w:styleId="15">
    <w:name w:val="font01"/>
    <w:basedOn w:val="11"/>
    <w:autoRedefine/>
    <w:qFormat/>
    <w:uiPriority w:val="0"/>
    <w:rPr>
      <w:rFonts w:hint="default" w:ascii="Arial" w:hAnsi="Arial" w:cs="Arial"/>
      <w:color w:val="000000"/>
      <w:sz w:val="20"/>
      <w:szCs w:val="20"/>
      <w:u w:val="none"/>
    </w:rPr>
  </w:style>
  <w:style w:type="character" w:customStyle="1" w:styleId="16">
    <w:name w:val="font11"/>
    <w:basedOn w:val="11"/>
    <w:autoRedefine/>
    <w:qFormat/>
    <w:uiPriority w:val="0"/>
    <w:rPr>
      <w:rFonts w:hint="eastAsia" w:ascii="宋体" w:hAnsi="宋体" w:eastAsia="宋体" w:cs="宋体"/>
      <w:color w:val="000000"/>
      <w:sz w:val="20"/>
      <w:szCs w:val="20"/>
      <w:u w:val="none"/>
    </w:rPr>
  </w:style>
  <w:style w:type="character" w:customStyle="1" w:styleId="17">
    <w:name w:val="font31"/>
    <w:basedOn w:val="11"/>
    <w:autoRedefine/>
    <w:qFormat/>
    <w:uiPriority w:val="0"/>
    <w:rPr>
      <w:rFonts w:hint="eastAsia" w:ascii="宋体" w:hAnsi="宋体" w:eastAsia="宋体" w:cs="宋体"/>
      <w:color w:val="000000"/>
      <w:sz w:val="20"/>
      <w:szCs w:val="20"/>
      <w:u w:val="none"/>
    </w:rPr>
  </w:style>
  <w:style w:type="character" w:customStyle="1" w:styleId="18">
    <w:name w:val="font41"/>
    <w:basedOn w:val="11"/>
    <w:autoRedefine/>
    <w:qFormat/>
    <w:uiPriority w:val="0"/>
    <w:rPr>
      <w:rFonts w:hint="eastAsia" w:ascii="宋体" w:hAnsi="宋体" w:eastAsia="宋体" w:cs="宋体"/>
      <w:b/>
      <w:bCs/>
      <w:color w:val="000000"/>
      <w:sz w:val="18"/>
      <w:szCs w:val="18"/>
      <w:u w:val="none"/>
    </w:rPr>
  </w:style>
</w:styles>
</file>

<file path=word/_rels/document.xml.rels><?xml version="1.0" encoding="UTF-8" standalone="yes"?>
<Relationships xmlns="http://schemas.openxmlformats.org/package/2006/relationships"><Relationship Id="rId9" Type="http://www.wps.cn/officeDocument/2018/webExtension" Target="webExtensions/webExtension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chart" Target="charts/chart2.xml"/><Relationship Id="rId11" Type="http://schemas.openxmlformats.org/officeDocument/2006/relationships/chart" Target="charts/chart1.xml"/><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2" Type="http://schemas.openxmlformats.org/officeDocument/2006/relationships/themeOverride" Target="../theme/themeOverride2.xml"/><Relationship Id="rId1" Type="http://schemas.openxmlformats.org/officeDocument/2006/relationships/package" Target="../embeddings/Workbook2.xlsx"/></Relationships>
</file>

<file path=word/charts/_rels/chart2.xml.rels><?xml version="1.0" encoding="UTF-8" standalone="yes"?>
<Relationships xmlns="http://schemas.openxmlformats.org/package/2006/relationships"><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0" i="0" u="none" strike="noStrike" kern="1200" spc="0" baseline="0">
                <a:solidFill>
                  <a:schemeClr val="tx1"/>
                </a:solidFill>
                <a:latin typeface="+mn-lt"/>
                <a:ea typeface="+mn-ea"/>
                <a:cs typeface="+mn-cs"/>
              </a:defRPr>
            </a:pPr>
            <a:r>
              <a:t>患者血压控制效果</a:t>
            </a:r>
          </a:p>
        </c:rich>
      </c:tx>
      <c:layout/>
      <c:overlay val="0"/>
      <c:spPr>
        <a:noFill/>
        <a:ln>
          <a:noFill/>
        </a:ln>
        <a:effectLst/>
      </c:spPr>
    </c:title>
    <c:autoTitleDeleted val="0"/>
    <c:view3D>
      <c:rotX val="40"/>
      <c:rotY val="0"/>
      <c:depthPercent val="100"/>
      <c:rAngAx val="0"/>
    </c:view3D>
    <c:floor>
      <c:thickness val="0"/>
    </c:floor>
    <c:sideWall>
      <c:thickness val="0"/>
    </c:sideWall>
    <c:backWall>
      <c:thickness val="0"/>
    </c:backWall>
    <c:plotArea>
      <c:layout>
        <c:manualLayout>
          <c:layoutTarget val="inner"/>
          <c:xMode val="edge"/>
          <c:yMode val="edge"/>
          <c:x val="0.0840713332524566"/>
          <c:y val="0.207381002306563"/>
          <c:w val="0.540094625743055"/>
          <c:h val="0.69930803103376"/>
        </c:manualLayout>
      </c:layout>
      <c:pie3DChart>
        <c:varyColors val="1"/>
        <c:ser>
          <c:idx val="0"/>
          <c:order val="0"/>
          <c:tx>
            <c:strRef>
              <c:f>Sheet1!$B$1</c:f>
              <c:strCache>
                <c:ptCount val="1"/>
                <c:pt idx="0">
                  <c:v>占比</c:v>
                </c:pt>
              </c:strCache>
            </c:strRef>
          </c:tx>
          <c:spPr>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explosion val="0"/>
          <c:dPt>
            <c:idx val="0"/>
            <c:bubble3D val="0"/>
            <c:spPr>
              <a:gradFill>
                <a:gsLst>
                  <a:gs pos="0">
                    <a:schemeClr val="accent1">
                      <a:lumMod val="60000"/>
                      <a:lumOff val="40000"/>
                    </a:schemeClr>
                  </a:gs>
                  <a:gs pos="50000">
                    <a:schemeClr val="accent1"/>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1"/>
            <c:bubble3D val="0"/>
            <c:spPr>
              <a:gradFill>
                <a:gsLst>
                  <a:gs pos="0">
                    <a:schemeClr val="accent3">
                      <a:lumMod val="60000"/>
                      <a:lumOff val="40000"/>
                    </a:schemeClr>
                  </a:gs>
                  <a:gs pos="60000">
                    <a:schemeClr val="accent3"/>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2"/>
            <c:bubble3D val="0"/>
            <c:spPr>
              <a:gradFill>
                <a:gsLst>
                  <a:gs pos="0">
                    <a:schemeClr val="accent2">
                      <a:lumMod val="60000"/>
                      <a:lumOff val="40000"/>
                    </a:schemeClr>
                  </a:gs>
                  <a:gs pos="60000">
                    <a:schemeClr val="accent2">
                      <a:alpha val="100000"/>
                    </a:schemeClr>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3"/>
            <c:bubble3D val="0"/>
            <c:spPr>
              <a:gradFill>
                <a:gsLst>
                  <a:gs pos="0">
                    <a:schemeClr val="accent4">
                      <a:lumMod val="60000"/>
                      <a:lumOff val="40000"/>
                    </a:schemeClr>
                  </a:gs>
                  <a:gs pos="60000">
                    <a:schemeClr val="accent4"/>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Lbls>
            <c:dLbl>
              <c:idx val="0"/>
              <c:layout/>
              <c:numFmt formatCode="General" sourceLinked="1"/>
              <c:spPr>
                <a:solidFill>
                  <a:schemeClr val="accent1"/>
                </a:solidFill>
                <a:ln>
                  <a:solidFill>
                    <a:schemeClr val="accent1">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dLbl>
              <c:idx val="1"/>
              <c:layout>
                <c:manualLayout>
                  <c:x val="-0.00783903841128821"/>
                  <c:y val="-0.0826901874310915"/>
                </c:manualLayout>
              </c:layout>
              <c:numFmt formatCode="General" sourceLinked="1"/>
              <c:spPr>
                <a:solidFill>
                  <a:schemeClr val="accent3"/>
                </a:solidFill>
                <a:ln>
                  <a:solidFill>
                    <a:schemeClr val="accent3">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bestFit"/>
              <c:showLegendKey val="0"/>
              <c:showVal val="0"/>
              <c:showCatName val="0"/>
              <c:showSerName val="0"/>
              <c:showPercent val="1"/>
              <c:showBubbleSize val="0"/>
              <c:extLst>
                <c:ext xmlns:c15="http://schemas.microsoft.com/office/drawing/2012/chart" uri="{CE6537A1-D6FC-4f65-9D91-7224C49458BB}">
                  <c15:layout/>
                </c:ext>
              </c:extLst>
            </c:dLbl>
            <c:dLbl>
              <c:idx val="2"/>
              <c:layout/>
              <c:numFmt formatCode="General" sourceLinked="1"/>
              <c:spPr>
                <a:solidFill>
                  <a:schemeClr val="accent2"/>
                </a:solidFill>
                <a:ln>
                  <a:solidFill>
                    <a:schemeClr val="accent2">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dLbl>
              <c:idx val="3"/>
              <c:layout/>
              <c:numFmt formatCode="General" sourceLinked="1"/>
              <c:spPr>
                <a:solidFill>
                  <a:schemeClr val="accent4"/>
                </a:solidFill>
                <a:ln>
                  <a:solidFill>
                    <a:schemeClr val="accent4">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numFmt formatCode="General" sourceLinked="1"/>
            <c:spPr>
              <a:solidFill>
                <a:srgbClr val="FFFFFF"/>
              </a:solidFill>
              <a:ln>
                <a:solidFill>
                  <a:srgbClr val="000000">
                    <a:lumMod val="65000"/>
                    <a:lumOff val="35000"/>
                  </a:srgb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solidFill>
                    <a:latin typeface="+mn-lt"/>
                    <a:ea typeface="+mn-ea"/>
                    <a:cs typeface="+mn-cs"/>
                  </a:defRPr>
                </a:pPr>
              </a:p>
            </c:txPr>
            <c:dLblPos val="outEnd"/>
            <c:showLegendKey val="0"/>
            <c:showVal val="0"/>
            <c:showCatName val="0"/>
            <c:showSerName val="0"/>
            <c:showPercent val="1"/>
            <c:showBubbleSize val="0"/>
            <c:showLeaderLines val="1"/>
            <c:extLst>
              <c:ext xmlns:c15="http://schemas.microsoft.com/office/drawing/2012/chart" uri="{CE6537A1-D6FC-4f65-9D91-7224C49458BB}">
                <c15:spPr xmlns:c15="http://schemas.microsoft.com/office/drawing/2012/chart">
                  <a:prstGeom prst="wedgeEllipseCallout">
                    <a:avLst/>
                  </a:prstGeom>
                  <a:noFill/>
                  <a:ln>
                    <a:noFill/>
                  </a:ln>
                </c15:spPr>
                <c15:layout/>
                <c15:showLeaderLines val="1"/>
                <c15:leaderLines>
                  <c:spPr>
                    <a:ln w="9525" cap="flat" cmpd="sng" algn="ctr">
                      <a:solidFill>
                        <a:schemeClr val="tx1">
                          <a:lumMod val="35000"/>
                          <a:lumOff val="65000"/>
                        </a:schemeClr>
                      </a:solidFill>
                      <a:prstDash val="solid"/>
                      <a:round/>
                    </a:ln>
                    <a:effectLst/>
                  </c:spPr>
                </c15:leaderLines>
              </c:ext>
            </c:extLst>
          </c:dLbls>
          <c:cat>
            <c:strRef>
              <c:f>Sheet1!$A$2:$A$5</c:f>
              <c:strCache>
                <c:ptCount val="4"/>
                <c:pt idx="0">
                  <c:v>A.血压稳定在正常范围</c:v>
                </c:pt>
                <c:pt idx="1">
                  <c:v>B.血压多数时间在正常范围</c:v>
                </c:pt>
                <c:pt idx="2">
                  <c:v>C.血压偶尔超出正常范围</c:v>
                </c:pt>
                <c:pt idx="3">
                  <c:v>D.血压持续超出正常范围</c:v>
                </c:pt>
              </c:strCache>
            </c:strRef>
          </c:cat>
          <c:val>
            <c:numRef>
              <c:f>Sheet1!$B$2:$B$5</c:f>
              <c:numCache>
                <c:formatCode>0.00%</c:formatCode>
                <c:ptCount val="4"/>
                <c:pt idx="0">
                  <c:v>0.4495</c:v>
                </c:pt>
                <c:pt idx="1">
                  <c:v>0.4896</c:v>
                </c:pt>
                <c:pt idx="2">
                  <c:v>0.0609</c:v>
                </c:pt>
                <c:pt idx="3">
                  <c:v>0</c:v>
                </c:pt>
              </c:numCache>
            </c:numRef>
          </c:val>
        </c:ser>
        <c:dLbls>
          <c:showLegendKey val="0"/>
          <c:showVal val="0"/>
          <c:showCatName val="0"/>
          <c:showSerName val="0"/>
          <c:showPercent val="1"/>
          <c:showBubbleSize val="0"/>
        </c:dLbls>
      </c:pie3DChart>
      <c:spPr>
        <a:noFill/>
        <a:ln>
          <a:noFill/>
        </a:ln>
        <a:effectLst/>
      </c:spPr>
    </c:plotArea>
    <c:legend>
      <c:legendPos val="r"/>
      <c:layout>
        <c:manualLayout>
          <c:xMode val="edge"/>
          <c:yMode val="edge"/>
          <c:x val="0.686885842533058"/>
          <c:y val="0.314928425357873"/>
          <c:w val="0.29855635084314"/>
          <c:h val="0.40377187002953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50000"/>
                  <a:lumOff val="50000"/>
                </a:schemeClr>
              </a:solidFill>
              <a:latin typeface="+mn-lt"/>
              <a:ea typeface="+mn-ea"/>
              <a:cs typeface="+mn-cs"/>
            </a:defRPr>
          </a:pPr>
        </a:p>
      </c:txPr>
    </c:legend>
    <c:plotVisOnly val="1"/>
    <c:dispBlanksAs val="gap"/>
    <c:showDLblsOverMax val="0"/>
    <c:extLst>
      <c:ext uri="{0b15fc19-7d7d-44ad-8c2d-2c3a37ce22c3}">
        <chartProps xmlns="https://web.wps.cn/et/2018/main" chartId="{d3ec2183-c593-4541-acad-541fbd05b2cb}"/>
      </c:ext>
    </c:extLst>
  </c:chart>
  <c:spPr>
    <a:solidFill>
      <a:schemeClr val="bg1"/>
    </a:solidFill>
    <a:ln w="9525" cap="flat" cmpd="sng" algn="ctr">
      <a:solidFill>
        <a:schemeClr val="bg1">
          <a:lumMod val="85000"/>
        </a:schemeClr>
      </a:solidFill>
      <a:prstDash val="solid"/>
      <a:round/>
    </a:ln>
    <a:effectLst>
      <a:outerShdw blurRad="63500" dist="37357" dir="2700000" sx="0" sy="0" rotWithShape="0">
        <a:scrgbClr r="0" g="0" b="0"/>
      </a:outerShdw>
    </a:effectLst>
  </c:spPr>
  <c:txPr>
    <a:bodyPr/>
    <a:lstStyle/>
    <a:p>
      <a:pPr>
        <a:defRPr lang="zh-CN"/>
      </a:pPr>
    </a:p>
  </c:txPr>
  <c:externalData r:id="rId1">
    <c:autoUpdate val="0"/>
  </c:externalData>
</c:chartSpace>
</file>

<file path=word/charts/chart2.xml><?xml version="1.0" encoding="utf-8"?>
<c:chartSpace xmlns:a="http://schemas.openxmlformats.org/drawingml/2006/main" xmlns:c="http://schemas.openxmlformats.org/drawingml/2006/chart" xmlns:c14="http://schemas.microsoft.com/office/drawing/2007/8/2/chart" xmlns:mc="http://schemas.openxmlformats.org/markup-compatibility/2006" xmlns:ns4="http://schemas.microsoft.com/office/drawing/2012/chart" xmlns:ns5="https://web.wps.cn/et/2018/main" xmlns:r="http://schemas.openxmlformats.org/officeDocument/2006/relationships">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0" i="0" u="none" strike="noStrike" kern="1200" spc="0" baseline="0">
                <a:solidFill>
                  <a:schemeClr val="tx1"/>
                </a:solidFill>
                <a:latin typeface="+mn-lt"/>
                <a:ea typeface="+mn-ea"/>
                <a:cs typeface="+mn-cs"/>
              </a:defRPr>
            </a:pPr>
            <a:r>
              <a:t>药品价格接受度情况</a:t>
            </a:r>
            <a:endParaRPr lang="en-US" altLang="zh-CN"/>
          </a:p>
        </c:rich>
      </c:tx>
      <c:layout>
        <c:manualLayout>
          <c:xMode val="edge"/>
          <c:yMode val="edge"/>
          <c:x val="0.413354338342221"/>
          <c:y val="0.0272806364231808"/>
        </c:manualLayout>
      </c:layout>
      <c:overlay val="0"/>
      <c:spPr>
        <a:noFill/>
        <a:ln>
          <a:noFill/>
        </a:ln>
        <a:effectLst/>
      </c:spPr>
    </c:title>
    <c:autoTitleDeleted val="0"/>
    <c:view3D>
      <c:rotX val="40"/>
      <c:rotY val="0"/>
      <c:depthPercent val="100"/>
      <c:rAngAx val="0"/>
    </c:view3D>
    <c:floor>
      <c:thickness val="0"/>
    </c:floor>
    <c:sideWall>
      <c:thickness val="0"/>
    </c:sideWall>
    <c:backWall>
      <c:thickness val="0"/>
    </c:backWall>
    <c:plotArea>
      <c:layout>
        <c:manualLayout>
          <c:layoutTarget val="inner"/>
          <c:xMode val="edge"/>
          <c:yMode val="edge"/>
          <c:x val="0.0683470673776054"/>
          <c:y val="0.210447441661314"/>
          <c:w val="0.555138148327678"/>
          <c:h val="0.694926140012845"/>
        </c:manualLayout>
      </c:layout>
      <c:barChart>
        <c:barDir val="bar"/>
        <c:grouping val="clustered"/>
        <c:ser>
          <c:idx val="0"/>
          <c:order val="0"/>
          <c:tx>
            <c:strRef>
              <c:f>Sheet1!$B$1</c:f>
              <c:strCache>
                <c:ptCount val="1"/>
                <c:pt idx="0">
                  <c:v>销售额</c:v>
                </c:pt>
              </c:strCache>
            </c:strRef>
          </c:tx>
          <c:spPr>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idx val="0"/>
            <c:bubble3D val="0"/>
            <c:spPr>
              <a:gradFill>
                <a:gsLst>
                  <a:gs pos="0">
                    <a:schemeClr val="accent1">
                      <a:lumMod val="60000"/>
                      <a:lumOff val="40000"/>
                    </a:schemeClr>
                  </a:gs>
                  <a:gs pos="50000">
                    <a:schemeClr val="accent1"/>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1"/>
            <c:bubble3D val="0"/>
            <c:spPr>
              <a:gradFill>
                <a:gsLst>
                  <a:gs pos="0">
                    <a:schemeClr val="accent3">
                      <a:lumMod val="60000"/>
                      <a:lumOff val="40000"/>
                    </a:schemeClr>
                  </a:gs>
                  <a:gs pos="60000">
                    <a:schemeClr val="accent3"/>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2"/>
            <c:bubble3D val="0"/>
            <c:spPr>
              <a:gradFill>
                <a:gsLst>
                  <a:gs pos="0">
                    <a:schemeClr val="accent2">
                      <a:lumMod val="60000"/>
                      <a:lumOff val="40000"/>
                    </a:schemeClr>
                  </a:gs>
                  <a:gs pos="60000">
                    <a:schemeClr val="accent2">
                      <a:alpha val="100000"/>
                    </a:schemeClr>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3"/>
            <c:bubble3D val="0"/>
            <c:spPr>
              <a:gradFill>
                <a:gsLst>
                  <a:gs pos="0">
                    <a:schemeClr val="accent4">
                      <a:lumMod val="60000"/>
                      <a:lumOff val="40000"/>
                    </a:schemeClr>
                  </a:gs>
                  <a:gs pos="60000">
                    <a:schemeClr val="accent4"/>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Lbls>
            <c:dLbl>
              <c:idx val="0"/>
              <c:layout/>
              <c:numFmt formatCode="General" sourceLinked="1"/>
              <c:spPr>
                <a:solidFill>
                  <a:schemeClr val="accent1"/>
                </a:solidFill>
                <a:ln>
                  <a:solidFill>
                    <a:schemeClr val="accent1">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uri="{CE6537A1-D6FC-4f65-9D91-7224C49458BB}"/>
              </c:extLst>
            </c:dLbl>
            <c:dLbl>
              <c:idx val="1"/>
              <c:layout>
                <c:manualLayout>
                  <c:x val="-0.00783903841128821"/>
                  <c:y val="-0.0826901874310915"/>
                </c:manualLayout>
              </c:layout>
              <c:numFmt formatCode="General" sourceLinked="1"/>
              <c:spPr>
                <a:solidFill>
                  <a:schemeClr val="accent3"/>
                </a:solidFill>
                <a:ln>
                  <a:solidFill>
                    <a:schemeClr val="accent3">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bestFit"/>
              <c:showLegendKey val="0"/>
              <c:showVal val="0"/>
              <c:showCatName val="0"/>
              <c:showSerName val="0"/>
              <c:showPercent val="1"/>
              <c:showBubbleSize val="0"/>
              <c:extLst>
                <c:ext uri="{CE6537A1-D6FC-4f65-9D91-7224C49458BB}">
                  <ns4:layout/>
                </c:ext>
              </c:extLst>
            </c:dLbl>
            <c:dLbl>
              <c:idx val="2"/>
              <c:layout/>
              <c:numFmt formatCode="General" sourceLinked="1"/>
              <c:spPr>
                <a:solidFill>
                  <a:schemeClr val="accent2"/>
                </a:solidFill>
                <a:ln>
                  <a:solidFill>
                    <a:schemeClr val="accent2">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uri="{CE6537A1-D6FC-4f65-9D91-7224C49458BB}"/>
              </c:extLst>
            </c:dLbl>
            <c:dLbl>
              <c:idx val="3"/>
              <c:layout/>
              <c:numFmt formatCode="General" sourceLinked="1"/>
              <c:spPr>
                <a:solidFill>
                  <a:schemeClr val="accent4"/>
                </a:solidFill>
                <a:ln>
                  <a:solidFill>
                    <a:schemeClr val="accent4">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uri="{CE6537A1-D6FC-4f65-9D91-7224C49458BB}"/>
              </c:extLst>
            </c:dLbl>
            <c:numFmt formatCode="General" sourceLinked="1"/>
            <c:spPr>
              <a:solidFill>
                <a:srgbClr val="FFFFFF"/>
              </a:solidFill>
              <a:ln>
                <a:solidFill>
                  <a:srgbClr val="000000">
                    <a:lumMod val="65000"/>
                    <a:lumOff val="35000"/>
                  </a:srgb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solidFill>
                    <a:latin typeface="+mn-lt"/>
                    <a:ea typeface="+mn-ea"/>
                    <a:cs typeface="+mn-cs"/>
                  </a:defRPr>
                </a:pPr>
              </a:p>
            </c:txPr>
            <c:dLblPos val="outEnd"/>
            <c:showLegendKey val="0"/>
            <c:showVal val="0"/>
            <c:showCatName val="0"/>
            <c:showSerName val="0"/>
            <c:showPercent val="1"/>
            <c:showBubbleSize val="0"/>
            <c:showLeaderLines val="1"/>
            <c:extLst>
              <c:ext uri="{CE6537A1-D6FC-4f65-9D91-7224C49458BB}">
                <ns4:spPr>
                  <a:prstGeom prst="wedgeEllipseCallout">
                    <a:avLst/>
                  </a:prstGeom>
                  <a:noFill/>
                  <a:ln>
                    <a:noFill/>
                  </a:ln>
                </ns4:spPr>
                <ns4:layout/>
                <ns4:showLeaderLines val="1"/>
                <ns4:leaderLines>
                  <c:spPr>
                    <a:ln w="9525" cap="flat" cmpd="sng" algn="ctr">
                      <a:solidFill>
                        <a:schemeClr val="tx1">
                          <a:lumMod val="35000"/>
                          <a:lumOff val="65000"/>
                        </a:schemeClr>
                      </a:solidFill>
                      <a:prstDash val="solid"/>
                      <a:round/>
                    </a:ln>
                    <a:effectLst/>
                  </c:spPr>
                </ns4:leaderLines>
              </c:ext>
            </c:extLst>
          </c:dLbls>
          <c:cat>
            <c:strRef>
              <c:f>Sheet1!$A$2:$A$5</c:f>
              <c:strCache>
                <c:ptCount val="4"/>
                <c:pt idx="0">
                  <c:v>难以承受</c:v>
                </c:pt>
                <c:pt idx="1">
                  <c:v>勉强承受</c:v>
                </c:pt>
                <c:pt idx="2">
                  <c:v>在可接受范围</c:v>
                </c:pt>
                <c:pt idx="3">
                  <c:v>无压力</c:v>
                </c:pt>
              </c:strCache>
            </c:strRef>
          </c:cat>
          <c:val>
            <c:numRef>
              <c:f>Sheet1!$B$2:$B$5</c:f>
              <c:numCache>
                <c:formatCode>General</c:formatCode>
                <c:ptCount val="4"/>
                <c:pt idx="0">
                  <c:v>0</c:v>
                </c:pt>
                <c:pt idx="1">
                  <c:v>0</c:v>
                </c:pt>
                <c:pt idx="2">
                  <c:v>0</c:v>
                </c:pt>
                <c:pt idx="3">
                  <c:v>0</c:v>
                </c:pt>
              </c:numCache>
            </c:numRef>
          </c:val>
        </c:ser>
        <c:dLbls>
          <c:showLegendKey val="0"/>
          <c:showVal val="1"/>
          <c:showCatName val="0"/>
          <c:showSerName val="0"/>
          <c:showPercent val="0"/>
          <c:showBubbleSize val="0"/>
        </c:dLbls>
        <c:gapWidth val="120"/>
        <c:axId val="10"/>
        <c:axId val="100"/>
      </c:barChart>
      <c:catAx>
        <c:axId val="10"/>
        <c:scaling>
          <c:orientation val="minMax"/>
        </c:scaling>
        <c:delete val="0"/>
        <c:axPos val="l"/>
        <c:majorTickMark val="none"/>
        <c:minorTickMark val="none"/>
        <c:tickLblPos val="nextTo"/>
        <c:crossAx val="100"/>
        <c:crosses val="autoZero"/>
        <c:lblOffset val="100"/>
      </c:catAx>
      <c:valAx>
        <c:axId val="100"/>
        <c:scaling>
          <c:orientation val="minMax"/>
        </c:scaling>
        <c:delete val="0"/>
        <c:axPos val="b"/>
        <c:majorGridlines/>
        <c:numFmt formatCode="General" sourceLinked="1"/>
        <c:majorTickMark val="none"/>
        <c:minorTickMark val="none"/>
        <c:tickLblPos val="nextTo"/>
        <c:crossAx val="10"/>
        <c:crosses val="autoZero"/>
        <c:crossBetween val="between"/>
      </c:valAx>
      <c:spPr>
        <a:noFill/>
        <a:ln>
          <a:noFill/>
        </a:ln>
        <a:effectLst/>
      </c:spPr>
    </c:plotArea>
    <c:legend>
      <c:legendPos val="r"/>
      <c:layout>
        <c:manualLayout>
          <c:xMode val="edge"/>
          <c:yMode val="edge"/>
          <c:x val="0.667474551623849"/>
          <c:y val="0.370156283451081"/>
          <c:w val="0.317983519146874"/>
          <c:h val="0.37871976022265"/>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50000"/>
                  <a:lumOff val="50000"/>
                </a:schemeClr>
              </a:solidFill>
              <a:latin typeface="+mn-lt"/>
              <a:ea typeface="+mn-ea"/>
              <a:cs typeface="+mn-cs"/>
            </a:defRPr>
          </a:pPr>
        </a:p>
      </c:txPr>
    </c:legend>
    <c:plotVisOnly val="1"/>
    <c:dispBlanksAs val="gap"/>
    <c:showDLblsOverMax val="0"/>
    <c:extLst>
      <c:ext uri="{0b15fc19-7d7d-44ad-8c2d-2c3a37ce22c3}">
        <ns5:chartProps chartId="{d3ec2183-c593-4541-acad-541fbd05b2cb}"/>
      </c:ext>
    </c:extLst>
  </c:chart>
  <c:spPr>
    <a:solidFill>
      <a:schemeClr val="bg1"/>
    </a:solidFill>
    <a:ln w="9525" cap="flat" cmpd="sng" algn="ctr">
      <a:solidFill>
        <a:schemeClr val="bg1">
          <a:lumMod val="85000"/>
        </a:schemeClr>
      </a:solidFill>
      <a:prstDash val="solid"/>
      <a:round/>
    </a:ln>
    <a:effectLst>
      <a:outerShdw blurRad="63500" dist="37357" dir="2700000" sx="0" sy="0" rotWithShape="0">
        <a:scrgbClr r="0" g="0" b="0"/>
      </a:outerShdw>
    </a:effectLst>
  </c:spPr>
  <c:txPr>
    <a:bodyPr/>
    <a:lstStyle/>
    <a:p>
      <a:pPr>
        <a:defRPr lang="zh-CN"/>
      </a:pPr>
    </a:p>
  </c:txPr>
  <c:externalData r:id="rId1">
    <c:autoUpdate val="0"/>
  </c:externalData>
</c:chartSpac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16.1">
    <a:dk1>
      <a:srgbClr val="000000"/>
    </a:dk1>
    <a:lt1>
      <a:srgbClr val="FFFFFF"/>
    </a:lt1>
    <a:dk2>
      <a:srgbClr val="0F1423"/>
    </a:dk2>
    <a:lt2>
      <a:srgbClr val="FFFFFF"/>
    </a:lt2>
    <a:accent1>
      <a:srgbClr val="7262FD"/>
    </a:accent1>
    <a:accent2>
      <a:srgbClr val="FF6637"/>
    </a:accent2>
    <a:accent3>
      <a:srgbClr val="FF860F"/>
    </a:accent3>
    <a:accent4>
      <a:srgbClr val="FFB607"/>
    </a:accent4>
    <a:accent5>
      <a:srgbClr val="45CBF1"/>
    </a:accent5>
    <a:accent6>
      <a:srgbClr val="41DDAC"/>
    </a:accent6>
    <a:hlink>
      <a:srgbClr val="0563C1"/>
    </a:hlink>
    <a:folHlink>
      <a:srgbClr val="954D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16.1">
    <a:dk1>
      <a:srgbClr val="000000"/>
    </a:dk1>
    <a:lt1>
      <a:srgbClr val="FFFFFF"/>
    </a:lt1>
    <a:dk2>
      <a:srgbClr val="0F1423"/>
    </a:dk2>
    <a:lt2>
      <a:srgbClr val="FFFFFF"/>
    </a:lt2>
    <a:accent1>
      <a:srgbClr val="7262FD"/>
    </a:accent1>
    <a:accent2>
      <a:srgbClr val="FF6637"/>
    </a:accent2>
    <a:accent3>
      <a:srgbClr val="FF860F"/>
    </a:accent3>
    <a:accent4>
      <a:srgbClr val="FFB607"/>
    </a:accent4>
    <a:accent5>
      <a:srgbClr val="45CBF1"/>
    </a:accent5>
    <a:accent6>
      <a:srgbClr val="41DDAC"/>
    </a:accent6>
    <a:hlink>
      <a:srgbClr val="0563C1"/>
    </a:hlink>
    <a:folHlink>
      <a:srgbClr val="954D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webExtensions/_rels/webExtension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package" Target="../embeddings/Workbook3.xlsx"/></Relationships>
</file>

<file path=word/webExtensions/webExtension1.xml><?xml version="1.0" encoding="utf-8"?>
<wpswe:webExtension xmlns:wpswe="http://www.wps.cn/officeDocument/2018/webExtension" xmlns:webet="https://web.wps.cn/et/2018/main" webet:type="Normal" type="0" webet:id="">
  <wpswe:extSource id="dschart" version="1.0"/>
  <wpswe:properties>
    <wpswe:property key="DiscardFirstCodeChange" value="0"/>
    <wpswe:property key="autoSnapshot" value="0"/>
    <wpswe:property key="dschart" value="{&quot;dschart_data&quot;:{&quot;blockId&quot;:&quot;161243067158731941&quot;,&quot;chart_type&quot;:&quot;饼图&quot;,&quot;classifty_type&quot;:[&quot;占比类&quot;],&quot;dataSrc&quot;:{&quot;data&quot;:[[[&quot;属性&quot;,&quot;值&quot;],[&quot;药品疗效&quot;,&quot;7%&quot;],[&quot;药品安全性&quot;,&quot;14%&quot;],[&quot;用药行为与习惯&quot;,&quot;37%&quot;],[&quot;用药便利性&quot;,&quot;14%&quot;],[&quot;药品经济性&quot;,&quot;7%&quot;],[&quot;药品可及性&quot;,&quot;7%&quot;],[&quot;用药指导信息评价&quot;,&quot;14%&quot;]]],&quot;dataType&quot;:&quot;obejct-table&quot;,&quot;download&quot;:false,&quot;srcType&quot;:&quot;local&quot;,&quot;url&quot;:&quot;&quot;},&quot;function_type&quot;:[&quot;饼图&quot;],&quot;gif&quot;:&quot;//web.docer.wpscdn.cn/docer/ds-page/images/444746070325460997.gif?imageView2/2/w/500/quality/90&quot;,&quot;index&quot;:1,&quot;isFree&quot;:&quot;0&quot;,&quot;label&quot;:&quot;&lt;e-piebasic-chart&gt;&quot;,&quot;projectId&quot;:&quot;444746070325460997&quot;,&quot;props&quot;:{&quot;animation&quot;:{&quot;duration&quot;:&quot;1.5&quot;,&quot;easeStyle&quot;:&quot;&quot;,&quot;endPause&quot;:&quot;1&quot;,&quot;moveOptions&quot;:[&quot;轮子&quot;,&quot;百叶窗&quot;,&quot;折扇&quot;,&quot;径向展开&quot;],&quot;moveStyle&quot;:&quot;轮子&quot;,&quot;startDelay&quot;:&quot;0&quot;,&quot;transition&quot;:true},&quot;axis&quot;:&quot;&quot;,&quot;backgroundColor&quot;:&quot;&quot;,&quot;colors&quot;:{&quot;colorControlers&quot;:[&quot;multiple&quot;,&quot;linear&quot;],&quot;list&quot;:[&quot;#5956F4ff&quot;,&quot;#53e09eff&quot;,&quot;#ffdc4cff&quot;,&quot;#ff9c46ff&quot;,0,1,2],&quot;type&quot;:&quot;multiple&quot;},&quot;display&quot;:{&quot;borderColor&quot;:&quot;#FFFFFF&quot;,&quot;borderWidth&quot;:&quot;1&quot;,&quot;cornerRadius&quot;:&quot;0&quot;,&quot;fillOpacity&quot;:&quot;1&quot;,&quot;gapPercentage&quot;:&quot;0&quot;,&quot;innerRadiusRatio&quot;:&quot;0&quot;},&quot;label&quot;:{&quot;contentChoice&quot;:[&quot;百分比&quot;],&quot;contentOption&quot;:[&quot;名称&quot;,&quot;百分比&quot;,&quot;数值&quot;],&quot;display&quot;:true,&quot;positionChoice&quot;:&quot;外部&quot;,&quot;positionOptions&quot;:[&quot;内部周向&quot;,&quot;内部水平&quot;,&quot;外部&quot;],&quot;suffix&quot;:&quot;&quot;,&quot;textLabel&quot;:{&quot;color&quot;:&quot;#545454&quot;,&quot;fontFamily&quot;:&quot;微软雅黑&quot;,&quot;fontSize&quot;:&quot;14&quot;}},&quot;legend&quot;:{&quot;color&quot;:[&quot;#545454&quot;],&quot;fontFamily&quot;:[&quot;阿里巴巴普惠体常规&quot;],&quot;fontSize&quot;:&quot;12&quot;,&quot;lineHeight&quot;:&quot;15&quot;,&quot;show&quot;:true,&quot;style&quot;:&quot;&quot;,&quot;styleOptions&quot;:[],&quot;xPosition&quot;:&quot;center&quot;,&quot;yPosition&quot;:&quot;bottom&quot;},&quot;logoDisplay&quot;:{&quot;bottomLineHeight&quot;:&quot;15&quot;,&quot;imgHeight&quot;:&quot;32&quot;,&quot;imgUrl&quot;:&quot;https://ss1.dydata.io/newchartLogo.png&quot;,&quot;show&quot;:true,&quot;topLineHeight&quot;:&quot;11&quot;},&quot;map&quot;:[[{&quot;allowType&quot;:[&quot;string&quot;],&quot;configurable&quot;:false,&quot;function&quot;:&quot;objCol&quot;,&quot;index&quot;:0,&quot;isLegend&quot;:true,&quot;name&quot;:&quot;名称&quot;},{&quot;allowType&quot;:[&quot;number&quot;],&quot;configurable&quot;:false,&quot;function&quot;:&quot;vCol&quot;,&quot;index&quot;:1,&quot;isLegend&quot;:false,&quot;name&quot;:&quot;值&quot;}]],&quot;numberFormat&quot;:{&quot;decimalPlaces&quot;:&quot;&quot;,&quot;style&quot;:&quot;1000.00&quot;},&quot;paddings&quot;:{&quot;bottom&quot;:&quot;33&quot;,&quot;chartBottom&quot;:&quot;5&quot;,&quot;left&quot;:&quot;24&quot;,&quot;right&quot;:&quot;24&quot;,&quot;top&quot;:&quot;24&quot;},&quot;publishDisplay&quot;:{&quot;color&quot;:&quot;#878787&quot;,&quot;fontFamily&quot;:&quot;黑体&quot;,&quot;fontSize&quot;:&quot;14&quot;,&quot;show&quot;:true,&quot;text&quot;:&quot;镝数出品&quot;},&quot;shadow&quot;:{&quot;display&quot;:false,&quot;shadowAngle&quot;:&quot;45&quot;,&quot;shadowBlur&quot;:&quot;5&quot;,&quot;shadowColor&quot;:&quot;#a8a8a7cc&quot;,&quot;shadowOpacity&quot;:&quot;100&quot;,&quot;shadowRadius&quot;:&quot;3&quot;},&quot;size&quot;:{&quot;height&quot;:451,&quot;ratio&quot;:&quot;&quot;,&quot;rotate&quot;:0,&quot;width&quot;:551},&quot;sourceDisplay&quot;:{&quot;color&quot;:&quot;#878787&quot;,&quot;fontFamily&quot;:&quot;黑体&quot;,&quot;fontSize&quot;:&quot;14&quot;,&quot;show&quot;:false,&quot;text&quot;:&quot;数据来源：示例数据&quot;,&quot;topLineHeight&quot;:&quot;15&quot;,&quot;xPosition&quot;:&quot;left&quot;,&quot;yPosition&quot;:&quot;bottom&quot;},&quot;titleDisplay&quot;:{&quot;color&quot;:&quot;#4c4c4c&quot;,&quot;fontFamily&quot;:&quot;阿里巴巴普惠体 常规&quot;,&quot;fontSize&quot;:&quot;32&quot;,&quot;lineHeight&quot;:&quot;10&quot;,&quot;show&quot;:false,&quot;text&quot;:&quot;本月收入与支出情况&quot;,&quot;totalHeight&quot;:&quot;39&quot;,&quot;xPosition&quot;:&quot;left&quot;,&quot;yPosition&quot;:&quot;top&quot;},&quot;tooltip&quot;:true,&quot;unitDisplay&quot;:{&quot;bottomLineHeight&quot;:&quot;15&quot;,&quot;color&quot;:&quot;#878787&quot;,&quot;fontFamily&quot;:&quot;阿里巴巴普惠体常规&quot;,&quot;fontSize&quot;:&quot;14&quot;,&quot;show&quot;:false,&quot;text&quot;:&quot;单位：元&quot;,&quot;xPosition&quot;:&quot;left&quot;,&quot;yPosition&quot;:&quot;top&quot;},&quot;watermarkDisplay&quot;:{&quot;imgHeight&quot;:&quot;80&quot;,&quot;imgUrl&quot;:&quot;https://ss1.dydata.io/newchartWatermark.png&quot;,&quot;imgWidth&quot;:&quot;80&quot;,&quot;show&quot;:false}},&quot;templateId&quot;:&quot;444746070325460997-8&quot;,&quot;templateSwitch&quot;:&quot;key-value&quot;,&quot;theme&quot;:{&quot;axis&quot;:{&quot;color&quot;:&quot;#a1a1a1&quot;},&quot;backgroundColor&quot;:&quot;#FFFFFF&quot;,&quot;colors&quot;:[&quot;#5AAEF3&quot;,&quot;#62D9AD&quot;,&quot;#5B6E96&quot;,&quot;#a8dffa&quot;,&quot;#ffdc4c&quot;,&quot;#FF974C&quot;,&quot;#E65A56&quot;,&quot;#6D61E4&quot;,&quot;#4A6FE2&quot;,&quot;#6D9AE7&quot;,&quot;#23C2DB&quot;,&quot;#D4EC59&quot;,&quot;#FFE88E&quot;,&quot;#FEB64D&quot;,&quot;#FB6E6C&quot;],&quot;fonts&quot;:{&quot;accessoryColor&quot;:&quot;#878787&quot;,&quot;color&quot;:&quot;#545454&quot;,&quot;fontFamily&quot;:&quot;黑体&quot;,&quot;fontSize&quot;:&quot;14&quot;},&quot;grid&quot;:{&quot;color&quot;:&quot;#ccc&quot;},&quot;name&quot;:&quot;默认主题&quot;,&quot;price&quot;:&quot;0.0&quot;,&quot;shapeColor&quot;:1,&quot;themeId&quot;:&quot;18&quot;,&quot;titleFont&quot;:{&quot;color&quot;:&quot;#4c4c4c&quot;,&quot;fontFamily&quot;:&quot;黑体&quot;,&quot;fontSize&quot;:&quot;36&quot;}},&quot;thumb&quot;:&quot;./images/444746070325460997-8.jpg&quot;,&quot;title&quot;:&quot;基础饼图&quot;,&quot;type&quot;:&quot;chart&quot;},&quot;dschart_id&quot;:&quot;444746070325460997-8&quot;,&quot;flag&quot;:&quot;1003&quot;,&quot;id&quot;:&quot;144&quot;}"/>
    <wpswe:property key="isUseCommonErrorPage" value="false"/>
    <wpswe:property key="loadingImage" value="res:/icons/DsWebShapeDefaultPage.svg"/>
  </wpswe:properties>
  <wpswe:watchingCache>
    <wpswe:linkPath>C:/Users/一一/AppData/Local/Temp/wps.DwikEb/Workbook3.xlsx</wpswe:linkPath>
  </wpswe:watchingCache>
  <wpswe:snapshot xmlns:r="http://schemas.openxmlformats.org/officeDocument/2006/relationships" r:embed="rId2"/>
  <wpswe:externalData xmlns:r="http://schemas.openxmlformats.org/officeDocument/2006/relationships" r:id="rId1"/>
  <wpswe:url>https://clientweb.docer.wps.cn/docer-ds/web-shape-1.0.0/?id=144&amp;dschart_id=5544734748594536330-7&amp;from=&amp;productEntry=insert&amp;sceneEntry=rec-144&amp;flag=1003</wpswe:url>
  <wpswe:constantSnapshot>false</wpswe:constantSnapshot>
</wps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商务风项目计划封面"/>
      <sectRole val="1"/>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4798</Words>
  <Characters>5435</Characters>
  <Lines>0</Lines>
  <Paragraphs>0</Paragraphs>
  <TotalTime>73</TotalTime>
  <ScaleCrop>false</ScaleCrop>
  <LinksUpToDate>false</LinksUpToDate>
  <CharactersWithSpaces>5503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2023-10-19T07:54:00Z</dcterms:created>
  <dc:creator>Zaralin</dc:creator>
  <cp:lastModifiedBy>koki</cp:lastModifiedBy>
  <dcterms:modified xsi:type="dcterms:W3CDTF">2025-12-31T04:29:29Z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EFE0C47C61DE41689FC0FAEC4DB2EB29_13</vt:lpwstr>
  </property>
  <property fmtid="{D5CDD505-2E9C-101B-9397-08002B2CF9AE}" pid="4" name="KSOTemplateDocerSaveRecord">
    <vt:lpwstr>eyJoZGlkIjoiNzMyNDZlYmFhMmNkMWYxOTZkNjcxNjlhNjFjMTBjYzYiLCJ1c2VySWQiOiIxMDg3ODE4ODA2In0=</vt:lpwstr>
  </property>
</Properties>
</file>