
<file path=[Content_Types].xml><?xml version="1.0" encoding="utf-8"?>
<Types xmlns="http://schemas.openxmlformats.org/package/2006/content-types">
  <Default Extension="xml" ContentType="application/xml"/>
  <Default Extension="xlsx" ContentType="application/vnd.openxmlformats-officedocument.spreadsheetml.sheet"/>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Extensions/webExtension1.xml" ContentType="application/vnd.wps-officedocument.webExtension+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10="http://schemas.microsoft.com/office/word/2012/wordml" xmlns:ns11="http://www.wps.cn/officeDocument/2018/webExtension" xmlns:ns12="http://schemas.openxmlformats.org/drawingml/2006/chart"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xmlns:ns8="http://schemas.openxmlformats.org/drawingml/2006/picture" xmlns:ns9="http://schemas.openxmlformats.org/officeDocument/2006/relationships" xmlns:w="http://schemas.openxmlformats.org/wordprocessingml/2006/main" ns1:Ignorable="w14 w15 wp14">
  <w:body>
    <w:p ns2:paraId="31962E5B">
      <w:pPr>
        <w:rPr>
          <w:rFonts w:hint="eastAsia" w:eastAsia="汉仪粗黑简"/>
          <w:lang w:eastAsia="zh-CN"/>
        </w:rPr>
      </w:pPr>
      <w:r>
        <w:rPr>
          <w:sz w:val="21"/>
        </w:rPr>
        <ns1:AlternateContent>
          <ns1:Choice Requires="wps">
            <w:drawing>
              <ns3:anchor distT="0" distB="0" distL="114300" distR="114300" simplePos="0" relativeHeight="251662336" behindDoc="0" locked="0" layoutInCell="1" allowOverlap="1">
                <ns3:simplePos x="0" y="0"/>
                <ns3:positionH relativeFrom="column">
                  <ns3:posOffset>-680085</ns3:posOffset>
                </ns3:positionH>
                <ns3:positionV relativeFrom="paragraph">
                  <ns3:posOffset>5374640</ns3:posOffset>
                </ns3:positionV>
                <ns3:extent cx="4483735" cy="658495"/>
                <ns3:effectExtent l="0" t="0" r="0" b="0"/>
                <ns3:wrapNone/>
                <ns3:docPr id="13" name="文本框 52"/>
                <ns3:cNvGraphicFramePr/>
                <ns4:graphic>
                  <ns4:graphicData uri="http://schemas.microsoft.com/office/word/2010/wordprocessingShape">
                    <ns5:wsp>
                      <ns5:cNvSpPr txBox="1"/>
                      <ns5:spPr>
                        <ns4:xfrm>
                          <ns4:off x="462915" y="6289040"/>
                          <ns4:ext cx="4483735" cy="658495"/>
                        </ns4:xfrm>
                        <ns4:prstGeom prst="rect">
                          <ns4:avLst/>
                        </ns4:prstGeom>
                        <ns4:noFill/>
                      </ns5:spPr>
                      <ns5:txbx>
                        <w:txbxContent>
                          <w:p ns2:paraId="1BD710F2">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rPr>
                              <w:t xml:space="preserve">项目名称：{{field.service.unit}}</w:t>
                            </w:r>
                            <w:r>
                              <w:rPr>
                                <w:rFonts w:hint="eastAsia" w:ascii="汉仪中宋简" w:hAnsi="汉仪中宋简" w:eastAsia="汉仪中宋简" w:cs="汉仪中宋简"/>
                                <w:color w:val="199F9B"/>
                                <w:kern w:val="24"/>
                                <w:sz w:val="32"/>
                                <w:szCs w:val="32"/>
                                <w:lang w:eastAsia="zh-CN"/>
                              </w:rPr>
                              <w:t/>
                            </w:r>
                            <w:r>
                              <w:rPr>
                                <w:rFonts w:hint="eastAsia" w:ascii="汉仪中宋简" w:hAnsi="汉仪中宋简" w:eastAsia="汉仪中宋简" w:cs="汉仪中宋简"/>
                                <w:color w:val="199F9B"/>
                                <w:kern w:val="24"/>
                                <w:sz w:val="32"/>
                                <w:szCs w:val="32"/>
                                <w:lang w:val="en-US" w:eastAsia="zh-CN"/>
                              </w:rPr>
                              <w:t/>
                            </w:r>
                          </w:p>
                          <w:p ns2:paraId="4A09E810">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服务品种：{{field.meta.product}}</w:t>
                            </w:r>
                          </w:p>
                          <w:p ns2:paraId="3436BB5D">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default"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调研区域：{{field.meta.region}}</w:t>
                            </w:r>
                            <w:r>
                              <w:rPr>
                                <w:rFonts w:hint="eastAsia" w:ascii="汉仪中宋简" w:hAnsi="汉仪中宋简" w:eastAsia="汉仪中宋简" w:cs="汉仪中宋简"/>
                                <w:color w:val="199F9B"/>
                                <w:kern w:val="24"/>
                                <w:sz w:val="32"/>
                                <w:szCs w:val="32"/>
                                <w:highlight w:val="none"/>
                                <w:lang w:val="en-US" w:eastAsia="zh-CN"/>
                              </w:rPr>
                              <w:t/>
                            </w:r>
                          </w:p>
                          <w:p ns2:paraId="4809D206">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调研时间：{{field.meta.survey_period_display}}</w:t>
                            </w:r>
                          </w:p>
                          <w:p ns2:paraId="0FCA3A64">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粗黑简" w:hAnsi="Times New Roman" w:eastAsia="汉仪粗黑简"/>
                                <w:color w:val="199F9B"/>
                                <w:kern w:val="24"/>
                                <w:sz w:val="32"/>
                                <w:szCs w:val="32"/>
                                <w:lang w:val="en-US" w:eastAsia="zh-CN"/>
                              </w:rPr>
                            </w:pPr>
                          </w:p>
                        </w:txbxContent>
                      </ns5:txbx>
                      <ns5:bodyPr wrap="square" rtlCol="0">
                        <ns4:spAutoFit/>
                      </ns5:bodyPr>
                    </ns5:wsp>
                  </ns4:graphicData>
                </ns4:graphic>
              </ns3:anchor>
            </w:drawing>
          </ns1:Choice>
          <ns1:Fallback>
            <w:pict>
              <ns6:shape id="文本框 52" ns7:spid="_x0000_s1026" ns7:spt="202" type="#_x0000_t202" style="position:absolute;left:0pt;margin-left:-53.55pt;margin-top:423.2pt;height:51.85pt;width:353.05pt;z-index:251662336;mso-width-relative:page;mso-height-relative:page;" filled="f" stroked="f" coordsize="21600,21600" ns7:gfxdata="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snVf42gAAAAwBAAAPAAAAAAAAAAEAIAAAACIAAABkcnMvZG93&#10;bnJldi54bWxQSwECFAAUAAAACACHTuJA9DbBgMUBAABqAwAADgAAAAAAAAABACAAAAApAQAAZHJz&#10;L2Uyb0RvYy54bWxQSwUGAAAAAAYABgBZAQAAYAUAAAAA&#10;">
                <ns6:fill on="f" focussize="0,0"/>
                <ns6:stroke on="f"/>
                <ns6:imagedata ns7:title=""/>
                <ns7:lock ns6:ext="edit" aspectratio="f"/>
                <ns6:textbox style="mso-fit-shape-to-text:t;">
                  <w:txbxContent>
                    <w:p ns2:paraId="1BD710F2">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rPr>
                        <w:t xml:space="preserve">项目名称：{{field.service.unit}}</w:t>
                      </w:r>
                      <w:r>
                        <w:rPr>
                          <w:rFonts w:hint="eastAsia" w:ascii="汉仪中宋简" w:hAnsi="汉仪中宋简" w:eastAsia="汉仪中宋简" w:cs="汉仪中宋简"/>
                          <w:color w:val="199F9B"/>
                          <w:kern w:val="24"/>
                          <w:sz w:val="32"/>
                          <w:szCs w:val="32"/>
                          <w:lang w:eastAsia="zh-CN"/>
                        </w:rPr>
                        <w:t/>
                      </w:r>
                      <w:r>
                        <w:rPr>
                          <w:rFonts w:hint="eastAsia" w:ascii="汉仪中宋简" w:hAnsi="汉仪中宋简" w:eastAsia="汉仪中宋简" w:cs="汉仪中宋简"/>
                          <w:color w:val="199F9B"/>
                          <w:kern w:val="24"/>
                          <w:sz w:val="32"/>
                          <w:szCs w:val="32"/>
                          <w:lang w:val="en-US" w:eastAsia="zh-CN"/>
                        </w:rPr>
                        <w:t/>
                      </w:r>
                    </w:p>
                    <w:p ns2:paraId="4A09E810">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服务品种：{{field.meta.product}}</w:t>
                      </w:r>
                    </w:p>
                    <w:p ns2:paraId="3436BB5D">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default"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调研区域：{{field.meta.region}}</w:t>
                      </w:r>
                      <w:r>
                        <w:rPr>
                          <w:rFonts w:hint="eastAsia" w:ascii="汉仪中宋简" w:hAnsi="汉仪中宋简" w:eastAsia="汉仪中宋简" w:cs="汉仪中宋简"/>
                          <w:color w:val="199F9B"/>
                          <w:kern w:val="24"/>
                          <w:sz w:val="32"/>
                          <w:szCs w:val="32"/>
                          <w:highlight w:val="none"/>
                          <w:lang w:val="en-US" w:eastAsia="zh-CN"/>
                        </w:rPr>
                        <w:t/>
                      </w:r>
                    </w:p>
                    <w:p ns2:paraId="4809D206">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调研时间：{{field.meta.survey_period_display}}</w:t>
                      </w:r>
                    </w:p>
                    <w:p ns2:paraId="0FCA3A64">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粗黑简" w:hAnsi="Times New Roman" w:eastAsia="汉仪粗黑简"/>
                          <w:color w:val="199F9B"/>
                          <w:kern w:val="24"/>
                          <w:sz w:val="32"/>
                          <w:szCs w:val="32"/>
                          <w:lang w:val="en-US" w:eastAsia="zh-CN"/>
                        </w:rPr>
                      </w:pPr>
                    </w:p>
                  </w:txbxContent>
                </ns6:textbox>
              </ns6:shape>
            </w:pict>
          </ns1:Fallback>
        </ns1:AlternateContent>
      </w:r>
      <w:r>
        <w:rPr>
          <w:sz w:val="21"/>
        </w:rPr>
        <ns1:AlternateContent>
          <ns1:Choice Requires="wps">
            <w:drawing>
              <ns3:anchor distT="0" distB="0" distL="114300" distR="114300" simplePos="0" relativeHeight="251659264" behindDoc="0" locked="0" layoutInCell="1" allowOverlap="1">
                <ns3:simplePos x="0" y="0"/>
                <ns3:positionH relativeFrom="column">
                  <ns3:posOffset>-734695</ns3:posOffset>
                </ns3:positionH>
                <ns3:positionV relativeFrom="page">
                  <ns3:posOffset>3185795</ns3:posOffset>
                </ns3:positionV>
                <ns3:extent cx="5386705" cy="727075"/>
                <ns3:effectExtent l="0" t="0" r="0" b="0"/>
                <ns3:wrapNone/>
                <ns3:docPr id="1" name="文本框 1"/>
                <ns3:cNvGraphicFramePr/>
                <ns4:graphic>
                  <ns4:graphicData uri="http://schemas.microsoft.com/office/word/2010/wordprocessingShape">
                    <ns5:wsp>
                      <ns5:cNvSpPr txBox="1"/>
                      <ns5:spPr>
                        <ns4:xfrm>
                          <ns4:off x="0" y="0"/>
                          <ns4:ext cx="5386705" cy="727075"/>
                        </ns4:xfrm>
                        <ns4:prstGeom prst="rect">
                          <ns4:avLst/>
                        </ns4:prstGeom>
                        <ns4:noFill/>
                        <ns4:ln w="6350">
                          <ns4:noFill/>
                        </ns4:ln>
                      </ns5:spPr>
                      <ns5:style>
                        <ns4:lnRef idx="0">
                          <ns4:schemeClr val="accent1"/>
                        </ns4:lnRef>
                        <ns4:fillRef idx="0">
                          <ns4:schemeClr val="accent1"/>
                        </ns4:fillRef>
                        <ns4:effectRef idx="0">
                          <ns4:schemeClr val="accent1"/>
                        </ns4:effectRef>
                        <ns4:fontRef idx="minor">
                          <ns4:schemeClr val="dk1"/>
                        </ns4:fontRef>
                      </ns5:style>
                      <ns5:txbx>
                        <w:txbxContent>
                          <w:p ns2:paraId="532C9B5F">
                            <w:pPr>
                              <w:rPr>
                                <w:rFonts w:hint="eastAsia" w:ascii="汉仪元隆黑-105简" w:hAnsi="汉仪元隆黑-105简" w:eastAsia="汉仪元隆黑-105简" w:cs="汉仪元隆黑-105简"/>
                                <w:b w:val="0"/>
                                <w:bCs w:val="0"/>
                                <w:color w:val="1E386B"/>
                                <w:sz w:val="56"/>
                                <w:szCs w:val="56"/>
                                <w:lang w:val="en-US" w:eastAsia="zh-CN"/>
                              </w:rPr>
                            </w:pPr>
                            <w:r>
                              <w:rPr>
                                <w:rFonts w:hint="eastAsia" w:ascii="汉仪元隆黑-105简" w:hAnsi="汉仪元隆黑-105简" w:eastAsia="汉仪元隆黑-105简" w:cs="汉仪元隆黑-105简"/>
                                <w:b w:val="0"/>
                                <w:bCs w:val="0"/>
                                <w:color w:val="1E386B"/>
                                <w:sz w:val="56"/>
                                <w:szCs w:val="56"/>
                                <w:lang w:val="en-US" w:eastAsia="zh-CN"/>
                              </w:rPr>
                              <w:t>用药体验与疗效反馈</w:t>
                            </w:r>
                          </w:p>
                        </w:txbxContent>
                      </ns5:txbx>
                      <ns5:bodyPr rot="0" spcFirstLastPara="0" vertOverflow="overflow" horzOverflow="overflow" vert="horz" wrap="square" lIns="91440" tIns="45720" rIns="91440" bIns="45720" numCol="1" spcCol="0" rtlCol="0" fromWordArt="0" anchor="t" anchorCtr="0" forceAA="0" compatLnSpc="1">
                        <ns4:noAutofit/>
                      </ns5:bodyPr>
                    </ns5:wsp>
                  </ns4:graphicData>
                </ns4:graphic>
              </ns3:anchor>
            </w:drawing>
          </ns1:Choice>
          <ns1:Fallback>
            <w:pict>
              <ns6:shape id="_x0000_s1026" ns7:spid="_x0000_s1026" ns7:spt="202" type="#_x0000_t202" style="position:absolute;left:0pt;margin-left:-57.85pt;margin-top:250.85pt;height:57.25pt;width:424.15pt;mso-position-vertical-relative:page;z-index:251659264;mso-width-relative:page;mso-height-relative:page;" filled="f" stroked="f" coordsize="21600,21600" ns7:gfxdata="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yGTag3QAAAAwBAAAPAAAAAAAAAAEAIAAAACIA&#10;AABkcnMvZG93bnJldi54bWxQSwECFAAUAAAACACHTuJAODINAT0CAABmBAAADgAAAAAAAAABACAA&#10;AAAsAQAAZHJzL2Uyb0RvYy54bWxQSwUGAAAAAAYABgBZAQAA2wUAAAAA&#10;">
                <ns6:fill on="f" focussize="0,0"/>
                <ns6:stroke on="f" weight="0.5pt"/>
                <ns6:imagedata ns7:title=""/>
                <ns7:lock ns6:ext="edit" aspectratio="f"/>
                <ns6:textbox>
                  <w:txbxContent>
                    <w:p ns2:paraId="532C9B5F">
                      <w:pPr>
                        <w:rPr>
                          <w:rFonts w:hint="eastAsia" w:ascii="汉仪元隆黑-105简" w:hAnsi="汉仪元隆黑-105简" w:eastAsia="汉仪元隆黑-105简" w:cs="汉仪元隆黑-105简"/>
                          <w:b w:val="0"/>
                          <w:bCs w:val="0"/>
                          <w:color w:val="1E386B"/>
                          <w:sz w:val="56"/>
                          <w:szCs w:val="56"/>
                          <w:lang w:val="en-US" w:eastAsia="zh-CN"/>
                        </w:rPr>
                      </w:pPr>
                      <w:r>
                        <w:rPr>
                          <w:rFonts w:hint="eastAsia" w:ascii="汉仪元隆黑-105简" w:hAnsi="汉仪元隆黑-105简" w:eastAsia="汉仪元隆黑-105简" w:cs="汉仪元隆黑-105简"/>
                          <w:b w:val="0"/>
                          <w:bCs w:val="0"/>
                          <w:color w:val="1E386B"/>
                          <w:sz w:val="56"/>
                          <w:szCs w:val="56"/>
                          <w:lang w:val="en-US" w:eastAsia="zh-CN"/>
                        </w:rPr>
                        <w:t>用药体验与疗效反馈</w:t>
                      </w:r>
                    </w:p>
                  </w:txbxContent>
                </ns6:textbox>
              </ns6:shape>
            </w:pict>
          </ns1:Fallback>
        </ns1:AlternateContent>
      </w:r>
      <w:r>
        <ns1:AlternateContent>
          <ns1:Choice Requires="wps">
            <w:drawing>
              <ns3:anchor distT="0" distB="0" distL="114300" distR="114300" simplePos="0" relativeHeight="251661312" behindDoc="0" locked="0" layoutInCell="1" allowOverlap="1">
                <ns3:simplePos x="0" y="0"/>
                <ns3:positionH relativeFrom="column">
                  <ns3:posOffset>-720090</ns3:posOffset>
                </ns3:positionH>
                <ns3:positionV relativeFrom="paragraph">
                  <ns3:posOffset>2778125</ns3:posOffset>
                </ns3:positionV>
                <ns3:extent cx="5963920" cy="1753870"/>
                <ns3:effectExtent l="0" t="0" r="0" b="0"/>
                <ns3:wrapNone/>
                <ns3:docPr id="9" name="文本框 44"/>
                <ns3:cNvGraphicFramePr/>
                <ns4:graphic>
                  <ns4:graphicData uri="http://schemas.microsoft.com/office/word/2010/wordprocessingShape">
                    <ns5:wsp>
                      <ns5:cNvSpPr txBox="1"/>
                      <ns5:spPr>
                        <ns4:xfrm>
                          <ns4:off x="422910" y="3194685"/>
                          <ns4:ext cx="5963920" cy="1753870"/>
                        </ns4:xfrm>
                        <ns4:prstGeom prst="rect">
                          <ns4:avLst/>
                        </ns4:prstGeom>
                        <ns4:noFill/>
                      </ns5:spPr>
                      <ns5:txbx>
                        <w:txbxContent>
                          <w:p ns2:paraId="0FB99BE3">
                            <w:pPr>
                              <w:rPr>
                                <w:rFonts w:hint="eastAsia" w:ascii="汉仪元隆黑-105简" w:hAnsi="汉仪元隆黑-105简" w:eastAsia="汉仪元隆黑-105简" w:cs="汉仪元隆黑-105简"/>
                                <w:b w:val="0"/>
                                <w:bCs w:val="0"/>
                                <w:color w:val="1E386B"/>
                                <w:sz w:val="112"/>
                                <w:szCs w:val="112"/>
                                <w:lang w:val="en-US" w:eastAsia="zh-CN"/>
                              </w:rPr>
                            </w:pPr>
                            <w:r>
                              <w:rPr>
                                <w:rFonts w:hint="eastAsia" w:ascii="汉仪元隆黑-105简" w:hAnsi="汉仪元隆黑-105简" w:eastAsia="汉仪元隆黑-105简" w:cs="汉仪元隆黑-105简"/>
                                <w:b w:val="0"/>
                                <w:bCs w:val="0"/>
                                <w:color w:val="1E386B"/>
                                <w:sz w:val="112"/>
                                <w:szCs w:val="112"/>
                                <w:lang w:val="en-US" w:eastAsia="zh-CN"/>
                              </w:rPr>
                              <w:t>问卷调查分析报告</w:t>
                            </w:r>
                          </w:p>
                        </w:txbxContent>
                      </ns5:txbx>
                      <ns5:bodyPr wrap="square" rtlCol="0">
                        <ns4:spAutoFit/>
                      </ns5:bodyPr>
                    </ns5:wsp>
                  </ns4:graphicData>
                </ns4:graphic>
              </ns3:anchor>
            </w:drawing>
          </ns1:Choice>
          <ns1:Fallback>
            <w:pict>
              <ns6:shape id="文本框 44" ns7:spid="_x0000_s1026" ns7:spt="202" type="#_x0000_t202" style="position:absolute;left:0pt;margin-left:-56.7pt;margin-top:218.75pt;height:138.1pt;width:469.6pt;z-index:251661312;mso-width-relative:page;mso-height-relative:page;" filled="f" stroked="f" coordsize="21600,21600" ns7:gfxdata="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RfIaVNoAAAAMAQAADwAAAAAAAAABACAAAAAiAAAAZHJz&#10;L2Rvd25yZXYueG1sUEsBAhQAFAAAAAgAh07iQDlA7fnJAQAAagMAAA4AAAAAAAAAAQAgAAAAKQEA&#10;AGRycy9lMm9Eb2MueG1sUEsFBgAAAAAGAAYAWQEAAGQFAAAAAA==&#10;">
                <ns6:fill on="f" focussize="0,0"/>
                <ns6:stroke on="f"/>
                <ns6:imagedata ns7:title=""/>
                <ns7:lock ns6:ext="edit" aspectratio="f"/>
                <ns6:textbox style="mso-fit-shape-to-text:t;">
                  <w:txbxContent>
                    <w:p ns2:paraId="0FB99BE3">
                      <w:pPr>
                        <w:rPr>
                          <w:rFonts w:hint="eastAsia" w:ascii="汉仪元隆黑-105简" w:hAnsi="汉仪元隆黑-105简" w:eastAsia="汉仪元隆黑-105简" w:cs="汉仪元隆黑-105简"/>
                          <w:b w:val="0"/>
                          <w:bCs w:val="0"/>
                          <w:color w:val="1E386B"/>
                          <w:sz w:val="112"/>
                          <w:szCs w:val="112"/>
                          <w:lang w:val="en-US" w:eastAsia="zh-CN"/>
                        </w:rPr>
                      </w:pPr>
                      <w:r>
                        <w:rPr>
                          <w:rFonts w:hint="eastAsia" w:ascii="汉仪元隆黑-105简" w:hAnsi="汉仪元隆黑-105简" w:eastAsia="汉仪元隆黑-105简" w:cs="汉仪元隆黑-105简"/>
                          <w:b w:val="0"/>
                          <w:bCs w:val="0"/>
                          <w:color w:val="1E386B"/>
                          <w:sz w:val="112"/>
                          <w:szCs w:val="112"/>
                          <w:lang w:val="en-US" w:eastAsia="zh-CN"/>
                        </w:rPr>
                        <w:t>问卷调查分析报告</w:t>
                      </w:r>
                    </w:p>
                  </w:txbxContent>
                </ns6:textbox>
              </ns6:shape>
            </w:pict>
          </ns1:Fallback>
        </ns1:AlternateContent>
      </w:r>
      <w:r>
        <w:rPr>
          <w:rFonts w:hint="eastAsia" w:eastAsia="汉仪粗黑简"/>
          <w:lang w:eastAsia="zh-CN"/>
        </w:rPr>
        <w:drawing>
          <ns3:anchor distT="0" distB="0" distL="114300" distR="114300" simplePos="0" relativeHeight="251660288" behindDoc="1" locked="0" layoutInCell="1" allowOverlap="1">
            <ns3:simplePos x="0" y="0"/>
            <ns3:positionH relativeFrom="column">
              <ns3:posOffset>-1176020</ns3:posOffset>
            </ns3:positionH>
            <ns3:positionV relativeFrom="paragraph">
              <ns3:posOffset>-963295</ns3:posOffset>
            </ns3:positionV>
            <ns3:extent cx="7603490" cy="10751820"/>
            <ns3:effectExtent l="0" t="0" r="1270" b="7620"/>
            <ns3:wrapNone/>
            <ns3:docPr id="20" name="图片 20" descr="竖版待修改竖版 7.16"/>
            <ns3:cNvGraphicFramePr>
              <ns4:graphicFrameLocks noChangeAspect="1"/>
            </ns3:cNvGraphicFramePr>
            <ns4:graphic>
              <ns4:graphicData uri="http://schemas.openxmlformats.org/drawingml/2006/picture">
                <ns8:pic>
                  <ns8:nvPicPr>
                    <ns8:cNvPr id="20" name="图片 20" descr="竖版待修改竖版 7.16"/>
                    <ns8:cNvPicPr>
                      <ns4:picLocks noChangeAspect="1"/>
                    </ns8:cNvPicPr>
                  </ns8:nvPicPr>
                  <ns8:blipFill>
                    <ns4:blip ns9:embed="rId8"/>
                    <ns4:stretch>
                      <ns4:fillRect/>
                    </ns4:stretch>
                  </ns8:blipFill>
                  <ns8:spPr>
                    <ns4:xfrm>
                      <ns4:off x="0" y="0"/>
                      <ns4:ext cx="7603490" cy="10751820"/>
                    </ns4:xfrm>
                    <ns4:prstGeom prst="rect">
                      <ns4:avLst/>
                    </ns4:prstGeom>
                  </ns8:spPr>
                </ns8:pic>
              </ns4:graphicData>
            </ns4:graphic>
          </ns3:anchor>
        </w:drawing>
      </w:r>
    </w:p>
    <w:p ns2:paraId="4F3FF417">
      <w:pPr>
        <w:rPr>
          <w:rFonts w:hint="eastAsia"/>
          <w:sz w:val="21"/>
          <w:lang w:eastAsia="zh-CN"/>
        </w:rPr>
        <w:sectPr>
          <w:headerReference ns9:id="rId3" w:type="default"/>
          <w:pgSz w:w="11906" w:h="16838"/>
          <w:pgMar w:top="1440" w:right="1800" w:bottom="1440" w:left="1800" w:header="851" w:footer="992" w:gutter="0"/>
          <w:pgBorders>
            <w:top w:val="none" w:sz="0" w:space="0"/>
            <w:left w:val="none" w:sz="0" w:space="0"/>
            <w:bottom w:val="none" w:sz="0" w:space="0"/>
            <w:right w:val="none" w:sz="0" w:space="0"/>
          </w:pgBorders>
          <w:cols w:space="425" w:num="1"/>
          <w:titlePg/>
          <w:docGrid w:type="lines" w:linePitch="312" w:charSpace="0"/>
        </w:sectPr>
      </w:pPr>
    </w:p>
    <w:p ns2:paraId="3D0D36C5">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jc w:val="center"/>
        <w:textAlignment w:val="auto"/>
        <w:rPr>
          <w:rFonts w:hint="eastAsia" w:ascii="汉仪中宋简" w:hAnsi="汉仪中宋简" w:eastAsia="汉仪中宋简" w:cs="汉仪中宋简"/>
          <w:b/>
          <w:lang w:val="en-US" w:eastAsia="zh-CN"/>
        </w:rPr>
      </w:pPr>
      <w:bookmarkStart w:id="0" w:name="_Toc376"/>
      <w:bookmarkStart w:id="1" w:name="_Toc13682"/>
      <w:bookmarkStart w:id="2" w:name="_Toc27864"/>
      <w:bookmarkStart w:id="3" w:name="_Toc7033"/>
      <w:bookmarkStart w:id="4" w:name="_Toc28049"/>
      <w:bookmarkStart w:id="5" w:name="_Toc29451"/>
      <w:bookmarkStart w:id="6" w:name="_Toc27862"/>
      <w:r>
        <w:rPr>
          <w:rFonts w:hint="eastAsia" w:ascii="汉仪中宋简" w:hAnsi="汉仪中宋简" w:eastAsia="汉仪中宋简" w:cs="汉仪中宋简"/>
          <w:b/>
          <w:bCs/>
          <w:sz w:val="44"/>
          <w:szCs w:val="44"/>
          <w:lang w:val="en-US" w:eastAsia="zh-CN"/>
        </w:rPr>
        <w:t>问卷调研服务结算</w:t>
      </w:r>
      <w:bookmarkEnd w:id="0"/>
      <w:bookmarkEnd w:id="1"/>
      <w:bookmarkEnd w:id="2"/>
    </w:p>
    <w:tbl>
      <w:tblPr>
        <w:tblStyle w:val="10"/>
        <w:tblpPr w:leftFromText="180" w:rightFromText="180" w:vertAnchor="text" w:horzAnchor="page" w:tblpX="1730" w:tblpY="163"/>
        <w:tblOverlap w:val="never"/>
        <w:tblW w:w="892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5"/>
        <w:gridCol w:w="3370"/>
        <w:gridCol w:w="1710"/>
        <w:gridCol w:w="962"/>
        <w:gridCol w:w="1190"/>
      </w:tblGrid>
      <w:tr ns2:paraId="4440D6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96" w:hRule="atLeast"/>
          <w:tblHeader/>
          <w:tblCellSpacing w:w="15" w:type="dxa"/>
        </w:trPr>
        <w:tc>
          <w:tcPr>
            <w:tcW w:w="1650" w:type="dxa"/>
            <w:tcBorders>
              <w:top w:val="single" w:color="4874CB" w:themeColor="accent1" w:sz="6" w:space="0"/>
              <w:left w:val="single" w:color="4874CB" w:themeColor="accent1" w:sz="6" w:space="0"/>
              <w:bottom w:val="single" w:color="4874CB" w:themeColor="accent1" w:sz="6" w:space="0"/>
              <w:right w:val="nil"/>
            </w:tcBorders>
            <w:shd w:val="clear" w:color="auto" w:fill="4874CB" w:themeFill="accent1"/>
            <w:vAlign w:val="center"/>
          </w:tcPr>
          <w:p ns2:paraId="2CB7D438">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项目</w:t>
            </w:r>
          </w:p>
        </w:tc>
        <w:tc>
          <w:tcPr>
            <w:tcW w:w="3340" w:type="dxa"/>
            <w:tcBorders>
              <w:top w:val="single" w:color="4874CB" w:themeColor="accent1" w:sz="6" w:space="0"/>
              <w:left w:val="nil"/>
              <w:bottom w:val="single" w:color="4874CB" w:themeColor="accent1" w:sz="6" w:space="0"/>
              <w:right w:val="nil"/>
            </w:tcBorders>
            <w:shd w:val="clear" w:color="auto" w:fill="4874CB" w:themeFill="accent1"/>
            <w:vAlign w:val="center"/>
          </w:tcPr>
          <w:p ns2:paraId="18060681">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服务内容</w:t>
            </w:r>
          </w:p>
        </w:tc>
        <w:tc>
          <w:tcPr>
            <w:tcW w:w="1680" w:type="dxa"/>
            <w:tcBorders>
              <w:top w:val="single" w:color="4874CB" w:themeColor="accent1" w:sz="6" w:space="0"/>
              <w:left w:val="nil"/>
              <w:bottom w:val="single" w:color="4874CB" w:themeColor="accent1" w:sz="6" w:space="0"/>
              <w:right w:val="nil"/>
            </w:tcBorders>
            <w:shd w:val="clear" w:color="auto" w:fill="4874CB" w:themeFill="accent1"/>
            <w:vAlign w:val="center"/>
          </w:tcPr>
          <w:p ns2:paraId="25C7FC50">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单价</w:t>
            </w:r>
          </w:p>
        </w:tc>
        <w:tc>
          <w:tcPr>
            <w:tcW w:w="932" w:type="dxa"/>
            <w:tcBorders>
              <w:top w:val="single" w:color="4874CB" w:themeColor="accent1" w:sz="6" w:space="0"/>
              <w:left w:val="nil"/>
              <w:bottom w:val="single" w:color="4874CB" w:themeColor="accent1" w:sz="6" w:space="0"/>
              <w:right w:val="nil"/>
            </w:tcBorders>
            <w:shd w:val="clear" w:color="auto" w:fill="4874CB" w:themeFill="accent1"/>
            <w:vAlign w:val="center"/>
          </w:tcPr>
          <w:p ns2:paraId="044311B8">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数量</w:t>
            </w:r>
          </w:p>
        </w:tc>
        <w:tc>
          <w:tcPr>
            <w:tcW w:w="1145" w:type="dxa"/>
            <w:tcBorders>
              <w:top w:val="single" w:color="4874CB" w:themeColor="accent1" w:sz="6" w:space="0"/>
              <w:left w:val="nil"/>
              <w:bottom w:val="single" w:color="4874CB" w:themeColor="accent1" w:sz="6" w:space="0"/>
              <w:right w:val="single" w:color="4874CB" w:themeColor="accent1" w:sz="6" w:space="0"/>
            </w:tcBorders>
            <w:shd w:val="clear" w:color="auto" w:fill="4874CB" w:themeFill="accent1"/>
            <w:vAlign w:val="center"/>
          </w:tcPr>
          <w:p ns2:paraId="3E8F70B6">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费用（元）</w:t>
            </w:r>
          </w:p>
        </w:tc>
      </w:tr>
      <w:tr ns2:paraId="4618EF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4874CB" w:themeColor="accent1" w:sz="6" w:space="0"/>
              <w:left w:val="single" w:color="4874CB" w:themeColor="accent1" w:sz="6" w:space="0"/>
              <w:bottom w:val="single" w:color="B5C7EA" w:themeColor="accent1" w:themeTint="66" w:sz="6" w:space="0"/>
              <w:right w:val="nil"/>
            </w:tcBorders>
            <w:shd w:val="clear" w:color="auto" w:fill="auto"/>
            <w:vAlign w:val="center"/>
          </w:tcPr>
          <w:p ns2:paraId="48D83400">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问卷样本</w:t>
            </w:r>
          </w:p>
        </w:tc>
        <w:tc>
          <w:tcPr>
            <w:tcW w:w="3340" w:type="dxa"/>
            <w:tcBorders>
              <w:top w:val="single" w:color="4874CB" w:themeColor="accent1" w:sz="6" w:space="0"/>
              <w:left w:val="nil"/>
              <w:bottom w:val="single" w:color="B5C7EA" w:themeColor="accent1" w:themeTint="66" w:sz="6" w:space="0"/>
              <w:right w:val="nil"/>
            </w:tcBorders>
            <w:shd w:val="clear" w:color="auto" w:fill="auto"/>
            <w:vAlign w:val="center"/>
          </w:tcPr>
          <w:p ns2:paraId="6CD3BC35">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抽取样本、数据清洗</w:t>
            </w:r>
          </w:p>
        </w:tc>
        <w:tc>
          <w:tcPr>
            <w:tcW w:w="1680" w:type="dxa"/>
            <w:tcBorders>
              <w:top w:val="single" w:color="4874CB" w:themeColor="accent1" w:sz="6" w:space="0"/>
              <w:left w:val="nil"/>
              <w:bottom w:val="single" w:color="B5C7EA" w:themeColor="accent1" w:themeTint="66" w:sz="6" w:space="0"/>
              <w:right w:val="nil"/>
            </w:tcBorders>
            <w:shd w:val="clear" w:color="auto" w:fill="auto"/>
            <w:vAlign w:val="center"/>
          </w:tcPr>
          <w:p ns2:paraId="6FCA8EC7">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100元/例</w:t>
            </w:r>
          </w:p>
        </w:tc>
        <w:tc>
          <w:tcPr>
            <w:tcW w:w="932" w:type="dxa"/>
            <w:tcBorders>
              <w:top w:val="single" w:color="4874CB" w:themeColor="accent1" w:sz="6" w:space="0"/>
              <w:left w:val="nil"/>
              <w:bottom w:val="single" w:color="B5C7EA" w:themeColor="accent1" w:themeTint="66" w:sz="6" w:space="0"/>
              <w:right w:val="nil"/>
            </w:tcBorders>
            <w:shd w:val="clear" w:color="auto" w:fill="auto"/>
            <w:vAlign w:val="center"/>
          </w:tcPr>
          <w:p ns2:paraId="6AB0B7BA">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1642例</w:t>
            </w:r>
          </w:p>
        </w:tc>
        <w:tc>
          <w:tcPr>
            <w:tcW w:w="1145" w:type="dxa"/>
            <w:tcBorders>
              <w:top w:val="single" w:color="4874CB" w:themeColor="accent1" w:sz="6" w:space="0"/>
              <w:left w:val="nil"/>
              <w:bottom w:val="single" w:color="B5C7EA" w:themeColor="accent1" w:themeTint="66" w:sz="6" w:space="0"/>
              <w:right w:val="single" w:color="4874CB" w:themeColor="accent1" w:sz="6" w:space="0"/>
            </w:tcBorders>
            <w:shd w:val="clear" w:color="auto" w:fill="auto"/>
            <w:vAlign w:val="center"/>
          </w:tcPr>
          <w:p ns2:paraId="714AD419">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164,200</w:t>
            </w:r>
          </w:p>
        </w:tc>
      </w:tr>
      <w:tr ns2:paraId="18A00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B5C7EA" w:themeColor="accent1" w:themeTint="66" w:sz="6" w:space="0"/>
              <w:left w:val="single" w:color="4874CB" w:themeColor="accent1" w:sz="6" w:space="0"/>
              <w:bottom w:val="single" w:color="B5C7EA" w:themeColor="accent1" w:themeTint="66" w:sz="6" w:space="0"/>
              <w:right w:val="nil"/>
            </w:tcBorders>
            <w:shd w:val="clear" w:color="auto" w:fill="auto"/>
            <w:vAlign w:val="center"/>
          </w:tcPr>
          <w:p ns2:paraId="4E803433">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问卷分析报告</w:t>
            </w:r>
          </w:p>
        </w:tc>
        <w:tc>
          <w:tcPr>
            <w:tcW w:w="3340"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2BA889CF">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数据分析、可视化，形成市场分析报告</w:t>
            </w:r>
          </w:p>
        </w:tc>
        <w:tc>
          <w:tcPr>
            <w:tcW w:w="1680"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1859385D">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30,000元/篇</w:t>
            </w:r>
          </w:p>
        </w:tc>
        <w:tc>
          <w:tcPr>
            <w:tcW w:w="932"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4C5AA2B0">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1篇</w:t>
            </w:r>
          </w:p>
        </w:tc>
        <w:tc>
          <w:tcPr>
            <w:tcW w:w="1145" w:type="dxa"/>
            <w:tcBorders>
              <w:top w:val="single" w:color="B5C7EA" w:themeColor="accent1" w:themeTint="66" w:sz="6" w:space="0"/>
              <w:left w:val="nil"/>
              <w:bottom w:val="single" w:color="B5C7EA" w:themeColor="accent1" w:themeTint="66" w:sz="6" w:space="0"/>
              <w:right w:val="single" w:color="4874CB" w:themeColor="accent1" w:sz="6" w:space="0"/>
            </w:tcBorders>
            <w:shd w:val="clear" w:color="auto" w:fill="auto"/>
            <w:vAlign w:val="center"/>
          </w:tcPr>
          <w:p ns2:paraId="2E1E07FB">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30,000</w:t>
            </w:r>
          </w:p>
        </w:tc>
      </w:tr>
      <w:tr ns2:paraId="289291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B5C7EA" w:themeColor="accent1" w:themeTint="66" w:sz="6" w:space="0"/>
              <w:left w:val="single" w:color="4874CB" w:themeColor="accent1" w:sz="6" w:space="0"/>
              <w:bottom w:val="single" w:color="4874CB" w:themeColor="accent1" w:sz="6" w:space="0"/>
              <w:right w:val="nil"/>
            </w:tcBorders>
            <w:shd w:val="clear" w:color="auto" w:fill="auto"/>
            <w:vAlign w:val="center"/>
          </w:tcPr>
          <w:p ns2:paraId="4279FFE1">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Style w:val="12"/>
                <w:rFonts w:hint="eastAsia" w:ascii="汉仪中宋简" w:hAnsi="汉仪中宋简" w:eastAsia="汉仪中宋简" w:cs="汉仪中宋简"/>
                <w:b w:val="0"/>
                <w:i w:val="0"/>
                <w:color w:val="000000"/>
                <w:kern w:val="0"/>
                <w:sz w:val="24"/>
                <w:szCs w:val="24"/>
                <w:highlight w:val="none"/>
                <w:lang w:val="en-US" w:eastAsia="zh-CN" w:bidi="ar"/>
              </w:rPr>
              <w:t>总计</w:t>
            </w:r>
          </w:p>
        </w:tc>
        <w:tc>
          <w:tcPr>
            <w:tcW w:w="3340" w:type="dxa"/>
            <w:tcBorders>
              <w:top w:val="single" w:color="B5C7EA" w:themeColor="accent1" w:themeTint="66" w:sz="6" w:space="0"/>
              <w:left w:val="nil"/>
              <w:bottom w:val="single" w:color="4874CB" w:themeColor="accent1" w:sz="6" w:space="0"/>
              <w:right w:val="nil"/>
            </w:tcBorders>
            <w:shd w:val="clear" w:color="auto" w:fill="auto"/>
            <w:vAlign w:val="center"/>
          </w:tcPr>
          <w:p ns2:paraId="3A1B7D94">
            <w:pPr>
              <w:rPr>
                <w:rFonts w:hint="eastAsia" w:ascii="汉仪中宋简" w:hAnsi="汉仪中宋简" w:eastAsia="汉仪中宋简" w:cs="汉仪中宋简"/>
                <w:b w:val="0"/>
                <w:i w:val="0"/>
                <w:color w:val="000000"/>
                <w:sz w:val="24"/>
                <w:szCs w:val="24"/>
                <w:highlight w:val="none"/>
              </w:rPr>
            </w:pPr>
          </w:p>
        </w:tc>
        <w:tc>
          <w:tcPr>
            <w:tcW w:w="1680" w:type="dxa"/>
            <w:tcBorders>
              <w:top w:val="single" w:color="B5C7EA" w:themeColor="accent1" w:themeTint="66" w:sz="6" w:space="0"/>
              <w:left w:val="nil"/>
              <w:bottom w:val="single" w:color="4874CB" w:themeColor="accent1" w:sz="6" w:space="0"/>
              <w:right w:val="nil"/>
            </w:tcBorders>
            <w:shd w:val="clear" w:color="auto" w:fill="auto"/>
            <w:vAlign w:val="center"/>
          </w:tcPr>
          <w:p ns2:paraId="553A0E1F">
            <w:pPr>
              <w:rPr>
                <w:rFonts w:hint="eastAsia" w:ascii="汉仪中宋简" w:hAnsi="汉仪中宋简" w:eastAsia="汉仪中宋简" w:cs="汉仪中宋简"/>
                <w:b w:val="0"/>
                <w:i w:val="0"/>
                <w:color w:val="000000"/>
                <w:sz w:val="24"/>
                <w:szCs w:val="24"/>
                <w:highlight w:val="none"/>
              </w:rPr>
            </w:pPr>
          </w:p>
        </w:tc>
        <w:tc>
          <w:tcPr>
            <w:tcW w:w="932" w:type="dxa"/>
            <w:tcBorders>
              <w:top w:val="single" w:color="B5C7EA" w:themeColor="accent1" w:themeTint="66" w:sz="6" w:space="0"/>
              <w:left w:val="nil"/>
              <w:bottom w:val="single" w:color="4874CB" w:themeColor="accent1" w:sz="6" w:space="0"/>
              <w:right w:val="nil"/>
            </w:tcBorders>
            <w:shd w:val="clear" w:color="auto" w:fill="auto"/>
            <w:vAlign w:val="center"/>
          </w:tcPr>
          <w:p ns2:paraId="6AE98FA0">
            <w:pPr>
              <w:rPr>
                <w:rFonts w:hint="eastAsia" w:ascii="汉仪中宋简" w:hAnsi="汉仪中宋简" w:eastAsia="汉仪中宋简" w:cs="汉仪中宋简"/>
                <w:b w:val="0"/>
                <w:i w:val="0"/>
                <w:color w:val="000000"/>
                <w:sz w:val="24"/>
                <w:szCs w:val="24"/>
                <w:highlight w:val="none"/>
              </w:rPr>
            </w:pPr>
          </w:p>
        </w:tc>
        <w:tc>
          <w:tcPr>
            <w:tcW w:w="1145" w:type="dxa"/>
            <w:tcBorders>
              <w:top w:val="single" w:color="B5C7EA" w:themeColor="accent1" w:themeTint="66" w:sz="6" w:space="0"/>
              <w:left w:val="nil"/>
              <w:bottom w:val="single" w:color="4874CB" w:themeColor="accent1" w:sz="6" w:space="0"/>
              <w:right w:val="single" w:color="4874CB" w:themeColor="accent1" w:sz="6" w:space="0"/>
            </w:tcBorders>
            <w:shd w:val="clear" w:color="auto" w:fill="auto"/>
            <w:vAlign w:val="center"/>
          </w:tcPr>
          <w:p ns2:paraId="5F1E6723">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Style w:val="12"/>
                <w:rFonts w:hint="eastAsia" w:ascii="汉仪中宋简" w:hAnsi="汉仪中宋简" w:eastAsia="汉仪中宋简" w:cs="汉仪中宋简"/>
                <w:b w:val="0"/>
                <w:i w:val="0"/>
                <w:color w:val="000000"/>
                <w:kern w:val="0"/>
                <w:sz w:val="24"/>
                <w:szCs w:val="24"/>
                <w:highlight w:val="none"/>
                <w:lang w:val="en-US" w:eastAsia="zh-CN" w:bidi="ar"/>
              </w:rPr>
              <w:t>194,200</w:t>
            </w:r>
          </w:p>
        </w:tc>
      </w:tr>
    </w:tbl>
    <w:p ns2:paraId="4886E5A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服务承诺：确保数据真实可靠，分析专业严谨，提供有价值的市场洞察，保持与客户的密切沟通，确保项目高质量完成。</w:t>
      </w:r>
    </w:p>
    <w:p ns2:paraId="450101E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jc w:val="right"/>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br w:type="textWrapping"/>
      </w:r>
      <w:r>
        <w:rPr>
          <w:rFonts w:hint="eastAsia" w:ascii="汉仪中宋简" w:hAnsi="汉仪中宋简" w:eastAsia="汉仪中宋简" w:cs="汉仪中宋简"/>
          <w:sz w:val="24"/>
          <w:szCs w:val="32"/>
          <w:lang w:val="en-US" w:eastAsia="zh-CN"/>
        </w:rPr>
        <w:t xml:space="preserve">服务单位：{{field.service.unit}}日期：{{field.service.date}}</w:t>
      </w:r>
      <w:r>
        <w:rPr>
          <w:rFonts w:hint="eastAsia" w:ascii="汉仪中宋简" w:hAnsi="汉仪中宋简" w:eastAsia="汉仪中宋简" w:cs="汉仪中宋简"/>
          <w:sz w:val="24"/>
          <w:szCs w:val="32"/>
          <w:lang w:val="en-US" w:eastAsia="zh-CN"/>
        </w:rPr>
        <w:br w:type="textWrapping"/>
      </w:r>
      <w:r>
        <w:rPr>
          <w:rFonts w:hint="eastAsia" w:ascii="汉仪中宋简" w:hAnsi="汉仪中宋简" w:eastAsia="汉仪中宋简" w:cs="汉仪中宋简"/>
          <w:sz w:val="24"/>
          <w:szCs w:val="32"/>
          <w:lang w:val="en-US" w:eastAsia="zh-CN"/>
        </w:rPr>
        <w:t/>
      </w:r>
    </w:p>
    <w:bookmarkEnd w:id="3"/>
    <w:bookmarkEnd w:id="4"/>
    <w:bookmarkEnd w:id="5"/>
    <w:bookmarkEnd w:id="6"/>
    <w:p ns2:paraId="363E8080">
      <w:pPr>
        <w:rPr>
          <w:rFonts w:hint="eastAsia" w:ascii="汉仪中宋简" w:hAnsi="汉仪中宋简" w:eastAsia="汉仪中宋简" w:cs="汉仪中宋简"/>
          <w:b/>
          <w:lang w:val="en-US" w:eastAsia="zh-CN"/>
        </w:rPr>
        <w:sectPr>
          <w:footerReference ns9:id="rId4"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ns2:paraId="2FEDE721">
      <w:pPr>
        <w:rPr>
          <w:rFonts w:hint="eastAsia" w:ascii="汉仪中宋简" w:hAnsi="汉仪中宋简" w:eastAsia="汉仪中宋简" w:cs="汉仪中宋简"/>
          <w:b/>
          <w:lang w:val="en-US" w:eastAsia="zh-CN"/>
        </w:rPr>
      </w:pPr>
    </w:p>
    <w:sdt>
      <w:sdtPr>
        <w:rPr>
          <w:rFonts w:hint="eastAsia" w:ascii="汉仪中宋简" w:hAnsi="汉仪中宋简" w:eastAsia="汉仪中宋简" w:cs="汉仪中宋简"/>
          <w:b/>
          <w:bCs/>
          <w:kern w:val="2"/>
          <w:sz w:val="21"/>
          <w:szCs w:val="24"/>
          <w:lang w:val="en-US" w:eastAsia="zh-CN" w:bidi="ar-SA"/>
        </w:rPr>
        <w:id w:val="147466021"/>
        <ns10:color w:val="DBDBDB"/>
        <w:docPartObj>
          <w:docPartGallery w:val="Table of Contents"/>
          <w:docPartUnique/>
        </w:docPartObj>
      </w:sdtPr>
      <w:sdtEndPr>
        <w:rPr>
          <w:rFonts w:hint="eastAsia" w:ascii="汉仪中宋简" w:hAnsi="汉仪中宋简" w:eastAsia="汉仪中宋简" w:cs="汉仪中宋简"/>
          <w:b/>
          <w:bCs/>
          <w:kern w:val="2"/>
          <w:sz w:val="21"/>
          <w:szCs w:val="24"/>
          <w:lang w:val="en-US" w:eastAsia="zh-CN" w:bidi="ar-SA"/>
        </w:rPr>
      </w:sdtEndPr>
      <w:sdtContent>
        <w:p ns2:paraId="40F87C1A">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ind w:left="0" w:leftChars="0" w:right="0" w:rightChars="0" w:firstLine="0" w:firstLineChars="0"/>
            <w:jc w:val="center"/>
            <w:textAlignment w:val="auto"/>
            <w:rPr>
              <w:rFonts w:hint="eastAsia" w:ascii="汉仪中宋简" w:hAnsi="汉仪中宋简" w:eastAsia="汉仪中宋简" w:cs="汉仪中宋简"/>
              <w:kern w:val="2"/>
              <w:sz w:val="21"/>
              <w:szCs w:val="24"/>
              <w:lang w:val="en-US" w:eastAsia="zh-CN" w:bidi="ar-SA"/>
            </w:rPr>
          </w:pPr>
          <w:r>
            <w:rPr>
              <w:rFonts w:hint="eastAsia" w:ascii="汉仪中宋简" w:hAnsi="汉仪中宋简" w:eastAsia="汉仪中宋简" w:cs="汉仪中宋简"/>
              <w:b/>
              <w:bCs/>
              <w:sz w:val="40"/>
              <w:szCs w:val="40"/>
            </w:rPr>
            <w:t>目录</w:t>
          </w:r>
          <w:r>
            <w:rPr>
              <w:rFonts w:hint="eastAsia" w:ascii="汉仪中宋简" w:hAnsi="汉仪中宋简" w:eastAsia="汉仪中宋简" w:cs="汉仪中宋简"/>
            </w:rPr>
            <w:fldChar w:fldCharType="begin"/>
          </w:r>
          <w:r>
            <w:rPr>
              <w:rFonts w:hint="eastAsia" w:ascii="汉仪中宋简" w:hAnsi="汉仪中宋简" w:eastAsia="汉仪中宋简" w:cs="汉仪中宋简"/>
            </w:rPr>
            <w:instrText xml:space="preserve">TOC \o "1-2" \h \u </w:instrText>
          </w:r>
          <w:r>
            <w:rPr>
              <w:rFonts w:hint="eastAsia" w:ascii="汉仪中宋简" w:hAnsi="汉仪中宋简" w:eastAsia="汉仪中宋简" w:cs="汉仪中宋简"/>
            </w:rPr>
            <w:fldChar w:fldCharType="separate"/>
          </w:r>
        </w:p>
        <w:p ns2:paraId="3E960E78">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_Toc2436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前言</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_Toc2436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AA5F2FB">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_Toc29577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一、 </w:t>
          </w:r>
          <w:r>
            <w:rPr>
              <w:rFonts w:hint="eastAsia" w:ascii="汉仪中宋简" w:hAnsi="汉仪中宋简" w:eastAsia="汉仪中宋简" w:cs="汉仪中宋简"/>
              <w:sz w:val="28"/>
              <w:szCs w:val="28"/>
              <w:highlight w:val="none"/>
              <w:lang w:val="en-US" w:eastAsia="zh-CN"/>
            </w:rPr>
            <w:t>项目背景</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_Toc29577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40A67AD7">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_Toc26883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二、 </w:t>
          </w:r>
          <w:r>
            <w:rPr>
              <w:rFonts w:hint="eastAsia" w:ascii="汉仪中宋简" w:hAnsi="汉仪中宋简" w:eastAsia="汉仪中宋简" w:cs="汉仪中宋简"/>
              <w:sz w:val="28"/>
              <w:szCs w:val="28"/>
              <w:highlight w:val="none"/>
              <w:lang w:val="en-US" w:eastAsia="zh-CN"/>
            </w:rPr>
            <w:t>项目开展情况</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_Toc26883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65E8BCBD">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_Toc17641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三、 </w:t>
          </w:r>
          <w:r>
            <w:rPr>
              <w:rFonts w:hint="eastAsia" w:ascii="汉仪中宋简" w:hAnsi="汉仪中宋简" w:eastAsia="汉仪中宋简" w:cs="汉仪中宋简"/>
              <w:sz w:val="28"/>
              <w:szCs w:val="28"/>
              <w:highlight w:val="none"/>
              <w:lang w:val="en-US" w:eastAsia="zh-CN"/>
            </w:rPr>
            <w:t>问卷说明</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_Toc17641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3</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13AE118E">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_Toc14182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四、 问卷结果分析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_Toc14182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4</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CB82E87">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_Toc23502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4.1药品疗效</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_Toc23502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5</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45DE5ED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_Toc4015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4.2药品安全性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_Toc4015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5F8A7B9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_Toc4788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4.3用药行为与习惯​</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_Toc4788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7</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3D4F51E">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_Toc26585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4.4用药便利性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_Toc26585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10</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1A49DB67">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_Toc24377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4.5药品经济性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_Toc24377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69C28F1E">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_Toc8285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4.6药品可及性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_Toc8285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13</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5ADE83F">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_Toc1050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4.7用药指导信息评价</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_Toc1050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14</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942BE44">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_Toc19608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五、 调研结果</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_Toc19608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F1F411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_Toc7275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5.1问卷重点问题分析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_Toc7275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06EB428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_Toc25533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5.2调研结果分析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_Toc25533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18</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59359071">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_Toc4442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5.3建议</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_Toc4442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19</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BF03D17">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_Toc17910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附件1：厄贝沙坦氢氯噻嗪片用药体验与疗效反馈患者调查问卷</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_Toc17910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21</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84CEFBC">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_Toc22330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附件2：问卷调查明细表</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_Toc22330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25</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DE77654">
          <w:pPr>
            <w:pStyle w:val="7"/>
            <w:tabs>
              <w:tab w:val="right" w:leader="dot" w:pos="8306"/>
            </w:tabs>
            <w:rPr>
              <w:rFonts w:hint="eastAsia" w:ascii="汉仪中宋简" w:hAnsi="汉仪中宋简" w:eastAsia="汉仪中宋简" w:cs="汉仪中宋简"/>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_Toc8154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免责申明</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_Toc8154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24C758E">
          <w:pPr>
            <w:keepNext w:val="0"/>
            <w:keepLines w:val="0"/>
            <w:pageBreakBefore w:val="0"/>
            <w:widowControl w:val="0"/>
            <w:kinsoku/>
            <w:wordWrap/>
            <w:overflowPunct/>
            <w:topLinePunct w:val="0"/>
            <w:autoSpaceDE/>
            <w:autoSpaceDN/>
            <w:bidi w:val="0"/>
            <w:adjustRightInd/>
            <w:snapToGrid/>
            <w:spacing w:before="0" w:beforeLines="0" w:after="0" w:afterLines="0" w:line="480" w:lineRule="auto"/>
            <w:ind w:left="0" w:leftChars="0" w:right="0" w:rightChars="0" w:firstLine="0" w:firstLineChars="0"/>
            <w:jc w:val="center"/>
            <w:textAlignment w:val="auto"/>
            <w:rPr>
              <w:rFonts w:hint="eastAsia" w:ascii="汉仪中宋简" w:hAnsi="汉仪中宋简" w:eastAsia="汉仪中宋简" w:cs="汉仪中宋简"/>
            </w:rPr>
          </w:pPr>
          <w:r>
            <w:rPr>
              <w:rFonts w:hint="eastAsia" w:ascii="汉仪中宋简" w:hAnsi="汉仪中宋简" w:eastAsia="汉仪中宋简" w:cs="汉仪中宋简"/>
            </w:rPr>
            <w:fldChar w:fldCharType="end"/>
          </w:r>
        </w:p>
      </w:sdtContent>
    </w:sdt>
    <w:p ns2:paraId="2F7C28CF">
      <w:pPr>
        <w:pStyle w:val="2"/>
        <w:bidi w:val="0"/>
        <w:jc w:val="center"/>
        <w:rPr>
          <w:rFonts w:hint="eastAsia" w:ascii="汉仪中宋简" w:hAnsi="汉仪中宋简" w:eastAsia="汉仪中宋简" w:cs="汉仪中宋简"/>
          <w:lang w:val="en-US" w:eastAsia="zh-CN"/>
        </w:rPr>
        <w:sectPr>
          <w:footerReference ns9: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bookmarkStart w:id="7" w:name="_Toc2436"/>
    </w:p>
    <w:p ns2:paraId="6C8E94F9">
      <w:pPr>
        <w:pStyle w:val="2"/>
        <w:bidi w:val="0"/>
        <w:jc w:val="center"/>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t>前言</w:t>
      </w:r>
      <w:bookmarkEnd w:id="7"/>
    </w:p>
    <w:p ns2:paraId="7D65B80C">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高血压作为一种常见的慢性心血管疾病，需要长期规范用药来控制病情，降低心脑血管并发症的发生风险。厄贝沙坦氢氯噻嗪片作为临床常用的复方降压药物，其疗效、安全性及患者用药体验直接影响治疗依从性和疾病控制效果。为全面了解患者服用厄贝沙坦氢氯噻嗪片的实际情况，精准掌握药物在临床应用中的优势与不足，为临床用药优化、药品服务提升提供数据支撑，特开展本次患者用药体验与疗效反馈问卷调查工作。本报告将对本次调研的背景、开展情况、问卷内容及调查结果进行系统分析，形成针对性结论与建议。</w:t>
      </w:r>
    </w:p>
    <w:p ns2:paraId="3B61949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sectPr>
          <w:footerReference ns9:id="rId6"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ns2:paraId="041B3149">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jc w:val="center"/>
        <w:textAlignment w:val="auto"/>
        <w:rPr>
          <w:rFonts w:hint="eastAsia" w:ascii="汉仪中宋简" w:hAnsi="汉仪中宋简" w:eastAsia="汉仪中宋简" w:cs="汉仪中宋简"/>
          <w:b/>
          <w:bCs/>
          <w:sz w:val="44"/>
          <w:szCs w:val="44"/>
          <w:lang w:val="en-US" w:eastAsia="zh-CN"/>
        </w:rPr>
      </w:pPr>
      <w:bookmarkStart w:id="8" w:name="_Toc31976"/>
      <w:bookmarkStart w:id="9" w:name="_Toc6219"/>
      <w:bookmarkStart w:id="10" w:name="_Toc18642"/>
      <w:r>
        <w:rPr>
          <w:rFonts w:hint="eastAsia" w:ascii="汉仪中宋简" w:hAnsi="汉仪中宋简" w:eastAsia="汉仪中宋简" w:cs="汉仪中宋简"/>
          <w:b/>
          <w:bCs/>
          <w:sz w:val="44"/>
          <w:szCs w:val="44"/>
          <w:lang w:val="en-US" w:eastAsia="zh-CN"/>
        </w:rPr>
        <w:t>厄贝沙坦氢氯噻嗪片用药体验与疗效反馈患者调查问卷分析报告</w:t>
      </w:r>
      <w:bookmarkEnd w:id="8"/>
      <w:bookmarkEnd w:id="9"/>
      <w:bookmarkEnd w:id="10"/>
    </w:p>
    <w:p ns2:paraId="20E32FAB">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1" w:name="_Toc29577"/>
      <w:r>
        <w:rPr>
          <w:rFonts w:hint="eastAsia" w:ascii="汉仪中宋简" w:hAnsi="汉仪中宋简" w:eastAsia="汉仪中宋简" w:cs="汉仪中宋简"/>
          <w:b/>
          <w:highlight w:val="none"/>
          <w:lang w:val="en-US" w:eastAsia="zh-CN"/>
        </w:rPr>
        <w:t>项目背景</w:t>
      </w:r>
      <w:bookmarkEnd w:id="11"/>
    </w:p>
    <w:p ns2:paraId="33023550">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24"/>
          <w:highlight w:val="none"/>
          <w:lang w:val="en-US" w:eastAsia="zh-CN"/>
        </w:rPr>
      </w:pPr>
      <w:r>
        <w:rPr>
          <w:rFonts w:hint="eastAsia" w:ascii="汉仪中宋简" w:hAnsi="汉仪中宋简" w:eastAsia="汉仪中宋简" w:cs="汉仪中宋简"/>
          <w:sz w:val="24"/>
          <w:szCs w:val="24"/>
          <w:highlight w:val="none"/>
          <w:lang w:val="en-US" w:eastAsia="zh-CN"/>
        </w:rPr>
        <w:t>随着我国居民生活方式的改变和人口老龄化进程的加快，高血压患病率呈逐年上升趋势，已成为影响国民健康的重要公共卫生问题。厄贝沙坦氢氯噻嗪片通过厄贝沙坦（血管紧张素II受体拮抗剂）与氢氯噻嗪（利尿剂）的协同作用实现降压效果，具有降压平稳、适用人群广等特点，在高血压治疗中应用广泛。然而，在实际临床应用中，不同患者的用药反应、疗效感知、用药习惯存在差异，且药品的安全性、便利性、经济性等因素也会对患者的治疗依从性产生重要影响。</w:t>
      </w:r>
    </w:p>
    <w:p ns2:paraId="1AA41BF6">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24"/>
          <w:highlight w:val="none"/>
          <w:lang w:val="en-US" w:eastAsia="zh-CN"/>
        </w:rPr>
      </w:pPr>
      <w:r>
        <w:rPr>
          <w:rFonts w:hint="eastAsia" w:ascii="汉仪中宋简" w:hAnsi="汉仪中宋简" w:eastAsia="汉仪中宋简" w:cs="汉仪中宋简"/>
          <w:sz w:val="24"/>
          <w:szCs w:val="24"/>
          <w:highlight w:val="none"/>
          <w:lang w:val="en-US" w:eastAsia="zh-CN"/>
        </w:rPr>
        <w:t>当前，关于厄贝沙坦氢氯噻嗪片的临床研究多集中于疗效和安全性的客观指标监测，而从患者主观体验视角的系统性调研较为缺乏。基于此，开展本次患者问卷调查，旨在弥补现有研究的不足，全面收集患者在用药疗效、安全性、行为习惯、便利性、经济性等方面的反馈信息，为药品临床合理应用、制药企业优化产品设计、医疗机构提升用药指导服务质量提供科学依据。</w:t>
      </w:r>
    </w:p>
    <w:p ns2:paraId="5BFBAEDB">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2" w:name="_Toc26883"/>
      <w:r>
        <w:rPr>
          <w:rFonts w:hint="eastAsia" w:ascii="汉仪中宋简" w:hAnsi="汉仪中宋简" w:eastAsia="汉仪中宋简" w:cs="汉仪中宋简"/>
          <w:b/>
          <w:highlight w:val="none"/>
          <w:lang w:val="en-US" w:eastAsia="zh-CN"/>
        </w:rPr>
        <w:t>项目开展情况</w:t>
      </w:r>
      <w:bookmarkEnd w:id="12"/>
    </w:p>
    <w:p ns2:paraId="1BBB4EDB">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项目工具：调查问卷，14道选择题，其内容涵盖药品疗效、药品安全性、患者用药行为与习惯、用药便利性、药品经济性、药品可及性和用药指导信息评价7个维度，全面覆盖患者用药全流程关键节点。</w:t>
      </w:r>
    </w:p>
    <w:p ns2:paraId="651D8FD0">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 xml:space="preserve">样本采集范围：{{field.meta.region}}</w:t>
      </w:r>
    </w:p>
    <w:p ns2:paraId="3B93953C">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 xml:space="preserve">样本采集数量：本次共收集筛选到有效问卷{{field.meta.sample_size}}份。</w:t>
      </w:r>
    </w:p>
    <w:p ns2:paraId="2AC1451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highlight w:val="none"/>
          <w:lang w:val="en-US" w:eastAsia="zh-CN"/>
        </w:rPr>
      </w:pPr>
      <w:r>
        <w:rPr>
          <w:rFonts w:hint="eastAsia" w:ascii="汉仪中宋简" w:hAnsi="汉仪中宋简" w:eastAsia="汉仪中宋简" w:cs="汉仪中宋简"/>
          <w:sz w:val="24"/>
          <w:szCs w:val="32"/>
          <w:highlight w:val="none"/>
          <w:lang w:val="en-US" w:eastAsia="zh-CN"/>
        </w:rPr>
        <w:t>样本采集时间：2025年11月01日——2025年11月30日</w:t>
      </w:r>
    </w:p>
    <w:p ns2:paraId="45E0F945">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3" w:name="_Toc17641"/>
      <w:r>
        <w:rPr>
          <w:rFonts w:hint="eastAsia" w:ascii="汉仪中宋简" w:hAnsi="汉仪中宋简" w:eastAsia="汉仪中宋简" w:cs="汉仪中宋简"/>
          <w:b/>
          <w:highlight w:val="none"/>
          <w:lang w:val="en-US" w:eastAsia="zh-CN"/>
        </w:rPr>
        <w:t>问卷说明</w:t>
      </w:r>
      <w:bookmarkEnd w:id="13"/>
    </w:p>
    <w:p ns2:paraId="709CC835">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highlight w:val="none"/>
          <w:lang w:val="en-US" w:eastAsia="zh-CN"/>
        </w:rPr>
      </w:pPr>
      <w:r>
        <w:rPr>
          <w:rFonts w:hint="eastAsia" w:ascii="汉仪中宋简" w:hAnsi="汉仪中宋简" w:eastAsia="汉仪中宋简" w:cs="汉仪中宋简"/>
          <w:sz w:val="24"/>
          <w:szCs w:val="32"/>
          <w:highlight w:val="none"/>
          <w:lang w:val="en-US" w:eastAsia="zh-CN"/>
        </w:rPr>
        <w:t>为提升数据可比性与分析结果的科学性，本研究采用以下标准化统计处理方法对原始问卷数据进行系统规整：</w:t>
      </w:r>
    </w:p>
    <w:p ns2:paraId="3CA3D392">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1．数据清洗：剔除无效作答、关键信息缺失等数据，保障分析数据集的完整性与可靠性。</w:t>
      </w:r>
    </w:p>
    <w:p ns2:paraId="75936C4F">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2．数据转换：根据分析需求对原始数据进行标准化转换，使其适配后续统计与分析逻辑，提升数据利用效率。</w:t>
      </w:r>
    </w:p>
    <w:p ns2:paraId="1E40B848">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3．数据聚合：对维度相近或类别关联的数据进行归类整合，形成结构化分析指标，简化数据解读难度。</w:t>
      </w:r>
    </w:p>
    <w:p ns2:paraId="7B23C77E">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4．数据可视化：采用饼图、柱状图等可视化工具，直观呈现数据分布特征与内在关联规律。</w:t>
      </w:r>
    </w:p>
    <w:p ns2:paraId="687C494E">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通过上述标准化数据处理流程，有效强化了不同维度数据间的可比性，确保研究结论的客观性与可信度。</w:t>
      </w:r>
    </w:p>
    <w:p ns2:paraId="00BB390D">
      <w:pPr>
        <w:pStyle w:val="3"/>
        <w:numPr>
          <w:ilvl w:val="0"/>
          <w:numId w:val="1"/>
        </w:numPr>
        <w:bidi w:val="0"/>
        <w:outlineLvl w:val="0"/>
        <w:rPr>
          <w:rFonts w:hint="eastAsia" w:ascii="汉仪中宋简" w:hAnsi="汉仪中宋简" w:eastAsia="汉仪中宋简" w:cs="汉仪中宋简"/>
          <w:b/>
          <w:lang w:val="en-US" w:eastAsia="zh-CN"/>
        </w:rPr>
      </w:pPr>
      <w:bookmarkStart w:id="14" w:name="_Toc14182"/>
      <w:r>
        <w:rPr>
          <w:rFonts w:hint="eastAsia" w:ascii="汉仪中宋简" w:hAnsi="汉仪中宋简" w:eastAsia="汉仪中宋简" w:cs="汉仪中宋简"/>
          <w:b/>
          <w:lang w:val="en-US" w:eastAsia="zh-CN"/>
        </w:rPr>
        <w:t>问卷结果分析</w:t>
      </w:r>
      <w:bookmarkEnd w:id="14"/>
    </w:p>
    <w:p ns2:paraId="795A2C94">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本次调查采用问卷调查方式，共有14个问题，本报告从药品疗效、药品安全性、患者用药行为与习惯、用药便利性、药品经济性、药品可及性用药指导信息评价等7个维度展开统计分析。</w:t>
      </w:r>
    </w:p>
    <w:p ns2:paraId="12FB187E">
      <w:pPr>
        <w:keepNext w:val="0"/>
        <w:keepLines w:val="0"/>
        <w:pageBreakBefore w:val="0"/>
        <w:widowControl w:val="0"/>
        <w:numPr>
          <w:ilvl w:val="0"/>
          <w:numId w:val="0"/>
        </w:numPr>
        <w:kinsoku/>
        <w:wordWrap/>
        <w:overflowPunct/>
        <w:topLinePunct w:val="0"/>
        <w:autoSpaceDE/>
        <w:autoSpaceDN/>
        <w:bidi w:val="0"/>
        <w:adjustRightInd/>
        <w:snapToGrid/>
        <w:spacing w:line="600" w:lineRule="auto"/>
        <w:textAlignment w:val="auto"/>
        <w:rPr>
          <w:rFonts w:hint="eastAsia" w:ascii="汉仪中宋简" w:hAnsi="汉仪中宋简" w:eastAsia="汉仪中宋简" w:cs="汉仪中宋简"/>
        </w:rPr>
      </w:pPr>
      <w:r>
        <w:rPr>
          <w:rFonts w:hint="eastAsia" w:ascii="汉仪中宋简" w:hAnsi="汉仪中宋简" w:eastAsia="汉仪中宋简" w:cs="汉仪中宋简"/>
          <w:sz w:val="24"/>
          <w:szCs w:val="32"/>
          <w:lang w:val="en-US" w:eastAsia="zh-CN"/>
        </w:rPr>
        <w:drawing>
          <ns3:inline distT="0" distB="0" distL="114300" distR="114300">
            <ns3:extent cx="5238750" cy="4293235"/>
            <ns3:effectExtent l="9525" t="9525" r="9525" b="15240"/>
            <ns3:docPr id="7" name="图片 7"/>
            <ns3:cNvGraphicFramePr/>
            <ns4:graphic>
              <ns4:graphicData uri="http://schemas.openxmlformats.org/drawingml/2006/picture">
                <ns8:pic>
                  <ns8:nvPicPr>
                    <ns8:cNvPr id="7" name="图片 7"/>
                    <ns8:cNvPicPr/>
                  </ns8:nvPicPr>
                  <ns8:blipFill>
                    <ns4:blip ns9:embed="rId10"/>
                    <ns4:stretch>
                      <ns4:fillRect/>
                    </ns4:stretch>
                  </ns8:blipFill>
                  <ns8:spPr>
                    <ns4:xfrm>
                      <ns4:off x="0" y="0"/>
                      <ns4:ext cx="5238750" cy="4293235"/>
                    </ns4:xfrm>
                    <ns4:prstGeom prst="rect">
                      <ns4:avLst/>
                    </ns4:prstGeom>
                    <ns4:ln>
                      <ns4:solidFill>
                        <ns4:srgbClr val="FFFFFF"/>
                      </ns4:solidFill>
                    </ns4:ln>
                    <ns4:extLst>
                      <ns4:ext uri="{8CAD56D8-0F58-4FB8-B24C-77498146470C}">
                        <ns11:webExtensionRef ns9:id="rId9"/>
                      </ns4:ext>
                      <ns11:webExtensionRef ns9:id="rId9"/>
                    </ns4:extLst>
                  </ns8:spPr>
                </ns8:pic>
              </ns4:graphicData>
            </ns4:graphic>
          </ns3:inline>
        </w:drawing>
      </w:r>
    </w:p>
    <w:p ns2:paraId="2A8B3975">
      <w:pPr>
        <w:keepNext w:val="0"/>
        <w:keepLines w:val="0"/>
        <w:pageBreakBefore w:val="0"/>
        <w:widowControl w:val="0"/>
        <w:numPr>
          <w:ilvl w:val="0"/>
          <w:numId w:val="0"/>
        </w:numPr>
        <w:kinsoku/>
        <w:wordWrap/>
        <w:overflowPunct/>
        <w:topLinePunct w:val="0"/>
        <w:autoSpaceDE/>
        <w:autoSpaceDN/>
        <w:bidi w:val="0"/>
        <w:adjustRightInd/>
        <w:snapToGrid/>
        <w:spacing w:line="600" w:lineRule="auto"/>
        <w:jc w:val="center"/>
        <w:textAlignment w:val="auto"/>
        <w:rPr>
          <w:rFonts w:hint="eastAsia" w:ascii="汉仪中宋简" w:hAnsi="汉仪中宋简" w:eastAsia="汉仪中宋简" w:cs="汉仪中宋简"/>
          <w:b w:val="0"/>
          <w:bCs w:val="0"/>
          <w:color w:val="000000" w:themeColor="text1"/>
          <w:sz w:val="24"/>
          <w:szCs w:val="24"/>
          <w:lang w:val="en-US" w:eastAsia="zh-CN"/>
          <ns2:textFill>
            <ns2:solidFill>
              <ns2:schemeClr ns2:val="tx1"/>
            </ns2:solidFill>
          </ns2:textFill>
        </w:rPr>
      </w:pPr>
      <w:r>
        <w:rPr>
          <w:rFonts w:hint="eastAsia" w:ascii="汉仪中宋简" w:hAnsi="汉仪中宋简" w:eastAsia="汉仪中宋简" w:cs="汉仪中宋简"/>
          <w:lang w:eastAsia="zh-CN"/>
        </w:rPr>
        <w:drawing>
          <ns3:inline distT="0" distB="0" distL="114300" distR="114300">
            <ns3:extent cx="5234305" cy="2489835"/>
            <ns3:effectExtent l="4445" t="4445" r="6350" b="45720"/>
            <ns3:docPr id="14" name="图表 14" descr="7b0a202020202263686172745265734964223a20223230343735383430220a7d0a"/>
            <ns3:cNvGraphicFramePr/>
            <ns4:graphic>
              <ns4:graphicData uri="http://schemas.openxmlformats.org/drawingml/2006/chart">
                <ns12:chart ns9:id="rId11"/>
              </ns4:graphicData>
            </ns4:graphic>
          </ns3:inline>
        </w:drawing>
      </w:r>
      <w:r>
        <w:rPr>
          <w:rFonts w:hint="eastAsia" w:ascii="汉仪中宋简" w:hAnsi="汉仪中宋简" w:eastAsia="汉仪中宋简" w:cs="汉仪中宋简"/>
          <w:lang w:eastAsia="zh-CN"/>
        </w:rPr>
        <w:drawing>
          <ns3:inline distT="0" distB="0" distL="114300" distR="114300">
            <ns3:extent cx="5240020" cy="2601595"/>
            <ns3:effectExtent l="4445" t="4445" r="13335" b="35560"/>
            <ns3:docPr id="11" name="图表 11" descr="7b0a202020202263686172745265734964223a20223230343735383430220a7d0a"/>
            <ns3:cNvGraphicFramePr/>
            <ns4:graphic>
              <ns4:graphicData uri="http://schemas.openxmlformats.org/drawingml/2006/chart">
                <ns12:chart ns9:id="rId12"/>
              </ns4:graphicData>
            </ns4:graphic>
          </ns3:inline>
        </w:drawing>
      </w:r>
    </w:p>
    <w:p ns2:paraId="6FEF9D0C">
      <w:pPr>
        <w:keepNext w:val="0"/>
        <w:keepLines w:val="0"/>
        <w:pageBreakBefore w:val="0"/>
        <w:widowControl w:val="0"/>
        <w:numPr>
          <w:ilvl w:val="0"/>
          <w:numId w:val="0"/>
        </w:numPr>
        <w:kinsoku/>
        <w:wordWrap/>
        <w:overflowPunct/>
        <w:topLinePunct w:val="0"/>
        <w:autoSpaceDE/>
        <w:autoSpaceDN/>
        <w:bidi w:val="0"/>
        <w:adjustRightInd/>
        <w:snapToGrid/>
        <w:spacing w:line="600" w:lineRule="auto"/>
        <w:jc w:val="both"/>
        <w:textAlignment w:val="auto"/>
        <w:rPr>
          <w:rFonts w:hint="eastAsia" w:ascii="汉仪中宋简" w:hAnsi="汉仪中宋简" w:eastAsia="汉仪中宋简" w:cs="汉仪中宋简"/>
          <w:lang w:val="en-US" w:eastAsia="zh-CN"/>
        </w:rPr>
      </w:pPr>
    </w:p>
    <w:p ns2:paraId="062BDC27">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5" w:name="_Toc23502"/>
      <w:r>
        <w:rPr>
          <w:rFonts w:hint="eastAsia" w:ascii="汉仪中宋简" w:hAnsi="汉仪中宋简" w:eastAsia="汉仪中宋简" w:cs="汉仪中宋简"/>
          <w:lang w:val="en-US" w:eastAsia="zh-CN"/>
        </w:rPr>
        <w:t>4.1药品疗效</w:t>
      </w:r>
      <w:bookmarkEnd w:id="15"/>
    </w:p>
    <w:p ns2:paraId="309B9A6C">
      <w:pPr>
        <w:pStyle w:val="4"/>
        <w:keepNext/>
        <w:keepLines/>
        <w:pageBreakBefore w:val="0"/>
        <w:widowControl w:val="0"/>
        <w:numPr>
          <w:ilvl w:val="0"/>
          <w:numId w:val="2"/>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血压控制效果分析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24"/>
        <w:gridCol w:w="896"/>
        <w:gridCol w:w="1494"/>
        <w:gridCol w:w="1494"/>
        <w:gridCol w:w="1494"/>
        <w:gridCol w:w="1496"/>
      </w:tblGrid>
      <w:tr ns2:paraId="7EA3F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8AD6E1E">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1.您服用厄贝沙坦氢氯噻嗪片后，血压控制效果如何？</w:t>
            </w:r>
          </w:p>
        </w:tc>
        <w:tc>
          <w:tcPr>
            <w:tcW w:w="89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B2E7BCF">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36A4CE8">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A.血压稳定在正常范围</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226F51">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B.血压多数时间在正常范围</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1F85F2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C.血压偶尔超出正常范围</w:t>
            </w:r>
          </w:p>
        </w:tc>
        <w:tc>
          <w:tcPr>
            <w:tcW w:w="149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76F4B2D">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D.血压持续超出正常范围</w:t>
            </w:r>
          </w:p>
        </w:tc>
      </w:tr>
      <w:tr ns2:paraId="24BA0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7E325A1">
            <w:pPr>
              <w:jc w:val="center"/>
              <w:rPr>
                <w:rFonts w:hint="eastAsia" w:ascii="汉仪中宋简" w:hAnsi="汉仪中宋简" w:eastAsia="汉仪中宋简" w:cs="汉仪中宋简"/>
                <w:b/>
                <w:bCs/>
                <w:i w:val="0"/>
                <w:iCs w:val="0"/>
                <w:color w:val="000000"/>
                <w:sz w:val="21"/>
                <w:szCs w:val="21"/>
                <w:u w:val="none"/>
              </w:rPr>
            </w:pPr>
          </w:p>
        </w:tc>
        <w:tc>
          <w:tcPr>
            <w:tcW w:w="89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0A805CD">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8889C9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738</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8265E9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804</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7328D70">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49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B4C423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r>
      <w:tr ns2:paraId="7DBF7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BB08899">
            <w:pPr>
              <w:jc w:val="center"/>
              <w:rPr>
                <w:rFonts w:hint="eastAsia" w:ascii="汉仪中宋简" w:hAnsi="汉仪中宋简" w:eastAsia="汉仪中宋简" w:cs="汉仪中宋简"/>
                <w:b/>
                <w:bCs/>
                <w:i w:val="0"/>
                <w:iCs w:val="0"/>
                <w:color w:val="000000"/>
                <w:sz w:val="21"/>
                <w:szCs w:val="21"/>
                <w:u w:val="none"/>
              </w:rPr>
            </w:pPr>
          </w:p>
        </w:tc>
        <w:tc>
          <w:tcPr>
            <w:tcW w:w="89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742B84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F47C4A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44.95%</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B0BF7C1">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48.96%</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4B33F64">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49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3F1392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r>
    </w:tbl>
    <w:p ns2:paraId="0107EF0C">
      <w:pPr>
        <w:rPr>
          <w:rFonts w:hint="eastAsia" w:ascii="汉仪中宋简" w:hAnsi="汉仪中宋简" w:eastAsia="汉仪中宋简" w:cs="汉仪中宋简"/>
          <w:lang w:val="en-US" w:eastAsia="zh-CN"/>
        </w:rPr>
      </w:pPr>
    </w:p>
    <w:p ns2:paraId="7DEDD867">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调研结果呈现出极高的正向反馈比例。具体来看，44.95%的患者反馈血压能够稳定在正常范围，该部分患者通过规律服药实现了血压的精准管控，这是药物疗效达标的核心体现；48.96%的患者表示血压多数时间在正常范围，说明药物对该群体的血压调节具备持续有效性，仅在特殊生理状态或生活习惯波动时可能出现短暂波动，整体仍处于可控区间。两者合计占比高达93.91%，充分印证了厄贝沙坦氢氯噻嗪片作为复方降压药物的临床优势，其通过厄贝沙坦与氢氯噻嗪的协同作用，能够有效覆盖多数高血压患者的降压需求。此外，仅6.09%的患者存在血压偶尔超出正常范围的情况，无患者反馈血压持续失控，结合临床经验推测，该部分患者的血压波动可能与个体代谢差异、用药依从性细节偏差或生活方式干预不足相关，而非药物本身疗效不足，进一步说明该药物的整体疗效稳定性和可靠性。​</w:t>
      </w:r>
    </w:p>
    <w:p ns2:paraId="095C7902">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highlight w:val="none"/>
          <w:lang w:val="en-US" w:eastAsia="zh-CN"/>
        </w:rPr>
      </w:pPr>
      <w:bookmarkStart w:id="16" w:name="_Toc4015"/>
      <w:r>
        <w:rPr>
          <w:rFonts w:hint="eastAsia" w:ascii="汉仪中宋简" w:hAnsi="汉仪中宋简" w:eastAsia="汉仪中宋简" w:cs="汉仪中宋简"/>
          <w:highlight w:val="none"/>
          <w:lang w:val="en-US" w:eastAsia="zh-CN"/>
        </w:rPr>
        <w:t>4.2药品安全性</w:t>
      </w:r>
      <w:bookmarkEnd w:id="16"/>
    </w:p>
    <w:p ns2:paraId="24CF4E33">
      <w:pPr>
        <w:pStyle w:val="4"/>
        <w:keepNext/>
        <w:keepLines/>
        <w:pageBreakBefore w:val="0"/>
        <w:widowControl w:val="0"/>
        <w:numPr>
          <w:ilvl w:val="0"/>
          <w:numId w:val="3"/>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头晕头痛不良反应分析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853"/>
        <w:gridCol w:w="1434"/>
        <w:gridCol w:w="1434"/>
        <w:gridCol w:w="1434"/>
        <w:gridCol w:w="1435"/>
      </w:tblGrid>
      <w:tr ns2:paraId="4DC8D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665E77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2.您服用厄贝沙坦氢氯噻嗪片期间，是否出现过头晕、头痛症状？</w:t>
            </w:r>
          </w:p>
        </w:tc>
        <w:tc>
          <w:tcPr>
            <w:tcW w:w="85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657401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F953B2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A.经常出现，症状严重</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4203C6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B.偶尔出现，症状轻微可忍受</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12A777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C.很少出现，几乎无感觉</w:t>
            </w:r>
          </w:p>
        </w:tc>
        <w:tc>
          <w:tcPr>
            <w:tcW w:w="143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FDF4EA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D.从未出现过</w:t>
            </w:r>
          </w:p>
        </w:tc>
      </w:tr>
      <w:tr ns2:paraId="1BFA2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8B34AA1">
            <w:pPr>
              <w:jc w:val="center"/>
              <w:rPr>
                <w:rFonts w:hint="eastAsia" w:ascii="汉仪中宋简" w:hAnsi="汉仪中宋简" w:eastAsia="汉仪中宋简" w:cs="汉仪中宋简"/>
                <w:b/>
                <w:bCs/>
                <w:i w:val="0"/>
                <w:iCs w:val="0"/>
                <w:color w:val="000000"/>
                <w:sz w:val="21"/>
                <w:szCs w:val="21"/>
                <w:u w:val="none"/>
              </w:rPr>
            </w:pPr>
          </w:p>
        </w:tc>
        <w:tc>
          <w:tcPr>
            <w:tcW w:w="85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5E9F0F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23C697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B9E0C0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E0274C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679</w:t>
            </w:r>
          </w:p>
        </w:tc>
        <w:tc>
          <w:tcPr>
            <w:tcW w:w="143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3BC792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863</w:t>
            </w:r>
          </w:p>
        </w:tc>
      </w:tr>
      <w:tr ns2:paraId="0F99E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6F4FD79">
            <w:pPr>
              <w:jc w:val="center"/>
              <w:rPr>
                <w:rFonts w:hint="eastAsia" w:ascii="汉仪中宋简" w:hAnsi="汉仪中宋简" w:eastAsia="汉仪中宋简" w:cs="汉仪中宋简"/>
                <w:b/>
                <w:bCs/>
                <w:i w:val="0"/>
                <w:iCs w:val="0"/>
                <w:color w:val="000000"/>
                <w:sz w:val="21"/>
                <w:szCs w:val="21"/>
                <w:u w:val="none"/>
              </w:rPr>
            </w:pPr>
          </w:p>
        </w:tc>
        <w:tc>
          <w:tcPr>
            <w:tcW w:w="85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BB906B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C7C7E1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4DC1ED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7D4D82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41.35%</w:t>
            </w:r>
          </w:p>
        </w:tc>
        <w:tc>
          <w:tcPr>
            <w:tcW w:w="143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747184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52.56%</w:t>
            </w:r>
          </w:p>
        </w:tc>
      </w:tr>
    </w:tbl>
    <w:p ns2:paraId="67BFDFB0">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头晕、头痛是降压药物初期常见的不良反应，与血管扩张带来的脑部供血变化相关，其发生情况直接反映药物的安全性与患者耐受性。本次调研显示，52.56%的患者明确表示从未出现该症状，41.35%的患者反馈很少出现且几乎无感觉，两者合计占比93.91%，表明该药物对患者脑血管调节功能的影响极小，多数患者可快速适应药物作用。仅6.09%的患者出现偶尔轻微且可耐受的症状，无任何严重症状案例，说明即便出现不良反应，程度也较为轻微，不会对患者正常工作与生活造成干扰，进一步验证了该药物的安全性优势，为患者长期规律用药奠定了基础。​</w:t>
      </w:r>
    </w:p>
    <w:p ns2:paraId="08B2DF8A">
      <w:pPr>
        <w:pStyle w:val="4"/>
        <w:keepNext/>
        <w:keepLines/>
        <w:pageBreakBefore w:val="0"/>
        <w:widowControl w:val="0"/>
        <w:numPr>
          <w:ilvl w:val="0"/>
          <w:numId w:val="3"/>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口渴多尿不良反应分析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1318"/>
        <w:gridCol w:w="1417"/>
        <w:gridCol w:w="1219"/>
        <w:gridCol w:w="1318"/>
        <w:gridCol w:w="1318"/>
      </w:tblGrid>
      <w:tr ns2:paraId="59E1E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E25056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3.您服用厄贝沙坦氢氯噻嗪片期间，是否出现过口渴、多尿情况？</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CC8C4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1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CC7B06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A.经常出现，影响正常生活</w:t>
            </w:r>
          </w:p>
        </w:tc>
        <w:tc>
          <w:tcPr>
            <w:tcW w:w="12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2572A3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B.偶尔出现，无明显影响</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605CE2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C.很少出现，几乎不察觉</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246F8F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D.从未出现过</w:t>
            </w:r>
          </w:p>
        </w:tc>
      </w:tr>
      <w:tr ns2:paraId="3460A6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CA8FA64">
            <w:pPr>
              <w:jc w:val="center"/>
              <w:rPr>
                <w:rFonts w:hint="eastAsia" w:ascii="汉仪中宋简" w:hAnsi="汉仪中宋简" w:eastAsia="汉仪中宋简" w:cs="汉仪中宋简"/>
                <w:b/>
                <w:bCs/>
                <w:i w:val="0"/>
                <w:iCs w:val="0"/>
                <w:color w:val="000000"/>
                <w:sz w:val="21"/>
                <w:szCs w:val="21"/>
                <w:u w:val="none"/>
              </w:rPr>
            </w:pP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270A5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1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22D6F0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2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88CF36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B51B84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789</w:t>
            </w: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C7DCC4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753</w:t>
            </w:r>
          </w:p>
        </w:tc>
      </w:tr>
      <w:tr ns2:paraId="3750A4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B5335A8">
            <w:pPr>
              <w:jc w:val="center"/>
              <w:rPr>
                <w:rFonts w:hint="eastAsia" w:ascii="汉仪中宋简" w:hAnsi="汉仪中宋简" w:eastAsia="汉仪中宋简" w:cs="汉仪中宋简"/>
                <w:b/>
                <w:bCs/>
                <w:i w:val="0"/>
                <w:iCs w:val="0"/>
                <w:color w:val="000000"/>
                <w:sz w:val="21"/>
                <w:szCs w:val="21"/>
                <w:u w:val="none"/>
              </w:rPr>
            </w:pP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321346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1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35B410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2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AEA5F0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10A6EE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48.05%</w:t>
            </w: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CC7C9F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45.86%</w:t>
            </w:r>
          </w:p>
        </w:tc>
      </w:tr>
    </w:tbl>
    <w:p ns2:paraId="22E10E77">
      <w:pPr>
        <w:rPr>
          <w:rFonts w:hint="eastAsia" w:ascii="汉仪中宋简" w:hAnsi="汉仪中宋简" w:eastAsia="汉仪中宋简" w:cs="汉仪中宋简"/>
          <w:lang w:val="en-US" w:eastAsia="zh-CN"/>
        </w:rPr>
      </w:pPr>
    </w:p>
    <w:p ns2:paraId="692990EB">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氢氯噻嗪作为利尿剂，其作用机制可能导致尿量增加，进而引发口渴感，这是该类成分常见的潜在不良反应，也是评估药物剂量配比科学性的重要指标。本次调研结果显示，45.86%的患者从未出现口渴、多尿情况，48.05%的患者很少出现且几乎不察觉，合计占比达93.91%，说明该药物的剂量配比经过科学优化，能够在充分发挥利尿剂降压作用的同时，最大限度降低其对患者水电解质平衡的影响，减少不良反应发生。仅6.09%的患者偶尔出现相关症状且无明显影响，进一步佐证了患者对该药物的良好耐受性，也体现了复方制剂协同作用的优势，兼顾疗效与安全性。</w:t>
      </w:r>
    </w:p>
    <w:p ns2:paraId="12A7EA35">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7" w:name="_Toc4788"/>
      <w:r>
        <w:rPr>
          <w:rFonts w:hint="eastAsia" w:ascii="汉仪中宋简" w:hAnsi="汉仪中宋简" w:eastAsia="汉仪中宋简" w:cs="汉仪中宋简"/>
          <w:lang w:val="en-US" w:eastAsia="zh-CN"/>
        </w:rPr>
        <w:t>4.3用药行为与习惯​</w:t>
      </w:r>
      <w:bookmarkEnd w:id="17"/>
    </w:p>
    <w:p ns2:paraId="6C112BBD">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购药渠道分析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16"/>
        <w:gridCol w:w="1087"/>
        <w:gridCol w:w="1429"/>
        <w:gridCol w:w="1429"/>
        <w:gridCol w:w="1429"/>
        <w:gridCol w:w="1429"/>
      </w:tblGrid>
      <w:tr ns2:paraId="50E9C5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53" w:hRule="atLeast"/>
        </w:trPr>
        <w:tc>
          <w:tcPr>
            <w:tcW w:w="1716"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9F6B614">
            <w:pPr>
              <w:keepNext w:val="0"/>
              <w:keepLines w:val="0"/>
              <w:widowControl/>
              <w:suppressLineNumbers w:val="0"/>
              <w:jc w:val="center"/>
              <w:textAlignment w:val="center"/>
              <w:rPr>
                <w:rFonts w:hint="eastAsia" w:ascii="汉仪中宋简" w:hAnsi="汉仪中宋简" w:eastAsia="汉仪中宋简" w:cs="汉仪中宋简"/>
                <w:lang w:val="en-US" w:eastAsia="zh-CN"/>
              </w:rPr>
            </w:pPr>
            <w:r>
              <w:rPr>
                <w:rFonts w:hint="default" w:ascii="Calibri" w:hAnsi="Calibri" w:eastAsia="宋体" w:cs="Calibri"/>
                <w:i w:val="0"/>
                <w:iCs w:val="0"/>
                <w:color w:val="000000"/>
                <w:kern w:val="0"/>
                <w:sz w:val="20"/>
                <w:szCs w:val="20"/>
                <w:u w:val="none"/>
                <w:lang w:val="en-US" w:eastAsia="zh-CN" w:bidi="ar"/>
              </w:rPr>
              <w:t>4.您通常通过什么渠道购买厄贝沙坦氢氯噻嗪片？</w:t>
            </w:r>
          </w:p>
        </w:tc>
        <w:tc>
          <w:tcPr>
            <w:tcW w:w="108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21EDF5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58B0A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A.医院药房</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5A2557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B.线下连锁药店</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6C4E12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C.正规网上药店</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F424DC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D.其他渠道</w:t>
            </w:r>
          </w:p>
        </w:tc>
      </w:tr>
      <w:tr ns2:paraId="2065D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0" w:hRule="atLeast"/>
        </w:trPr>
        <w:tc>
          <w:tcPr>
            <w:tcW w:w="1716"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BF9FA66">
            <w:pPr>
              <w:jc w:val="center"/>
              <w:rPr>
                <w:rFonts w:hint="eastAsia" w:ascii="汉仪中宋简" w:hAnsi="汉仪中宋简" w:eastAsia="汉仪中宋简" w:cs="汉仪中宋简"/>
                <w:b/>
                <w:bCs/>
                <w:i w:val="0"/>
                <w:iCs w:val="0"/>
                <w:color w:val="000000"/>
                <w:sz w:val="21"/>
                <w:szCs w:val="21"/>
                <w:u w:val="none"/>
              </w:rPr>
            </w:pPr>
          </w:p>
        </w:tc>
        <w:tc>
          <w:tcPr>
            <w:tcW w:w="108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0DAEBA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2DE441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607</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064E03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476</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11174C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197</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BAA0E3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362</w:t>
            </w:r>
          </w:p>
        </w:tc>
      </w:tr>
      <w:tr ns2:paraId="6C684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0" w:hRule="atLeast"/>
        </w:trPr>
        <w:tc>
          <w:tcPr>
            <w:tcW w:w="1716"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B56F8C2">
            <w:pPr>
              <w:jc w:val="center"/>
              <w:rPr>
                <w:rFonts w:hint="eastAsia" w:ascii="汉仪中宋简" w:hAnsi="汉仪中宋简" w:eastAsia="汉仪中宋简" w:cs="汉仪中宋简"/>
                <w:b/>
                <w:bCs/>
                <w:i w:val="0"/>
                <w:iCs w:val="0"/>
                <w:color w:val="000000"/>
                <w:sz w:val="21"/>
                <w:szCs w:val="21"/>
                <w:u w:val="none"/>
              </w:rPr>
            </w:pPr>
          </w:p>
        </w:tc>
        <w:tc>
          <w:tcPr>
            <w:tcW w:w="108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8A9F67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B27F44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36.97%</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FC47C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28.99%</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861DC8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12.00%</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FC469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22.04%</w:t>
            </w:r>
          </w:p>
        </w:tc>
      </w:tr>
    </w:tbl>
    <w:p ns2:paraId="084DF76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购药渠道的选择直接关系到药品质量与用药安全，是反映患者用药认知的重要维度。本次调研显示，36.97%的患者通过医院药房购买，28.99%通过线下连锁药店购买，两者合计占比65.96%，体现了多数患者对正规购药渠道的信任，能够通过可靠渠道获取药品，有效规避非正规药品的质量风险；12.00%的患者选择正规网上药店，反映出部分患者对购药便利性、时效性的需求，契合当前数字化购药的发展趋势；而22.04%的患者通过其他渠道购买，该部分渠道信息不明确，存在购买到假冒伪劣药品的潜在风险，需重点关注并引导。</w:t>
      </w:r>
    </w:p>
    <w:p ns2:paraId="613F0823">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剂量遵循情况分析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13"/>
        <w:gridCol w:w="1000"/>
        <w:gridCol w:w="1426"/>
        <w:gridCol w:w="1426"/>
        <w:gridCol w:w="1426"/>
        <w:gridCol w:w="1428"/>
      </w:tblGrid>
      <w:tr ns2:paraId="536F8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93" w:hRule="atLeast"/>
        </w:trPr>
        <w:tc>
          <w:tcPr>
            <w:tcW w:w="1813"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392A41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6.您服用厄贝沙坦氢氯噻嗪片的剂量是否严格按照医嘱？</w:t>
            </w:r>
          </w:p>
        </w:tc>
        <w:tc>
          <w:tcPr>
            <w:tcW w:w="10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968C00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318738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A.始终严格遵守</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5489B5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B.大部分时间遵守，偶尔微调</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BFF562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C.经常根据自身感觉调整</w:t>
            </w:r>
          </w:p>
        </w:tc>
        <w:tc>
          <w:tcPr>
            <w:tcW w:w="142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E7F137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D.从未按规定剂量服用</w:t>
            </w:r>
          </w:p>
        </w:tc>
      </w:tr>
      <w:tr ns2:paraId="24D78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813"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95E5C4">
            <w:pPr>
              <w:jc w:val="center"/>
              <w:rPr>
                <w:rFonts w:hint="eastAsia" w:ascii="汉仪中宋简" w:hAnsi="汉仪中宋简" w:eastAsia="汉仪中宋简" w:cs="汉仪中宋简"/>
                <w:b/>
                <w:bCs/>
                <w:i w:val="0"/>
                <w:iCs w:val="0"/>
                <w:color w:val="000000"/>
                <w:sz w:val="21"/>
                <w:szCs w:val="21"/>
                <w:u w:val="none"/>
              </w:rPr>
            </w:pPr>
          </w:p>
        </w:tc>
        <w:tc>
          <w:tcPr>
            <w:tcW w:w="10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63DF4F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C35548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771</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B20945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525</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9D8CF2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262</w:t>
            </w:r>
          </w:p>
        </w:tc>
        <w:tc>
          <w:tcPr>
            <w:tcW w:w="142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D9BD7E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84</w:t>
            </w:r>
          </w:p>
        </w:tc>
      </w:tr>
      <w:tr ns2:paraId="530FCD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813"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69FC243">
            <w:pPr>
              <w:jc w:val="center"/>
              <w:rPr>
                <w:rFonts w:hint="eastAsia" w:ascii="汉仪中宋简" w:hAnsi="汉仪中宋简" w:eastAsia="汉仪中宋简" w:cs="汉仪中宋简"/>
                <w:b/>
                <w:bCs/>
                <w:i w:val="0"/>
                <w:iCs w:val="0"/>
                <w:color w:val="000000"/>
                <w:sz w:val="21"/>
                <w:szCs w:val="21"/>
                <w:u w:val="none"/>
              </w:rPr>
            </w:pPr>
          </w:p>
        </w:tc>
        <w:tc>
          <w:tcPr>
            <w:tcW w:w="10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C10716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0A01A1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46.95%</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C08252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31.97%</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0A93EB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15.96%</w:t>
            </w:r>
          </w:p>
        </w:tc>
        <w:tc>
          <w:tcPr>
            <w:tcW w:w="142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C890DC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5.12%</w:t>
            </w:r>
          </w:p>
        </w:tc>
      </w:tr>
    </w:tbl>
    <w:p ns2:paraId="7A23ED7B">
      <w:pPr>
        <w:rPr>
          <w:rFonts w:hint="eastAsia" w:ascii="汉仪中宋简" w:hAnsi="汉仪中宋简" w:eastAsia="汉仪中宋简" w:cs="汉仪中宋简"/>
          <w:lang w:val="en-US" w:eastAsia="zh-CN"/>
        </w:rPr>
      </w:pPr>
    </w:p>
    <w:p ns2:paraId="5022CDFD">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剂量遵医嘱情况是影响高血压治疗效果的关键因素，擅自调整剂量易导致血压波动，增加心脑血管并发症风险。调研结果显示，46.95%的患者能够始终严格遵守医嘱用药，31.97%的患者大部分时间遵守、仅偶尔微调，两者合计占比78.92%，说明多数患者具备基本的规范用药意识。但仍有21.08%的患者存在不规范用药情况，其中15.96%的患者经常根据自身感觉调整剂量，5.12%的患者从未按规定剂量服用，这类行为可能导致血压控制不佳或出现不良反应，是后续用药指导干预的重点群体。​</w:t>
      </w:r>
    </w:p>
    <w:p ns2:paraId="2EA2B37B">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联合用药情况分析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978"/>
        <w:gridCol w:w="1403"/>
        <w:gridCol w:w="1403"/>
        <w:gridCol w:w="1548"/>
        <w:gridCol w:w="1258"/>
      </w:tblGrid>
      <w:tr ns2:paraId="32996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F303C4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8.您服用厄贝沙坦氢氯噻嗪片期间，是否同时服用其他降压药物？</w:t>
            </w:r>
          </w:p>
        </w:tc>
        <w:tc>
          <w:tcPr>
            <w:tcW w:w="97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C8440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0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04871D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A.同时服用 1 种其他降压药</w:t>
            </w:r>
          </w:p>
        </w:tc>
        <w:tc>
          <w:tcPr>
            <w:tcW w:w="140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A10D4ED">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B.同时服用 2 种及以上其他降压药</w:t>
            </w:r>
          </w:p>
        </w:tc>
        <w:tc>
          <w:tcPr>
            <w:tcW w:w="154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217FE39">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C.同时服用降压药及其他疾病治疗药物</w:t>
            </w:r>
          </w:p>
        </w:tc>
        <w:tc>
          <w:tcPr>
            <w:tcW w:w="125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CBCF2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D.仅服用该药物</w:t>
            </w:r>
          </w:p>
        </w:tc>
      </w:tr>
      <w:tr ns2:paraId="68E8A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38B876">
            <w:pPr>
              <w:jc w:val="center"/>
              <w:rPr>
                <w:rFonts w:hint="eastAsia" w:ascii="汉仪中宋简" w:hAnsi="汉仪中宋简" w:eastAsia="汉仪中宋简" w:cs="汉仪中宋简"/>
                <w:b/>
                <w:bCs/>
                <w:i w:val="0"/>
                <w:iCs w:val="0"/>
                <w:color w:val="000000"/>
                <w:sz w:val="21"/>
                <w:szCs w:val="21"/>
                <w:u w:val="none"/>
              </w:rPr>
            </w:pPr>
          </w:p>
        </w:tc>
        <w:tc>
          <w:tcPr>
            <w:tcW w:w="97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68AA94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0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8C7277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246</w:t>
            </w:r>
          </w:p>
        </w:tc>
        <w:tc>
          <w:tcPr>
            <w:tcW w:w="140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93ED2EE">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180</w:t>
            </w:r>
          </w:p>
        </w:tc>
        <w:tc>
          <w:tcPr>
            <w:tcW w:w="154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12F88E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410</w:t>
            </w:r>
          </w:p>
        </w:tc>
        <w:tc>
          <w:tcPr>
            <w:tcW w:w="125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11F76F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806</w:t>
            </w:r>
          </w:p>
        </w:tc>
      </w:tr>
      <w:tr ns2:paraId="79024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2D10F13">
            <w:pPr>
              <w:jc w:val="center"/>
              <w:rPr>
                <w:rFonts w:hint="eastAsia" w:ascii="汉仪中宋简" w:hAnsi="汉仪中宋简" w:eastAsia="汉仪中宋简" w:cs="汉仪中宋简"/>
                <w:b/>
                <w:bCs/>
                <w:i w:val="0"/>
                <w:iCs w:val="0"/>
                <w:color w:val="000000"/>
                <w:sz w:val="21"/>
                <w:szCs w:val="21"/>
                <w:u w:val="none"/>
              </w:rPr>
            </w:pPr>
          </w:p>
        </w:tc>
        <w:tc>
          <w:tcPr>
            <w:tcW w:w="97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DA2ECD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0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5D2EF81">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14.98%</w:t>
            </w:r>
          </w:p>
        </w:tc>
        <w:tc>
          <w:tcPr>
            <w:tcW w:w="140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2635368">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10.96%</w:t>
            </w:r>
          </w:p>
        </w:tc>
        <w:tc>
          <w:tcPr>
            <w:tcW w:w="154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282FC8F">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24.97%</w:t>
            </w:r>
          </w:p>
        </w:tc>
        <w:tc>
          <w:tcPr>
            <w:tcW w:w="125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0981D8">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49.09%</w:t>
            </w:r>
          </w:p>
        </w:tc>
      </w:tr>
    </w:tbl>
    <w:p ns2:paraId="756D313A">
      <w:pPr>
        <w:rPr>
          <w:rFonts w:hint="eastAsia" w:ascii="汉仪中宋简" w:hAnsi="汉仪中宋简" w:eastAsia="汉仪中宋简" w:cs="汉仪中宋简"/>
          <w:lang w:val="en-US" w:eastAsia="zh-CN"/>
        </w:rPr>
      </w:pPr>
    </w:p>
    <w:p ns2:paraId="020B70D7">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联合用药情况反映了患者病情复杂程度与药物适用范围。调研显示，49.09%的患者仅服用该药物即可实现血压控制，说明该药物对近半数高血压患者具备足够的降压效能，无需联合其他药物；14.98%的患者同时服用1种其他降压药，10.96%的患者同时服用2种及以上其他降压药，表明部分患者病情相对复杂，单一复方制剂无法满足降压需求；24.97%的患者同时服用降压药及其他疾病治疗药物，提示该部分患者可能合并糖尿病、冠心病等其他慢性疾病，用药方案需兼顾多疾病治疗需求，避免药物相互作用风险。</w:t>
      </w:r>
    </w:p>
    <w:p ns2:paraId="24B14632">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联合用药咨询情况分析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999"/>
        <w:gridCol w:w="1397"/>
        <w:gridCol w:w="1397"/>
        <w:gridCol w:w="1397"/>
        <w:gridCol w:w="1400"/>
      </w:tblGrid>
      <w:tr ns2:paraId="563C6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7BB59F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9.您是否咨询过医生，确认厄贝沙坦氢氯噻嗪片与其他药物可同时服用？</w:t>
            </w:r>
          </w:p>
        </w:tc>
        <w:tc>
          <w:tcPr>
            <w:tcW w:w="99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F3BD21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82AF121">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A.专门咨询过，确认无冲突</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B133FB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B.简单询问过，大致了解</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4B7028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C.没咨询过，但认为无问题</w:t>
            </w:r>
          </w:p>
        </w:tc>
        <w:tc>
          <w:tcPr>
            <w:tcW w:w="14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88A1E47">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D.没咨询过，不清楚是否有冲突</w:t>
            </w:r>
          </w:p>
        </w:tc>
      </w:tr>
      <w:tr ns2:paraId="6CE5E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3B23E40">
            <w:pPr>
              <w:jc w:val="center"/>
              <w:rPr>
                <w:rFonts w:hint="eastAsia" w:ascii="汉仪中宋简" w:hAnsi="汉仪中宋简" w:eastAsia="汉仪中宋简" w:cs="汉仪中宋简"/>
                <w:b/>
                <w:bCs/>
                <w:i w:val="0"/>
                <w:iCs w:val="0"/>
                <w:color w:val="000000"/>
                <w:sz w:val="21"/>
                <w:szCs w:val="21"/>
                <w:u w:val="none"/>
              </w:rPr>
            </w:pPr>
          </w:p>
        </w:tc>
        <w:tc>
          <w:tcPr>
            <w:tcW w:w="99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04F4A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C4FDD0D">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421</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F015C06">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415</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93E7444">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471</w:t>
            </w:r>
          </w:p>
        </w:tc>
        <w:tc>
          <w:tcPr>
            <w:tcW w:w="14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494A1DA">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335</w:t>
            </w:r>
          </w:p>
        </w:tc>
      </w:tr>
      <w:tr ns2:paraId="0D806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CCF6ED0">
            <w:pPr>
              <w:jc w:val="center"/>
              <w:rPr>
                <w:rFonts w:hint="eastAsia" w:ascii="汉仪中宋简" w:hAnsi="汉仪中宋简" w:eastAsia="汉仪中宋简" w:cs="汉仪中宋简"/>
                <w:b/>
                <w:bCs/>
                <w:i w:val="0"/>
                <w:iCs w:val="0"/>
                <w:color w:val="000000"/>
                <w:sz w:val="21"/>
                <w:szCs w:val="21"/>
                <w:u w:val="none"/>
              </w:rPr>
            </w:pPr>
          </w:p>
        </w:tc>
        <w:tc>
          <w:tcPr>
            <w:tcW w:w="99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265DD2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558B287">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25.64%</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D0B4067">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25.27%</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DF975E6">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28.68%</w:t>
            </w:r>
          </w:p>
        </w:tc>
        <w:tc>
          <w:tcPr>
            <w:tcW w:w="14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74D1E88">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20.41%</w:t>
            </w:r>
          </w:p>
        </w:tc>
      </w:tr>
    </w:tbl>
    <w:p ns2:paraId="4FB33A41">
      <w:pPr>
        <w:rPr>
          <w:rFonts w:hint="eastAsia" w:ascii="汉仪中宋简" w:hAnsi="汉仪中宋简" w:eastAsia="汉仪中宋简" w:cs="汉仪中宋简"/>
          <w:lang w:val="en-US" w:eastAsia="zh-CN"/>
        </w:rPr>
      </w:pPr>
    </w:p>
    <w:p ns2:paraId="4B5CE04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药物相互作用是联合用药安全的核心关注点，咨询医生是规避该风险的关键途径。调研结果显示，仅25.64%的患者专门咨询过医生并确认无冲突，25.27%的患者简单询问过并大致了解，两者合计仅50.91%的患者对联合用药安全性进行过主动确认。而28.68%的患者未咨询过但主观认为无问题，20.41%的患者未咨询过且不清楚是否存在冲突，近半数患者对药物相互作用的关注度不足，存在潜在用药安全隐患，需通过强化用药指导予以纠正。</w:t>
      </w:r>
    </w:p>
    <w:p ns2:paraId="74646D95">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血压监测频率分析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61"/>
        <w:gridCol w:w="1052"/>
        <w:gridCol w:w="1426"/>
        <w:gridCol w:w="1502"/>
        <w:gridCol w:w="1500"/>
        <w:gridCol w:w="1278"/>
      </w:tblGrid>
      <w:tr ns2:paraId="77D00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1307BB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11.您服用厄贝沙坦氢氯噻嗪片期间，是否定期监测血压？</w:t>
            </w:r>
          </w:p>
        </w:tc>
        <w:tc>
          <w:tcPr>
            <w:tcW w:w="105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E53C28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B8BCD8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A.每天监测，记录详细数据</w:t>
            </w:r>
          </w:p>
        </w:tc>
        <w:tc>
          <w:tcPr>
            <w:tcW w:w="150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DC4402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B.每周监测 2-3 次，了解大致情况</w:t>
            </w:r>
          </w:p>
        </w:tc>
        <w:tc>
          <w:tcPr>
            <w:tcW w:w="15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4B91EB9">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C.偶尔监测，无固定频率</w:t>
            </w:r>
          </w:p>
        </w:tc>
        <w:tc>
          <w:tcPr>
            <w:tcW w:w="127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C6411A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D.从未监测</w:t>
            </w:r>
          </w:p>
        </w:tc>
      </w:tr>
      <w:tr ns2:paraId="613F6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2191697">
            <w:pPr>
              <w:jc w:val="center"/>
              <w:rPr>
                <w:rFonts w:hint="eastAsia" w:ascii="汉仪中宋简" w:hAnsi="汉仪中宋简" w:eastAsia="汉仪中宋简" w:cs="汉仪中宋简"/>
                <w:b/>
                <w:bCs/>
                <w:i w:val="0"/>
                <w:iCs w:val="0"/>
                <w:color w:val="000000"/>
                <w:sz w:val="21"/>
                <w:szCs w:val="21"/>
                <w:u w:val="none"/>
              </w:rPr>
            </w:pPr>
          </w:p>
        </w:tc>
        <w:tc>
          <w:tcPr>
            <w:tcW w:w="105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36AE02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169A652">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410</w:t>
            </w:r>
          </w:p>
        </w:tc>
        <w:tc>
          <w:tcPr>
            <w:tcW w:w="150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F609813">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607</w:t>
            </w:r>
          </w:p>
        </w:tc>
        <w:tc>
          <w:tcPr>
            <w:tcW w:w="15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481E65A">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246</w:t>
            </w:r>
          </w:p>
        </w:tc>
        <w:tc>
          <w:tcPr>
            <w:tcW w:w="127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094C872">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379</w:t>
            </w:r>
          </w:p>
        </w:tc>
      </w:tr>
      <w:tr ns2:paraId="73A17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BEEE492">
            <w:pPr>
              <w:jc w:val="center"/>
              <w:rPr>
                <w:rFonts w:hint="eastAsia" w:ascii="汉仪中宋简" w:hAnsi="汉仪中宋简" w:eastAsia="汉仪中宋简" w:cs="汉仪中宋简"/>
                <w:b/>
                <w:bCs/>
                <w:i w:val="0"/>
                <w:iCs w:val="0"/>
                <w:color w:val="000000"/>
                <w:sz w:val="21"/>
                <w:szCs w:val="21"/>
                <w:u w:val="none"/>
              </w:rPr>
            </w:pPr>
          </w:p>
        </w:tc>
        <w:tc>
          <w:tcPr>
            <w:tcW w:w="105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387614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E3402D">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24.97%</w:t>
            </w:r>
          </w:p>
        </w:tc>
        <w:tc>
          <w:tcPr>
            <w:tcW w:w="150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79CC8D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36.97%</w:t>
            </w:r>
          </w:p>
        </w:tc>
        <w:tc>
          <w:tcPr>
            <w:tcW w:w="15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A518BD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14.98%</w:t>
            </w:r>
          </w:p>
        </w:tc>
        <w:tc>
          <w:tcPr>
            <w:tcW w:w="127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E1266F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23.08%</w:t>
            </w:r>
          </w:p>
        </w:tc>
      </w:tr>
    </w:tbl>
    <w:p ns2:paraId="131B88BA">
      <w:pPr>
        <w:rPr>
          <w:rFonts w:hint="eastAsia" w:ascii="汉仪中宋简" w:hAnsi="汉仪中宋简" w:eastAsia="汉仪中宋简" w:cs="汉仪中宋简"/>
          <w:lang w:val="en-US" w:eastAsia="zh-CN"/>
        </w:rPr>
      </w:pPr>
    </w:p>
    <w:p ns2:paraId="65C60A08">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定期监测血压是评估用药效果、及时调整治疗方案的重要依据。调研显示，24.97%的患者每天监测并记录详细数据，36.97%的患者每周监测2-3次以了解大致情况，两者合计61.94%的患者能够定期监测血压，为治疗方案优化提供了数据支撑。但仍有38.06%的患者监测频率不足，其中14.98%的患者偶尔监测、无固定频率，23.08%的患者从未监测，这类患者无法及时掌握血压控制情况，难以发现潜在的血压波动风险，不利于治疗方案的精准调整。</w:t>
      </w:r>
    </w:p>
    <w:p ns2:paraId="210ED651">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8" w:name="_Toc26585"/>
      <w:r>
        <w:rPr>
          <w:rFonts w:hint="eastAsia" w:ascii="汉仪中宋简" w:hAnsi="汉仪中宋简" w:eastAsia="汉仪中宋简" w:cs="汉仪中宋简"/>
          <w:lang w:val="en-US" w:eastAsia="zh-CN"/>
        </w:rPr>
        <w:t>4.4用药便利性</w:t>
      </w:r>
      <w:bookmarkEnd w:id="18"/>
    </w:p>
    <w:p ns2:paraId="590C4B7E">
      <w:pPr>
        <w:pStyle w:val="4"/>
        <w:keepNext/>
        <w:keepLines/>
        <w:pageBreakBefore w:val="0"/>
        <w:widowControl w:val="0"/>
        <w:numPr>
          <w:ilvl w:val="0"/>
          <w:numId w:val="5"/>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服药频率满意度分析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09"/>
        <w:gridCol w:w="929"/>
        <w:gridCol w:w="1519"/>
        <w:gridCol w:w="1519"/>
        <w:gridCol w:w="1519"/>
        <w:gridCol w:w="1522"/>
      </w:tblGrid>
      <w:tr ns2:paraId="2FF0F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3FA9A1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7.您对厄贝沙坦氢氯噻嗪片的服药频率满意度如何？</w:t>
            </w:r>
          </w:p>
        </w:tc>
        <w:tc>
          <w:tcPr>
            <w:tcW w:w="9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AFFE84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E531A4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A.频率很合适，按要求吃很轻松</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8DC7C7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B.频率还可以，没对生活造成困扰</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0DA630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C.频率稍微有点高，偶尔会记不清</w:t>
            </w:r>
          </w:p>
        </w:tc>
        <w:tc>
          <w:tcPr>
            <w:tcW w:w="152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E426A0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D.频率不太适应，想过调整一下</w:t>
            </w:r>
          </w:p>
        </w:tc>
      </w:tr>
      <w:tr ns2:paraId="5DD4E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3DE3481">
            <w:pPr>
              <w:jc w:val="center"/>
              <w:rPr>
                <w:rFonts w:hint="eastAsia" w:ascii="汉仪中宋简" w:hAnsi="汉仪中宋简" w:eastAsia="汉仪中宋简" w:cs="汉仪中宋简"/>
                <w:i w:val="0"/>
                <w:iCs w:val="0"/>
                <w:color w:val="000000"/>
                <w:sz w:val="20"/>
                <w:szCs w:val="20"/>
                <w:u w:val="none"/>
              </w:rPr>
            </w:pPr>
          </w:p>
        </w:tc>
        <w:tc>
          <w:tcPr>
            <w:tcW w:w="9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C6A1E2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6F5FE7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899</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E334D9F">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643</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2F4A9CB">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100</w:t>
            </w:r>
          </w:p>
        </w:tc>
        <w:tc>
          <w:tcPr>
            <w:tcW w:w="152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DDF4DB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0</w:t>
            </w:r>
          </w:p>
        </w:tc>
      </w:tr>
      <w:tr ns2:paraId="10C3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B25B9A">
            <w:pPr>
              <w:jc w:val="center"/>
              <w:rPr>
                <w:rFonts w:hint="eastAsia" w:ascii="汉仪中宋简" w:hAnsi="汉仪中宋简" w:eastAsia="汉仪中宋简" w:cs="汉仪中宋简"/>
                <w:i w:val="0"/>
                <w:iCs w:val="0"/>
                <w:color w:val="000000"/>
                <w:sz w:val="20"/>
                <w:szCs w:val="20"/>
                <w:u w:val="none"/>
              </w:rPr>
            </w:pPr>
          </w:p>
        </w:tc>
        <w:tc>
          <w:tcPr>
            <w:tcW w:w="9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753A51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0B4167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54.75%</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138937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39.16%</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5F6A9CA">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52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7A8DA9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3A81E758">
      <w:pPr>
        <w:rPr>
          <w:rFonts w:hint="eastAsia" w:ascii="汉仪中宋简" w:hAnsi="汉仪中宋简" w:eastAsia="汉仪中宋简" w:cs="汉仪中宋简"/>
          <w:lang w:val="en-US" w:eastAsia="zh-CN"/>
        </w:rPr>
      </w:pPr>
    </w:p>
    <w:p ns2:paraId="379417FC">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服药频率直接影响患者用药依从性，尤其对于需长期用药的高血压患者，科学的服药频率应与患者生活节奏相契合。调研结果显示，54.75%的患者认为服药频率很合适，能够轻松按要求服药，反馈该频率与自身作息安排高度适配，不会因服药打乱日常规划；39.16%的患者认为频率还可以，未对生活造成困扰，说明即使部分患者对服药频率有轻微感知，但未形成实际负担。两者合计占比93.91%，仅6.09%的患者认为频率稍高、偶尔记不清，无患者反馈无法适应，充分说明该药物的服药频率设计科学合理，符合绝大多数患者的生活习惯，能够有效提升用药依从性。</w:t>
      </w:r>
    </w:p>
    <w:p ns2:paraId="75165838">
      <w:pPr>
        <w:pStyle w:val="4"/>
        <w:keepNext/>
        <w:keepLines/>
        <w:pageBreakBefore w:val="0"/>
        <w:widowControl w:val="0"/>
        <w:numPr>
          <w:ilvl w:val="0"/>
          <w:numId w:val="5"/>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药品包装便利性分析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92"/>
        <w:gridCol w:w="951"/>
        <w:gridCol w:w="1493"/>
        <w:gridCol w:w="1493"/>
        <w:gridCol w:w="1493"/>
        <w:gridCol w:w="1495"/>
      </w:tblGrid>
      <w:tr ns2:paraId="4DA3B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DF85B5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12.您对厄贝沙坦氢氯噻嗪片药品包装的便利性评价如何？</w:t>
            </w:r>
          </w:p>
        </w:tc>
        <w:tc>
          <w:tcPr>
            <w:tcW w:w="951"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189332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57EB0F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A.储存、取用都方便</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E1F826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B.基本满足需求</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1E0D50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C.存在取用麻烦等问题</w:t>
            </w:r>
          </w:p>
        </w:tc>
        <w:tc>
          <w:tcPr>
            <w:tcW w:w="149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DA892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D.非常不便利，严重影响使用</w:t>
            </w:r>
          </w:p>
        </w:tc>
      </w:tr>
      <w:tr ns2:paraId="51478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37585F5">
            <w:pPr>
              <w:jc w:val="center"/>
              <w:rPr>
                <w:rFonts w:hint="eastAsia" w:ascii="汉仪中宋简" w:hAnsi="汉仪中宋简" w:eastAsia="汉仪中宋简" w:cs="汉仪中宋简"/>
                <w:i w:val="0"/>
                <w:iCs w:val="0"/>
                <w:color w:val="000000"/>
                <w:sz w:val="20"/>
                <w:szCs w:val="20"/>
                <w:u w:val="none"/>
              </w:rPr>
            </w:pPr>
          </w:p>
        </w:tc>
        <w:tc>
          <w:tcPr>
            <w:tcW w:w="951"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5E23B6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D56AE2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748</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998BC3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794</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48E083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100</w:t>
            </w:r>
          </w:p>
        </w:tc>
        <w:tc>
          <w:tcPr>
            <w:tcW w:w="149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196A03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0</w:t>
            </w:r>
          </w:p>
        </w:tc>
      </w:tr>
      <w:tr ns2:paraId="15767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55A41D4">
            <w:pPr>
              <w:jc w:val="center"/>
              <w:rPr>
                <w:rFonts w:hint="eastAsia" w:ascii="汉仪中宋简" w:hAnsi="汉仪中宋简" w:eastAsia="汉仪中宋简" w:cs="汉仪中宋简"/>
                <w:i w:val="0"/>
                <w:iCs w:val="0"/>
                <w:color w:val="000000"/>
                <w:sz w:val="20"/>
                <w:szCs w:val="20"/>
                <w:u w:val="none"/>
              </w:rPr>
            </w:pPr>
          </w:p>
        </w:tc>
        <w:tc>
          <w:tcPr>
            <w:tcW w:w="951"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FB4097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D697EA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45.55%</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0B7D2F2">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48.36%</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D985BB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49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3F6AAB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4095A103">
      <w:pPr>
        <w:rPr>
          <w:rFonts w:hint="eastAsia" w:ascii="汉仪中宋简" w:hAnsi="汉仪中宋简" w:eastAsia="汉仪中宋简" w:cs="汉仪中宋简"/>
          <w:sz w:val="24"/>
          <w:szCs w:val="32"/>
          <w:lang w:val="en-US" w:eastAsia="zh-CN"/>
        </w:rPr>
      </w:pPr>
    </w:p>
    <w:p ns2:paraId="55A08AEF">
      <w:pPr>
        <w:keepNext w:val="0"/>
        <w:keepLines w:val="0"/>
        <w:pageBreakBefore w:val="0"/>
        <w:widowControl w:val="0"/>
        <w:kinsoku/>
        <w:wordWrap/>
        <w:overflowPunct/>
        <w:topLinePunct w:val="0"/>
        <w:autoSpaceDE/>
        <w:autoSpaceDN/>
        <w:bidi w:val="0"/>
        <w:adjustRightInd/>
        <w:snapToGrid/>
        <w:spacing w:line="600" w:lineRule="auto"/>
        <w:ind w:firstLine="420"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sz w:val="24"/>
          <w:szCs w:val="32"/>
          <w:lang w:val="en-US" w:eastAsia="zh-CN"/>
        </w:rPr>
        <w:t>药品包装的便利性直接影响患者日常取用与外出携带体验，是用药便利性的重要组成部分。调研显示，45.55%的患者认为包装储存、取用都方便，反馈包装设计人性化，无论是居家储存还是外出携带都便捷高效，取用过程无需复杂操作；48.36%的患者认为包装基本满足需求，说明包装核心功能完备，能够覆盖日常用药的基础需求，虽无突出亮点，但未存在明显缺陷。两者合计占比93.91%，仅6.09%的患者认为存在取用麻烦问题，无患者反馈严重不便利，表明该药物包装设计符合大众使用习惯，为患者长期用药提供了便利保障。</w:t>
      </w:r>
    </w:p>
    <w:p ns2:paraId="597E3376">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9" w:name="_Toc24377"/>
      <w:r>
        <w:rPr>
          <w:rFonts w:hint="eastAsia" w:ascii="汉仪中宋简" w:hAnsi="汉仪中宋简" w:eastAsia="汉仪中宋简" w:cs="汉仪中宋简"/>
          <w:lang w:val="en-US" w:eastAsia="zh-CN"/>
        </w:rPr>
        <w:t>4.5药品经济性</w:t>
      </w:r>
      <w:bookmarkEnd w:id="19"/>
    </w:p>
    <w:p ns2:paraId="48960627">
      <w:pPr>
        <w:pStyle w:val="4"/>
        <w:keepNext/>
        <w:keepLines/>
        <w:pageBreakBefore w:val="0"/>
        <w:widowControl w:val="0"/>
        <w:numPr>
          <w:ilvl w:val="0"/>
          <w:numId w:val="6"/>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价格负担影响分析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93"/>
        <w:gridCol w:w="1437"/>
        <w:gridCol w:w="1367"/>
        <w:gridCol w:w="1367"/>
        <w:gridCol w:w="1367"/>
        <w:gridCol w:w="1367"/>
      </w:tblGrid>
      <w:tr ns2:paraId="22DC0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54C5ED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5.您认为厄贝沙坦氢氯噻嗪片的价格对您的用药负担影响如何？</w:t>
            </w:r>
          </w:p>
        </w:tc>
        <w:tc>
          <w:tcPr>
            <w:tcW w:w="143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5BB9BC0">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26E0E5E">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A.难以承受</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73750A">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B.勉强承受</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A196D7">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C.在可接受范围</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837C00A">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D.无压力</w:t>
            </w:r>
          </w:p>
        </w:tc>
      </w:tr>
      <w:tr ns2:paraId="014E1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85EA96B">
            <w:pPr>
              <w:jc w:val="center"/>
              <w:rPr>
                <w:rFonts w:hint="eastAsia" w:ascii="汉仪中宋简" w:hAnsi="汉仪中宋简" w:eastAsia="汉仪中宋简" w:cs="汉仪中宋简"/>
                <w:b/>
                <w:bCs/>
                <w:i w:val="0"/>
                <w:iCs w:val="0"/>
                <w:color w:val="000000"/>
                <w:sz w:val="21"/>
                <w:szCs w:val="21"/>
                <w:u w:val="none"/>
              </w:rPr>
            </w:pPr>
          </w:p>
        </w:tc>
        <w:tc>
          <w:tcPr>
            <w:tcW w:w="143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1321481">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1194D37">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0</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3DAA08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56</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2DF4FE4">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819</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03ADE77">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767</w:t>
            </w:r>
          </w:p>
        </w:tc>
      </w:tr>
      <w:tr ns2:paraId="36AFC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B903C86">
            <w:pPr>
              <w:jc w:val="center"/>
              <w:rPr>
                <w:rFonts w:hint="eastAsia" w:ascii="汉仪中宋简" w:hAnsi="汉仪中宋简" w:eastAsia="汉仪中宋简" w:cs="汉仪中宋简"/>
                <w:b/>
                <w:bCs/>
                <w:i w:val="0"/>
                <w:iCs w:val="0"/>
                <w:color w:val="000000"/>
                <w:sz w:val="21"/>
                <w:szCs w:val="21"/>
                <w:u w:val="none"/>
              </w:rPr>
            </w:pPr>
          </w:p>
        </w:tc>
        <w:tc>
          <w:tcPr>
            <w:tcW w:w="143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DA5CDC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55047D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0.00%</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940DCE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3.41%</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87D2D3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49.88%</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104F41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46.71%</w:t>
            </w:r>
          </w:p>
        </w:tc>
      </w:tr>
    </w:tbl>
    <w:p ns2:paraId="0D7C2D97">
      <w:pPr>
        <w:rPr>
          <w:rFonts w:hint="eastAsia" w:ascii="汉仪中宋简" w:hAnsi="汉仪中宋简" w:eastAsia="汉仪中宋简" w:cs="汉仪中宋简"/>
          <w:lang w:val="en-US" w:eastAsia="zh-CN"/>
        </w:rPr>
      </w:pPr>
    </w:p>
    <w:p ns2:paraId="4EA4F767">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经济性是影响高血压患者长期用药依从性的核心因素之一，尤其对于需终身服药的患者，合理的药品价格是保障治疗连续性的关键。本次调研结果显示，患者对该药物价格的接受度极高，96.59%的患者认为价格在可承受范围内或无压力，充分印证了该药物价格定位的合理性与亲民性。其中，46.71%的患者明确表示价格无压力，该部分患者无论是经济收入水平较高，还是认可药物价格与治疗价值的匹配度，均未因价格产生用药顾虑，能够保障长期规律购药；49.88%的患者认为价格在可接受范围，说明该药物价格虽可能对其日常开支产生轻微影响，但影响程度完全在可承受边界内，不会因此中断治疗。值得注意的是，仅3.41%的患者认为价格勉强承受，无患者反馈难以承受，该部分患者大概率属于低收入群体或需同时承担多种慢性疾病用药费用，整体占比极低，说明药物价格未对多数患者的用药可及性造成阻碍。从长期治疗视角来看，合理的价格定位有效降低了患者的长期用药负担，为提升整体治疗依从性、实现血压长期控制提供了重要支撑，也为后续是否需要针对特殊困难群体推出医保倾斜政策提供了精准的数据参考。</w:t>
      </w:r>
    </w:p>
    <w:p ns2:paraId="07DCD09F">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20" w:name="_Toc8285"/>
      <w:r>
        <w:rPr>
          <w:rFonts w:hint="eastAsia" w:ascii="汉仪中宋简" w:hAnsi="汉仪中宋简" w:eastAsia="汉仪中宋简" w:cs="汉仪中宋简"/>
          <w:lang w:val="en-US" w:eastAsia="zh-CN"/>
        </w:rPr>
        <w:t>4.6药品可及性</w:t>
      </w:r>
      <w:bookmarkEnd w:id="20"/>
    </w:p>
    <w:p ns2:paraId="4705B5D2">
      <w:pPr>
        <w:pStyle w:val="4"/>
        <w:keepNext/>
        <w:keepLines/>
        <w:pageBreakBefore w:val="0"/>
        <w:widowControl w:val="0"/>
        <w:numPr>
          <w:ilvl w:val="0"/>
          <w:numId w:val="7"/>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药品供应稳定性分析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34"/>
        <w:gridCol w:w="969"/>
        <w:gridCol w:w="1575"/>
        <w:gridCol w:w="1440"/>
        <w:gridCol w:w="1440"/>
        <w:gridCol w:w="1440"/>
      </w:tblGrid>
      <w:tr ns2:paraId="02A876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67" w:hRule="atLeast"/>
        </w:trPr>
        <w:tc>
          <w:tcPr>
            <w:tcW w:w="1834"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0D4155F">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10.您所在地区的厄贝沙坦氢氯噻嗪片供应是否稳定？</w:t>
            </w:r>
          </w:p>
        </w:tc>
        <w:tc>
          <w:tcPr>
            <w:tcW w:w="96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024700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57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A29FED">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A.随时能买到</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E8F41A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B.偶尔缺货但不影响用药</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610E6F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C.经常缺货</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AF67FB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D.严重影响用药</w:t>
            </w:r>
          </w:p>
        </w:tc>
      </w:tr>
      <w:tr ns2:paraId="60F99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34"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2DA3E33">
            <w:pPr>
              <w:jc w:val="center"/>
              <w:rPr>
                <w:rFonts w:hint="eastAsia" w:ascii="汉仪中宋简" w:hAnsi="汉仪中宋简" w:eastAsia="汉仪中宋简" w:cs="汉仪中宋简"/>
                <w:b/>
                <w:bCs/>
                <w:i w:val="0"/>
                <w:iCs w:val="0"/>
                <w:color w:val="000000"/>
                <w:sz w:val="21"/>
                <w:szCs w:val="21"/>
                <w:u w:val="none"/>
              </w:rPr>
            </w:pPr>
          </w:p>
        </w:tc>
        <w:tc>
          <w:tcPr>
            <w:tcW w:w="96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D55144B">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57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F52E845">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1138</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FEEC11B">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504</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0501062">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935DBDA">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r>
      <w:tr ns2:paraId="16862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34"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D765746">
            <w:pPr>
              <w:jc w:val="center"/>
              <w:rPr>
                <w:rFonts w:hint="eastAsia" w:ascii="汉仪中宋简" w:hAnsi="汉仪中宋简" w:eastAsia="汉仪中宋简" w:cs="汉仪中宋简"/>
                <w:b/>
                <w:bCs/>
                <w:i w:val="0"/>
                <w:iCs w:val="0"/>
                <w:color w:val="000000"/>
                <w:sz w:val="21"/>
                <w:szCs w:val="21"/>
                <w:u w:val="none"/>
              </w:rPr>
            </w:pPr>
          </w:p>
        </w:tc>
        <w:tc>
          <w:tcPr>
            <w:tcW w:w="96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5268F10">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57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129FAC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69.31%</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29DBA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30.69%</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04AE41C">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760A08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r>
    </w:tbl>
    <w:p ns2:paraId="0453E8DB">
      <w:pPr>
        <w:rPr>
          <w:rFonts w:hint="eastAsia" w:ascii="汉仪中宋简" w:hAnsi="汉仪中宋简" w:eastAsia="汉仪中宋简" w:cs="汉仪中宋简"/>
          <w:lang w:val="en-US" w:eastAsia="zh-CN"/>
        </w:rPr>
      </w:pPr>
    </w:p>
    <w:p ns2:paraId="41CBA2BB">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供应稳定性是保障高血压患者长期规律治疗的前提，断药可能导致血压反弹，增加心脑血管并发症风险。本次调研显示，100%的患者用药供应得到有效保障，无患者因缺货影响治疗。具体来看，69.31%的患者表示随时能买到该药物，反映出其所在地区药品流通渠道畅通，医院药房、连锁药店、线上平台等多渠道均能稳定供应，充分满足日常用药需求；30.69%的患者表示偶尔缺货但不影响用药，说明该部分地区可能存在短期的供应链波动，但患者可通过提前储备药品、更换购药渠道等方式规避影响，未对治疗连续性造成实质干扰。无患者反馈经常缺货或严重影响用药，充分体现了该药物的供应保障体系完善，制药企业生产产能规划合理，药品流通环节管理规范，能够精准匹配不同地区患者的用药需求。​</w:t>
      </w:r>
    </w:p>
    <w:p ns2:paraId="04889787">
      <w:pPr>
        <w:pStyle w:val="3"/>
        <w:pageBreakBefore w:val="0"/>
        <w:kinsoku/>
        <w:wordWrap/>
        <w:overflowPunct/>
        <w:topLinePunct w:val="0"/>
        <w:autoSpaceDE/>
        <w:autoSpaceDN/>
        <w:bidi w:val="0"/>
        <w:adjustRightInd/>
        <w:snapToGrid/>
        <w:spacing w:line="480" w:lineRule="auto"/>
        <w:rPr>
          <w:rFonts w:hint="eastAsia"/>
          <w:lang w:val="en-US" w:eastAsia="zh-CN"/>
        </w:rPr>
      </w:pPr>
      <w:bookmarkStart w:id="21" w:name="_Toc1050"/>
      <w:r>
        <w:rPr>
          <w:rFonts w:hint="eastAsia" w:ascii="汉仪中宋简" w:hAnsi="汉仪中宋简" w:eastAsia="汉仪中宋简" w:cs="汉仪中宋简"/>
          <w:lang w:val="en-US" w:eastAsia="zh-CN"/>
        </w:rPr>
        <w:t>4.7用药指导信息评价</w:t>
      </w:r>
      <w:bookmarkEnd w:id="21"/>
    </w:p>
    <w:p ns2:paraId="11EE232C">
      <w:pPr>
        <w:pStyle w:val="4"/>
        <w:keepNext/>
        <w:keepLines/>
        <w:pageBreakBefore w:val="0"/>
        <w:widowControl w:val="0"/>
        <w:numPr>
          <w:ilvl w:val="0"/>
          <w:numId w:val="8"/>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说明书信息清晰度分析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49"/>
        <w:gridCol w:w="979"/>
        <w:gridCol w:w="1397"/>
        <w:gridCol w:w="1397"/>
        <w:gridCol w:w="1397"/>
        <w:gridCol w:w="1398"/>
      </w:tblGrid>
      <w:tr ns2:paraId="24759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F43C8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13.您对厄贝沙坦氢氯噻嗪片说明书中 “用法用量”“不良反应” 的标注清晰度评价如何？</w:t>
            </w:r>
          </w:p>
        </w:tc>
        <w:tc>
          <w:tcPr>
            <w:tcW w:w="97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EF8C92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852641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A.一目了然</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720020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B.容易理解</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53559B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C.部分内容不够明确</w:t>
            </w:r>
          </w:p>
        </w:tc>
        <w:tc>
          <w:tcPr>
            <w:tcW w:w="139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748A8C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D.难以分辨</w:t>
            </w:r>
          </w:p>
        </w:tc>
      </w:tr>
      <w:tr ns2:paraId="109D96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AB13150">
            <w:pPr>
              <w:jc w:val="center"/>
              <w:rPr>
                <w:rFonts w:hint="eastAsia" w:ascii="汉仪中宋简" w:hAnsi="汉仪中宋简" w:eastAsia="汉仪中宋简" w:cs="汉仪中宋简"/>
                <w:i w:val="0"/>
                <w:iCs w:val="0"/>
                <w:color w:val="000000"/>
                <w:sz w:val="20"/>
                <w:szCs w:val="20"/>
                <w:u w:val="none"/>
              </w:rPr>
            </w:pPr>
          </w:p>
        </w:tc>
        <w:tc>
          <w:tcPr>
            <w:tcW w:w="97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77405A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9814BE8">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827</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06601A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715</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07C92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100</w:t>
            </w:r>
          </w:p>
        </w:tc>
        <w:tc>
          <w:tcPr>
            <w:tcW w:w="139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83B57E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0</w:t>
            </w:r>
          </w:p>
        </w:tc>
      </w:tr>
      <w:tr ns2:paraId="05DD7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FB7945C">
            <w:pPr>
              <w:jc w:val="center"/>
              <w:rPr>
                <w:rFonts w:hint="eastAsia" w:ascii="汉仪中宋简" w:hAnsi="汉仪中宋简" w:eastAsia="汉仪中宋简" w:cs="汉仪中宋简"/>
                <w:i w:val="0"/>
                <w:iCs w:val="0"/>
                <w:color w:val="000000"/>
                <w:sz w:val="20"/>
                <w:szCs w:val="20"/>
                <w:u w:val="none"/>
              </w:rPr>
            </w:pPr>
          </w:p>
        </w:tc>
        <w:tc>
          <w:tcPr>
            <w:tcW w:w="97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DFD98A8">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56B5B72">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50.37%</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2FBDC53">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43.54%</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195E85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39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DF50BEB">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04453DAE">
      <w:pPr>
        <w:rPr>
          <w:rFonts w:hint="eastAsia" w:ascii="汉仪中宋简" w:hAnsi="汉仪中宋简" w:eastAsia="汉仪中宋简" w:cs="汉仪中宋简"/>
          <w:lang w:val="en-US" w:eastAsia="zh-CN"/>
        </w:rPr>
      </w:pPr>
    </w:p>
    <w:p ns2:paraId="73E1EAED">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药品说明书是患者获取用药信息的核心载体，其清晰度直接影响患者用药安全性。调研结果显示，50.37%的患者认为说明书中“用法用量”“不良反应”等关键信息一目了然，反馈说明书语言表述通俗易懂、排版逻辑清晰，能够快速定位并理解核心用药信息，无需借助专业知识；43.54%的患者认为容易理解，说明即使部分患者对少数专业术语存在轻微困惑，但结合上下文或简单思考后仍能准确把握核心内容。两者合计占比93.91%，仅6.09%的患者认为部分内容不够明确，无患者反馈难以分辨，表明说明书的信息呈现方式符合大众认知习惯，信息传递效率高，能够为患者安全用药提供基础指导。​</w:t>
      </w:r>
    </w:p>
    <w:p ns2:paraId="79F7EE2D">
      <w:pPr>
        <w:pStyle w:val="4"/>
        <w:keepNext/>
        <w:keepLines/>
        <w:pageBreakBefore w:val="0"/>
        <w:widowControl w:val="0"/>
        <w:numPr>
          <w:ilvl w:val="0"/>
          <w:numId w:val="8"/>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用药指导详细准确性分析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92"/>
        <w:gridCol w:w="982"/>
        <w:gridCol w:w="1485"/>
        <w:gridCol w:w="1485"/>
        <w:gridCol w:w="1485"/>
        <w:gridCol w:w="1488"/>
      </w:tblGrid>
      <w:tr ns2:paraId="48A9C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A9A3C9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14.您认为当前获取的用药指导是否足够详细准确？</w:t>
            </w:r>
          </w:p>
        </w:tc>
        <w:tc>
          <w:tcPr>
            <w:tcW w:w="98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77CDD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BB40ED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A.非常详细准确，能解决所有疑问</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82938E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B.比较详细准确，能解决大部分疑问</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130A1D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C.一般，部分疑问无法解答</w:t>
            </w:r>
          </w:p>
        </w:tc>
        <w:tc>
          <w:tcPr>
            <w:tcW w:w="148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4CB17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D.不够详细准确，存在很多困惑</w:t>
            </w:r>
          </w:p>
        </w:tc>
      </w:tr>
      <w:tr ns2:paraId="2C27C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35C9E8B">
            <w:pPr>
              <w:jc w:val="center"/>
              <w:rPr>
                <w:rFonts w:hint="eastAsia" w:ascii="汉仪中宋简" w:hAnsi="汉仪中宋简" w:eastAsia="汉仪中宋简" w:cs="汉仪中宋简"/>
                <w:i w:val="0"/>
                <w:iCs w:val="0"/>
                <w:color w:val="000000"/>
                <w:sz w:val="20"/>
                <w:szCs w:val="20"/>
                <w:u w:val="none"/>
              </w:rPr>
            </w:pPr>
          </w:p>
        </w:tc>
        <w:tc>
          <w:tcPr>
            <w:tcW w:w="98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679FA8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515069A">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817</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EF142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725</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CD03AC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100</w:t>
            </w:r>
          </w:p>
        </w:tc>
        <w:tc>
          <w:tcPr>
            <w:tcW w:w="148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FDC580E">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0</w:t>
            </w:r>
          </w:p>
        </w:tc>
      </w:tr>
      <w:tr ns2:paraId="16478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FA9030D">
            <w:pPr>
              <w:jc w:val="center"/>
              <w:rPr>
                <w:rFonts w:hint="eastAsia" w:ascii="汉仪中宋简" w:hAnsi="汉仪中宋简" w:eastAsia="汉仪中宋简" w:cs="汉仪中宋简"/>
                <w:i w:val="0"/>
                <w:iCs w:val="0"/>
                <w:color w:val="000000"/>
                <w:sz w:val="20"/>
                <w:szCs w:val="20"/>
                <w:u w:val="none"/>
              </w:rPr>
            </w:pPr>
          </w:p>
        </w:tc>
        <w:tc>
          <w:tcPr>
            <w:tcW w:w="98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FE33FF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37BD82C">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49.76%</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A8F15A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44.15%</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9F2ED03">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48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3FE445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63D4734D">
      <w:pPr>
        <w:rPr>
          <w:rFonts w:hint="eastAsia" w:ascii="汉仪中宋简" w:hAnsi="汉仪中宋简" w:eastAsia="汉仪中宋简" w:cs="汉仪中宋简"/>
          <w:sz w:val="24"/>
          <w:szCs w:val="32"/>
          <w:lang w:val="en-US" w:eastAsia="zh-CN"/>
        </w:rPr>
      </w:pPr>
    </w:p>
    <w:p ns2:paraId="71D7FAEB">
      <w:pPr>
        <w:keepNext w:val="0"/>
        <w:keepLines w:val="0"/>
        <w:pageBreakBefore w:val="0"/>
        <w:widowControl w:val="0"/>
        <w:kinsoku/>
        <w:wordWrap/>
        <w:overflowPunct/>
        <w:topLinePunct w:val="0"/>
        <w:autoSpaceDE/>
        <w:autoSpaceDN/>
        <w:bidi w:val="0"/>
        <w:adjustRightInd/>
        <w:snapToGrid/>
        <w:spacing w:line="600" w:lineRule="auto"/>
        <w:ind w:firstLine="420"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sz w:val="24"/>
          <w:szCs w:val="32"/>
          <w:lang w:val="en-US" w:eastAsia="zh-CN"/>
        </w:rPr>
        <w:t>专业的用药指导是保障患者安全用药的重要支撑，其详细准确性直接影响用药效果与安全性。调研显示，49.76%的患者认为当前获取的用药指导非常详细准确，能够解决所有用药疑问，说明医疗机构、药店等渠道提供的用药指导服务专业且全面，涵盖了服药时间、注意事项、不良反应应对措施等关键内容；44.15%的患者认为指导比较详细准确，能够解决大部分疑问，说明指导服务基本满足核心用药需求，仅存在少量细节问题未完全覆盖。两者合计占比93.91%，仅6.09%的患者认为部分疑问无法解答，整体反映出当前用药指导服务体系较为完善，能够为患者安全用药提供有效支撑。</w:t>
      </w:r>
    </w:p>
    <w:p ns2:paraId="4E07A1E7">
      <w:pPr>
        <w:pStyle w:val="3"/>
        <w:keepNext/>
        <w:keepLines/>
        <w:pageBreakBefore w:val="0"/>
        <w:widowControl w:val="0"/>
        <w:numPr>
          <w:ilvl w:val="0"/>
          <w:numId w:val="1"/>
        </w:numPr>
        <w:kinsoku/>
        <w:wordWrap/>
        <w:overflowPunct/>
        <w:topLinePunct w:val="0"/>
        <w:autoSpaceDE/>
        <w:autoSpaceDN/>
        <w:bidi w:val="0"/>
        <w:adjustRightInd/>
        <w:snapToGrid/>
        <w:spacing w:line="720" w:lineRule="auto"/>
        <w:textAlignment w:val="auto"/>
        <w:outlineLvl w:val="0"/>
        <w:rPr>
          <w:rFonts w:hint="eastAsia" w:ascii="汉仪中宋简" w:hAnsi="汉仪中宋简" w:eastAsia="汉仪中宋简" w:cs="汉仪中宋简"/>
          <w:b/>
          <w:lang w:val="en-US" w:eastAsia="zh-CN"/>
        </w:rPr>
      </w:pPr>
      <w:bookmarkStart w:id="22" w:name="_Toc19608"/>
      <w:bookmarkStart w:id="30" w:name="_GoBack"/>
      <w:bookmarkEnd w:id="30"/>
      <w:r>
        <w:rPr>
          <w:rFonts w:hint="eastAsia" w:ascii="汉仪中宋简" w:hAnsi="汉仪中宋简" w:eastAsia="汉仪中宋简" w:cs="汉仪中宋简"/>
          <w:b/>
          <w:lang w:val="en-US" w:eastAsia="zh-CN"/>
        </w:rPr>
        <w:t>调研结果</w:t>
      </w:r>
      <w:bookmarkEnd w:id="22"/>
    </w:p>
    <w:p ns2:paraId="038E1764">
      <w:pPr>
        <w:pStyle w:val="3"/>
        <w:bidi w:val="0"/>
        <w:rPr>
          <w:rFonts w:hint="eastAsia" w:ascii="汉仪中宋简" w:hAnsi="汉仪中宋简" w:eastAsia="汉仪中宋简" w:cs="汉仪中宋简"/>
          <w:lang w:val="en-US" w:eastAsia="zh-CN"/>
        </w:rPr>
      </w:pPr>
      <w:bookmarkStart w:id="23" w:name="_Toc7275"/>
      <w:r>
        <w:rPr>
          <w:rFonts w:hint="eastAsia" w:ascii="汉仪中宋简" w:hAnsi="汉仪中宋简" w:eastAsia="汉仪中宋简" w:cs="汉仪中宋简"/>
          <w:lang w:val="en-US" w:eastAsia="zh-CN"/>
        </w:rPr>
        <w:t>5.1问卷重点问题分析</w:t>
      </w:r>
      <w:bookmarkEnd w:id="23"/>
    </w:p>
    <w:p ns2:paraId="435FF72E">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药品疗效与经济性是影响高血压患者长期治疗依从性和疾病控制效果的核心维度，两者并非孤立存在，而是存在显著的协同关联。结合本次调研核心数据，对两个维度开展交叉联合分析，结果如下：</w:t>
      </w:r>
    </w:p>
    <w:p ns2:paraId="02310A52">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从数据交叉关联来看，在血压控制达标（即选择A“血压稳定在正常范围”+B“血压多数时间在正常范围”）的1542名患者中，96.82%（1493/1542）的患者同时认可药品价格合理性（选择C“在可接受范围”+D“无压力”），仅有3.18%（49/1542）的患者认为价格勉强承受；而在血压偶尔波动）的100名患者中，虽有92%（92/100）的患者认可价格合理性，但价格勉强承受的比例为8%（8/100），显著高于血压控制达标群体。这一数据差异清晰揭示了疗效与经济性的正向协同关系。</w:t>
      </w:r>
    </w:p>
    <w:p ns2:paraId="100136A4">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从临床治疗逻辑来看，这种协同关系形成了“经济可及-规律用药-疗效稳固”的良性循环：一方面，该药物96.59%的高价格接受度，大幅降低了患者长期购药的经济压力，使其能够持续规律服药，避免因经济负担中断治疗，为药物疗效的充分发挥提供了前提保障；另一方面，93.91%的高血压控制达标率，让患者切实感知到药物的治疗价值，进一步强化了对“价格-治疗价值”匹配度的认可，反向提升了其长期用药的意愿。反之，血压偶尔波动群体中更高的价格勉强承受比例也提示，经济压力可能是影响该部分患者用药连续性的潜在因素，进而间接影响血压控制效果。</w:t>
      </w:r>
    </w:p>
    <w:p ns2:paraId="7E5CDE5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此外，无患者反馈血压持续失控，也无患者反馈价格难以承受，这一“双零”结果进一步印证了该药物在疗效可靠性与价格亲民性上的均衡优势，能够同时满足患者“能降压”的核心治疗需求和“用得起”的经济需求，为高血压长期规范管理提供了双重核心支撑。</w:t>
      </w:r>
    </w:p>
    <w:p ns2:paraId="472857A5">
      <w:pPr>
        <w:pStyle w:val="3"/>
        <w:bidi w:val="0"/>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bookmarkStart w:id="24" w:name="_Toc25533"/>
      <w:r>
        <w:rPr>
          <w:rFonts w:hint="eastAsia" w:ascii="汉仪中宋简" w:hAnsi="汉仪中宋简" w:eastAsia="汉仪中宋简" w:cs="汉仪中宋简"/>
          <w:highlight w:val="none"/>
          <w:lang w:val="en-US" w:eastAsia="zh-CN"/>
        </w:rPr>
        <w:t>5.2调研结果分析</w:t>
      </w:r>
      <w:bookmarkEnd w:id="24"/>
    </w:p>
    <w:p ns2:paraId="40A1FD76">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本次调研基于1642份有效问卷，系统分析了厄贝沙坦氢氯噻嗪片在临床应用中的疗效、安全性、用药体验等核心维度，整体呈现“核心优势突出、细节有待优化”的特征，其中药品疗效与经济性的优势尤为显著。</w:t>
      </w:r>
    </w:p>
    <w:p ns2:paraId="54DB6C37">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bCs/>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bCs/>
          <w:color w:val="000000" w:themeColor="text1"/>
          <w:kern w:val="2"/>
          <w:sz w:val="24"/>
          <w:szCs w:val="24"/>
          <w:highlight w:val="none"/>
          <w:lang w:val="en-US" w:eastAsia="zh-CN" w:bidi="ar-SA"/>
          <ns2:textFill>
            <ns2:solidFill>
              <ns2:schemeClr ns2:val="tx1"/>
            </ns2:solidFill>
          </ns2:textFill>
        </w:rPr>
        <w:t>1. 核心优势：</w:t>
      </w: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一是疗效可靠稳定，作为核心治疗指标，血压控制达标率高达93.91%，近半数患者实现血压稳定控制，超四成患者血压多数时间处于正常范围，无患者反馈血压持续失控，充分验证了该复方制剂的临床降压价值；二是安全性良好，头晕头痛、口渴多尿等典型不良反应发生率均仅为6.09%，且症状轻微可耐受，近九成半患者无明显不适，未出现严重不良反应，为长期用药筑牢安全基础；三是经济性亲民，96.59%的患者认为药品价格在可承受范围或无压力，无患者反馈价格难以承受，合理的价格定位有效降低了长期用药负担，提升了治疗依从性；四是用药便利性与可及性佳，超九成患者对服药频率满意，近九成四患者认可药品包装便利性，且100%患者的用药供应得到保障，无因缺货影响治疗的情况；五是用药指导体系完善，超九成患者认可用药指导的详细准确性，说明书关键信息清晰度符合大众认知需求</w:t>
      </w:r>
      <w:r>
        <w:rPr>
          <w:rFonts w:hint="eastAsia" w:ascii="汉仪中宋简" w:hAnsi="汉仪中宋简" w:eastAsia="汉仪中宋简" w:cs="汉仪中宋简"/>
          <w:b/>
          <w:bCs/>
          <w:color w:val="000000" w:themeColor="text1"/>
          <w:kern w:val="2"/>
          <w:sz w:val="24"/>
          <w:szCs w:val="24"/>
          <w:highlight w:val="none"/>
          <w:lang w:val="en-US" w:eastAsia="zh-CN" w:bidi="ar-SA"/>
          <ns2:textFill>
            <ns2:solidFill>
              <ns2:schemeClr ns2:val="tx1"/>
            </ns2:solidFill>
          </ns2:textFill>
        </w:rPr>
        <w:t>。</w:t>
      </w:r>
    </w:p>
    <w:p ns2:paraId="5D03F8F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bCs/>
          <w:color w:val="000000" w:themeColor="text1"/>
          <w:kern w:val="2"/>
          <w:sz w:val="24"/>
          <w:szCs w:val="24"/>
          <w:highlight w:val="none"/>
          <w:lang w:val="en-US" w:eastAsia="zh-CN" w:bidi="ar-SA"/>
          <ns2:textFill>
            <ns2:solidFill>
              <ns2:schemeClr ns2:val="tx1"/>
            </ns2:solidFill>
          </ns2:textFill>
        </w:rPr>
        <w:t>2. 优化空间：</w:t>
      </w: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一是用药规范性有待提升，21.08%的患者存在不规范用药情况，超一成患者经常自行调整剂量，5.12%的患者从未按规定剂量服用；二是联合用药安全意识不足，联合用药患者中近半数未咨询医生确认药物兼容性，存在潜在用药风险；三是血压监测频率不足，38.06%的患者无法定期监测血压，难以及时掌握血压控制情况；四是部分购药渠道存在风险，22.04%的患者通过其他非正规渠道购药，可能面临药品质量隐患。</w:t>
      </w:r>
    </w:p>
    <w:p ns2:paraId="352EFD12">
      <w:pPr>
        <w:pStyle w:val="3"/>
        <w:bidi w:val="0"/>
        <w:rPr>
          <w:rFonts w:hint="eastAsia" w:ascii="汉仪中宋简" w:hAnsi="汉仪中宋简" w:eastAsia="汉仪中宋简" w:cs="汉仪中宋简"/>
          <w:sz w:val="24"/>
          <w:szCs w:val="24"/>
          <w:highlight w:val="none"/>
          <w:lang w:val="en-US" w:eastAsia="zh-CN"/>
        </w:rPr>
      </w:pPr>
      <w:bookmarkStart w:id="25" w:name="_Toc4442"/>
      <w:r>
        <w:rPr>
          <w:rFonts w:hint="eastAsia" w:ascii="汉仪中宋简" w:hAnsi="汉仪中宋简" w:eastAsia="汉仪中宋简" w:cs="汉仪中宋简"/>
          <w:highlight w:val="none"/>
          <w:lang w:val="en-US" w:eastAsia="zh-CN"/>
        </w:rPr>
        <w:t>5.3建议</w:t>
      </w:r>
      <w:bookmarkEnd w:id="25"/>
    </w:p>
    <w:p ns2:paraId="1B2E2CF6">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结合调研结果，为进一步强化厄贝沙坦氢氯噻嗪片的临床应用效果，提升患者用药体验与安全性，围绕临床诊疗、药企优化服务维度提出以下建议：</w:t>
      </w:r>
    </w:p>
    <w:p ns2:paraId="1B2B00F5">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1. 临床层面：聚焦用药规范性提升，强化精准教育干预。针对血压偶尔波动、用药不规范的重点群体，通过复诊一对一宣讲、线上科普短视频、患者手册等多种形式，重点强调剂量调整必须严格遵循医嘱，严禁自行根据主观感受调整剂量；针对联合用药患者，在开具处方时主动提醒并确认药物兼容性，定期梳理用药清单，规避药物相互作用风险；同时普及血压监测的重要性，指导患者选择合适的监测工具，养成“每周至少监测2-3次”的规律监测习惯，并记录监测数据，为治疗方案优化提供支撑。</w:t>
      </w:r>
    </w:p>
    <w:p ns2:paraId="6087A09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2. 药企方面：持续优化产品细节，补充服务支撑体系。针对少数患者反映的包装取用问题，开展针对性调研，优化包装设计（如增加易撕口、推出分剂量包装等），提升使用便捷性；针对说明书中部分不明确内容，采用更通俗的语言表述，增加图文解读模块，降低患者理解难度；搭建官方线上咨询平台，组建专业药师团队，为患者提供个性化用药指导服务，补充现有指导渠道的不足，重点解答联合用药、不良反应应对等常见疑问。</w:t>
      </w:r>
    </w:p>
    <w:p ns2:paraId="5D64DD0F">
      <w:pPr>
        <w:rPr>
          <w:rFonts w:hint="eastAsia" w:ascii="汉仪中宋简" w:hAnsi="汉仪中宋简" w:eastAsia="汉仪中宋简" w:cs="汉仪中宋简"/>
          <w:lang w:val="en-US" w:eastAsia="zh-CN"/>
        </w:rPr>
      </w:pPr>
      <w:bookmarkStart w:id="26" w:name="_Toc17910"/>
      <w:r>
        <w:rPr>
          <w:rFonts w:hint="eastAsia" w:ascii="汉仪中宋简" w:hAnsi="汉仪中宋简" w:eastAsia="汉仪中宋简" w:cs="汉仪中宋简"/>
          <w:lang w:val="en-US" w:eastAsia="zh-CN"/>
        </w:rPr>
        <w:br w:type="page"/>
      </w:r>
    </w:p>
    <w:p ns2:paraId="4272D18C">
      <w:pPr>
        <w:pStyle w:val="2"/>
        <w:bidi w:val="0"/>
        <w:jc w:val="left"/>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t>附件1：厄贝沙坦氢氯噻嗪片用药体验与疗效反馈患者调查问卷</w:t>
      </w:r>
      <w:bookmarkEnd w:id="26"/>
    </w:p>
    <w:p ns2:paraId="1FEC2CC2">
      <w:pPr>
        <w:ind w:left="0" w:leftChars="0" w:firstLine="0" w:firstLineChars="0"/>
        <w:jc w:val="both"/>
        <w:rPr>
          <w:rFonts w:hint="eastAsia" w:ascii="汉仪中宋简" w:hAnsi="汉仪中宋简" w:eastAsia="汉仪中宋简" w:cs="汉仪中宋简"/>
          <w:lang w:val="en-US" w:eastAsia="zh-CN"/>
        </w:rPr>
      </w:pPr>
    </w:p>
    <w:p ns2:paraId="6CCA3D18">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您服用厄贝沙坦氢氯噻嗪片后，血压控制效果如何？</w:t>
      </w:r>
    </w:p>
    <w:p ns2:paraId="66C0D4C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血压稳定在正常范围</w:t>
      </w:r>
    </w:p>
    <w:p ns2:paraId="6CE1425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血压多数时间在正常范围</w:t>
      </w:r>
    </w:p>
    <w:p ns2:paraId="4B4D6147">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血压偶尔超出正常范围</w:t>
      </w:r>
    </w:p>
    <w:p ns2:paraId="2B1D7314">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血压持续超出正常范围</w:t>
      </w:r>
    </w:p>
    <w:p ns2:paraId="352AD0F7">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您服用厄贝沙坦氢氯噻嗪片期间，是否出现过头晕、头痛症状？</w:t>
      </w:r>
    </w:p>
    <w:p ns2:paraId="5AB3DCC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经常出现，症状严重</w:t>
      </w:r>
    </w:p>
    <w:p ns2:paraId="0DDB611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偶尔出现，症状轻微可忍受</w:t>
      </w:r>
    </w:p>
    <w:p ns2:paraId="29DD6DC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很少出现，几乎无感觉</w:t>
      </w:r>
    </w:p>
    <w:p ns2:paraId="78517D8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从未出现过</w:t>
      </w:r>
    </w:p>
    <w:p ns2:paraId="3CD4510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您服用厄贝沙坦氢氯噻嗪片期间，是否出现过口渴、多尿情况？</w:t>
      </w:r>
    </w:p>
    <w:p ns2:paraId="044674F6">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经常出现，影响正常生活</w:t>
      </w:r>
    </w:p>
    <w:p ns2:paraId="5DD87521">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偶尔出现，无明显影响</w:t>
      </w:r>
    </w:p>
    <w:p ns2:paraId="407CF38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很少出现，几乎不察觉</w:t>
      </w:r>
    </w:p>
    <w:p ns2:paraId="2245D95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从未出现过</w:t>
      </w:r>
    </w:p>
    <w:p ns2:paraId="1BB602CA">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您通常通过什么渠道购买厄贝沙坦氢氯噻嗪片？</w:t>
      </w:r>
    </w:p>
    <w:p ns2:paraId="1091005F">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医院药房</w:t>
      </w:r>
    </w:p>
    <w:p ns2:paraId="17BF188A">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线下连锁药店</w:t>
      </w:r>
    </w:p>
    <w:p ns2:paraId="1367894C">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正规网上药店</w:t>
      </w:r>
    </w:p>
    <w:p ns2:paraId="2E411F45">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其他渠道（请注明）</w:t>
      </w:r>
    </w:p>
    <w:p ns2:paraId="4A6E75C8">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您认为厄贝沙坦氢氯噻嗪片的价格对您的用药负担影响如何？</w:t>
      </w:r>
    </w:p>
    <w:p ns2:paraId="12BF58E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难以承受</w:t>
      </w:r>
    </w:p>
    <w:p ns2:paraId="7D855842">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勉强承受</w:t>
      </w:r>
    </w:p>
    <w:p ns2:paraId="6568AEB4">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在可接受范围</w:t>
      </w:r>
    </w:p>
    <w:p ns2:paraId="75966934">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无压力</w:t>
      </w:r>
    </w:p>
    <w:p ns2:paraId="5A4BE6E6">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您服用厄贝沙坦氢氯噻嗪片的剂量是否严格按照医嘱？</w:t>
      </w:r>
    </w:p>
    <w:p ns2:paraId="6F7208D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始终严格遵守</w:t>
      </w:r>
    </w:p>
    <w:p ns2:paraId="301BBCB2">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大部分时间遵守，偶尔微调</w:t>
      </w:r>
    </w:p>
    <w:p ns2:paraId="02514DCE">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经常根据自身感觉调整</w:t>
      </w:r>
    </w:p>
    <w:p ns2:paraId="2FDCE85C">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eastAsia"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从未按规定剂量服用</w:t>
      </w:r>
    </w:p>
    <w:p ns2:paraId="3C8B964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您对厄贝沙坦氢氯噻嗪片的服药频率满意度如何？</w:t>
      </w:r>
    </w:p>
    <w:p ns2:paraId="21EE6A01">
      <w:pPr>
        <w:keepNext w:val="0"/>
        <w:keepLines w:val="0"/>
        <w:pageBreakBefore w:val="0"/>
        <w:widowControl w:val="0"/>
        <w:numPr>
          <w:ilvl w:val="0"/>
          <w:numId w:val="1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频率很合适，按要求吃很轻松</w:t>
      </w:r>
    </w:p>
    <w:p ns2:paraId="6D967439">
      <w:pPr>
        <w:keepNext w:val="0"/>
        <w:keepLines w:val="0"/>
        <w:pageBreakBefore w:val="0"/>
        <w:widowControl w:val="0"/>
        <w:numPr>
          <w:ilvl w:val="0"/>
          <w:numId w:val="1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频率还可以，没对生活造成困扰</w:t>
      </w:r>
    </w:p>
    <w:p ns2:paraId="4411C818">
      <w:pPr>
        <w:keepNext w:val="0"/>
        <w:keepLines w:val="0"/>
        <w:pageBreakBefore w:val="0"/>
        <w:widowControl w:val="0"/>
        <w:numPr>
          <w:ilvl w:val="0"/>
          <w:numId w:val="1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频率稍微有点高，偶尔会记不清</w:t>
      </w:r>
    </w:p>
    <w:p ns2:paraId="35B610CD">
      <w:pPr>
        <w:keepNext w:val="0"/>
        <w:keepLines w:val="0"/>
        <w:pageBreakBefore w:val="0"/>
        <w:widowControl w:val="0"/>
        <w:numPr>
          <w:ilvl w:val="0"/>
          <w:numId w:val="1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频率不太适应，想过调整一下</w:t>
      </w:r>
    </w:p>
    <w:p ns2:paraId="6B0ADD53">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您服用厄贝沙坦氢氯噻嗪片期间，是否同时服用其他降压药物？</w:t>
      </w:r>
    </w:p>
    <w:p ns2:paraId="785C0DD9">
      <w:pPr>
        <w:keepNext w:val="0"/>
        <w:keepLines w:val="0"/>
        <w:pageBreakBefore w:val="0"/>
        <w:widowControl w:val="0"/>
        <w:numPr>
          <w:ilvl w:val="0"/>
          <w:numId w:val="11"/>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同时服用 1 种其他降压药</w:t>
      </w:r>
    </w:p>
    <w:p ns2:paraId="18BDF8E6">
      <w:pPr>
        <w:keepNext w:val="0"/>
        <w:keepLines w:val="0"/>
        <w:pageBreakBefore w:val="0"/>
        <w:widowControl w:val="0"/>
        <w:numPr>
          <w:ilvl w:val="0"/>
          <w:numId w:val="11"/>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同时服用 2 种及以上其他降压药</w:t>
      </w:r>
    </w:p>
    <w:p ns2:paraId="0E01FA29">
      <w:pPr>
        <w:keepNext w:val="0"/>
        <w:keepLines w:val="0"/>
        <w:pageBreakBefore w:val="0"/>
        <w:widowControl w:val="0"/>
        <w:numPr>
          <w:ilvl w:val="0"/>
          <w:numId w:val="11"/>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同时服用降压药及其他疾病治疗药物</w:t>
      </w:r>
    </w:p>
    <w:p ns2:paraId="3627E7B2">
      <w:pPr>
        <w:keepNext w:val="0"/>
        <w:keepLines w:val="0"/>
        <w:pageBreakBefore w:val="0"/>
        <w:widowControl w:val="0"/>
        <w:numPr>
          <w:ilvl w:val="0"/>
          <w:numId w:val="11"/>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仅服用该药物</w:t>
      </w:r>
    </w:p>
    <w:p ns2:paraId="24C53AF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您是否咨询过医生，确认厄贝沙坦氢氯噻嗪片与其他药物可同时服用？</w:t>
      </w:r>
    </w:p>
    <w:p ns2:paraId="2A751218">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专门咨询过，确认无冲突</w:t>
      </w:r>
    </w:p>
    <w:p ns2:paraId="2CA52B37">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简单询问过，大致了解</w:t>
      </w:r>
    </w:p>
    <w:p ns2:paraId="2FEC614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没咨询过，但认为无问题</w:t>
      </w:r>
    </w:p>
    <w:p ns2:paraId="6280C8A0">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没咨询过，不清楚是否有冲突</w:t>
      </w:r>
    </w:p>
    <w:p ns2:paraId="761D9CEC">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您所在地区的厄贝沙坦氢氯噻嗪片供应是否稳定？</w:t>
      </w:r>
    </w:p>
    <w:p ns2:paraId="285FB246">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随时能买到</w:t>
      </w:r>
    </w:p>
    <w:p ns2:paraId="5D6C5B9E">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偶尔缺货但不影响用药</w:t>
      </w:r>
    </w:p>
    <w:p ns2:paraId="33820A1F">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经常缺货</w:t>
      </w:r>
    </w:p>
    <w:p ns2:paraId="7C7F41D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eastAsia"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严重影响用药</w:t>
      </w:r>
    </w:p>
    <w:p ns2:paraId="429D0FC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您服用厄贝沙坦氢氯噻嗪片期间，是否定期监测血压？</w:t>
      </w:r>
    </w:p>
    <w:p ns2:paraId="0092B7A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每天监测，记录详细数据</w:t>
      </w:r>
    </w:p>
    <w:p ns2:paraId="290FDC11">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每周监测 2-3 次，了解大致情况</w:t>
      </w:r>
    </w:p>
    <w:p ns2:paraId="772CAEC4">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偶尔监测，无固定频率</w:t>
      </w:r>
    </w:p>
    <w:p ns2:paraId="095D4DE0">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从未监测</w:t>
      </w:r>
    </w:p>
    <w:p ns2:paraId="12C2374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您对厄贝沙坦氢氯噻嗪片药品包装的便利性评价如何？</w:t>
      </w:r>
    </w:p>
    <w:p ns2:paraId="3B9158A8">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储存、取用都方便</w:t>
      </w:r>
    </w:p>
    <w:p ns2:paraId="61A7E73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基本满足需求</w:t>
      </w:r>
    </w:p>
    <w:p ns2:paraId="0234AF46">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存在取用麻烦等问题</w:t>
      </w:r>
    </w:p>
    <w:p ns2:paraId="63775EC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非常不便利，严重影响使用</w:t>
      </w:r>
    </w:p>
    <w:p ns2:paraId="7C23499B">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您对厄贝沙坦氢氯噻嗪片说明书中</w:t>
      </w:r>
      <w:r>
        <w:rPr>
          <w:rFonts w:hint="eastAsia" w:ascii="汉仪中宋简" w:hAnsi="汉仪中宋简" w:eastAsia="汉仪中宋简" w:cs="汉仪中宋简"/>
          <w:snapToGrid/>
          <w:kern w:val="2"/>
          <w:sz w:val="24"/>
          <w:szCs w:val="24"/>
          <w:lang w:val="en-US" w:eastAsia="zh-CN"/>
        </w:rPr>
        <w:t>“</w:t>
      </w:r>
      <w:r>
        <w:rPr>
          <w:rFonts w:hint="default" w:ascii="汉仪中宋简" w:hAnsi="汉仪中宋简" w:eastAsia="汉仪中宋简" w:cs="汉仪中宋简"/>
          <w:snapToGrid/>
          <w:kern w:val="2"/>
          <w:sz w:val="24"/>
          <w:szCs w:val="24"/>
          <w:lang w:val="en-US" w:eastAsia="zh-CN"/>
        </w:rPr>
        <w:t>用法用量”“不良反应</w:t>
      </w:r>
      <w:r>
        <w:rPr>
          <w:rFonts w:hint="eastAsia" w:ascii="汉仪中宋简" w:hAnsi="汉仪中宋简" w:eastAsia="汉仪中宋简" w:cs="汉仪中宋简"/>
          <w:snapToGrid/>
          <w:kern w:val="2"/>
          <w:sz w:val="24"/>
          <w:szCs w:val="24"/>
          <w:lang w:val="en-US" w:eastAsia="zh-CN"/>
        </w:rPr>
        <w:t>”</w:t>
      </w:r>
      <w:r>
        <w:rPr>
          <w:rFonts w:hint="default" w:ascii="汉仪中宋简" w:hAnsi="汉仪中宋简" w:eastAsia="汉仪中宋简" w:cs="汉仪中宋简"/>
          <w:snapToGrid/>
          <w:kern w:val="2"/>
          <w:sz w:val="24"/>
          <w:szCs w:val="24"/>
          <w:lang w:val="en-US" w:eastAsia="zh-CN"/>
        </w:rPr>
        <w:t>的标注清晰度评价如何？</w:t>
      </w:r>
    </w:p>
    <w:p ns2:paraId="4EE70D2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一目了然</w:t>
      </w:r>
    </w:p>
    <w:p ns2:paraId="2D376978">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容易理解</w:t>
      </w:r>
    </w:p>
    <w:p ns2:paraId="7D0C4622">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部分内容不够明确</w:t>
      </w:r>
    </w:p>
    <w:p ns2:paraId="185B13A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eastAsia"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难以分辨</w:t>
      </w:r>
    </w:p>
    <w:p ns2:paraId="00B8B3B2">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您认为当前获取的用药指导是否足够详细准确？</w:t>
      </w:r>
    </w:p>
    <w:p ns2:paraId="13782D5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非常详细准确，能解决所有疑问</w:t>
      </w:r>
    </w:p>
    <w:p ns2:paraId="2536600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比较详细准确，能解决大部分疑问</w:t>
      </w:r>
    </w:p>
    <w:p ns2:paraId="5031355C">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一般，部分疑问无法解答</w:t>
      </w:r>
    </w:p>
    <w:p ns2:paraId="6743342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不够详细准确，存在很多困惑</w:t>
      </w:r>
    </w:p>
    <w:p ns2:paraId="2E498182">
      <w:pPr>
        <w:rPr>
          <w:rFonts w:hint="eastAsia" w:ascii="汉仪中宋简" w:hAnsi="汉仪中宋简" w:eastAsia="汉仪中宋简" w:cs="汉仪中宋简"/>
          <w:lang w:val="en-US" w:eastAsia="zh-CN"/>
        </w:rPr>
      </w:pPr>
    </w:p>
    <w:p ns2:paraId="769D578A">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420" w:firstLineChars="200"/>
        <w:jc w:val="left"/>
        <w:textAlignment w:val="auto"/>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br w:type="page"/>
      </w:r>
    </w:p>
    <w:p ns2:paraId="683C6AC0">
      <w:pPr>
        <w:pStyle w:val="2"/>
        <w:bidi w:val="0"/>
        <w:rPr>
          <w:rFonts w:hint="eastAsia" w:ascii="汉仪中宋简" w:hAnsi="汉仪中宋简" w:eastAsia="汉仪中宋简" w:cs="汉仪中宋简"/>
          <w:highlight w:val="none"/>
          <w:lang w:val="en-US" w:eastAsia="zh-CN"/>
        </w:rPr>
      </w:pPr>
      <w:bookmarkStart w:id="27" w:name="_Toc22330"/>
      <w:r>
        <w:rPr>
          <w:rFonts w:hint="eastAsia" w:ascii="汉仪中宋简" w:hAnsi="汉仪中宋简" w:eastAsia="汉仪中宋简" w:cs="汉仪中宋简"/>
          <w:highlight w:val="none"/>
          <w:lang w:val="en-US" w:eastAsia="zh-CN"/>
        </w:rPr>
        <w:t>附件2：问卷调查明细表</w:t>
      </w:r>
      <w:bookmarkEnd w:id="27"/>
    </w:p>
    <w:p ns2:paraId="6CD34407">
      <w:pPr>
        <w:bidi w:val="0"/>
        <w:rPr>
          <w:rFonts w:hint="eastAsia" w:ascii="汉仪中宋简" w:hAnsi="汉仪中宋简" w:eastAsia="汉仪中宋简" w:cs="汉仪中宋简"/>
          <w:highlight w:val="none"/>
        </w:rPr>
      </w:pPr>
      <w:r>
        <w:rPr>
          <w:rFonts w:hint="eastAsia" w:ascii="汉仪中宋简" w:hAnsi="汉仪中宋简" w:eastAsia="汉仪中宋简" w:cs="汉仪中宋简"/>
          <w:sz w:val="24"/>
          <w:szCs w:val="32"/>
          <w:highlight w:val="none"/>
          <w:lang w:val="en-US" w:eastAsia="zh-CN"/>
        </w:rPr>
        <w:t>01-1. 团队问卷调查明细-厄贝沙坦氢氯噻嗪片用药体验与疗效反馈-患者调查问卷(广东省)</w:t>
      </w:r>
    </w:p>
    <w:p ns2:paraId="6A33FBAA">
      <w:pPr>
        <w:rPr>
          <w:rFonts w:hint="eastAsia" w:ascii="汉仪中宋简" w:hAnsi="汉仪中宋简" w:eastAsia="汉仪中宋简" w:cs="汉仪中宋简"/>
        </w:rPr>
      </w:pPr>
    </w:p>
    <w:p ns2:paraId="61B638CE">
      <w:pPr>
        <w:rPr>
          <w:rFonts w:hint="eastAsia" w:ascii="汉仪中宋简" w:hAnsi="汉仪中宋简" w:eastAsia="汉仪中宋简" w:cs="汉仪中宋简"/>
        </w:rPr>
      </w:pPr>
    </w:p>
    <w:p ns2:paraId="544422C2">
      <w:pPr>
        <w:rPr>
          <w:rFonts w:hint="eastAsia" w:ascii="汉仪中宋简" w:hAnsi="汉仪中宋简" w:eastAsia="汉仪中宋简" w:cs="汉仪中宋简"/>
        </w:rPr>
      </w:pPr>
      <w:r>
        <w:rPr>
          <w:rFonts w:hint="eastAsia" w:ascii="汉仪中宋简" w:hAnsi="汉仪中宋简" w:eastAsia="汉仪中宋简" w:cs="汉仪中宋简"/>
        </w:rPr>
        <w:br w:type="page"/>
      </w:r>
    </w:p>
    <w:p ns2:paraId="6101B089">
      <w:pPr>
        <w:pStyle w:val="2"/>
        <w:bidi w:val="0"/>
        <w:jc w:val="center"/>
        <w:rPr>
          <w:rFonts w:hint="eastAsia" w:ascii="汉仪中宋简" w:hAnsi="汉仪中宋简" w:eastAsia="汉仪中宋简" w:cs="汉仪中宋简"/>
        </w:rPr>
      </w:pPr>
      <w:bookmarkStart w:id="28" w:name="_Toc30276"/>
      <w:bookmarkStart w:id="29" w:name="_Toc8154"/>
      <w:r>
        <w:rPr>
          <w:rFonts w:hint="eastAsia" w:ascii="汉仪中宋简" w:hAnsi="汉仪中宋简" w:eastAsia="汉仪中宋简" w:cs="汉仪中宋简"/>
        </w:rPr>
        <w:t>免责申明</w:t>
      </w:r>
      <w:bookmarkEnd w:id="28"/>
      <w:bookmarkEnd w:id="29"/>
    </w:p>
    <w:p ns2:paraId="5D943D93">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（1）本次调研项目以随机选取对象进行面对面调研，本次调研只对本次样本数据负责。</w:t>
      </w:r>
    </w:p>
    <w:p ns2:paraId="262A001F">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（2）承接单位调研项目，是针对</w:t>
      </w:r>
      <w:r>
        <w:rPr>
          <w:rFonts w:hint="eastAsia" w:ascii="汉仪中宋简" w:hAnsi="汉仪中宋简" w:eastAsia="汉仪中宋简" w:cs="汉仪中宋简"/>
          <w:sz w:val="24"/>
          <w:szCs w:val="24"/>
          <w:lang w:eastAsia="zh-CN"/>
        </w:rPr>
        <w:t>厄贝沙坦氢氯噻嗪片</w:t>
      </w:r>
      <w:r>
        <w:rPr>
          <w:rFonts w:hint="eastAsia" w:ascii="汉仪中宋简" w:hAnsi="汉仪中宋简" w:eastAsia="汉仪中宋简" w:cs="汉仪中宋简"/>
          <w:sz w:val="24"/>
          <w:szCs w:val="24"/>
        </w:rPr>
        <w:t>这一品种调研，并非指定厂家指定品种。</w:t>
      </w:r>
    </w:p>
    <w:p ns2:paraId="3F3994F8">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（3）本次调研只针对调研区域数据负责，不代表全国调研数据。</w:t>
      </w:r>
    </w:p>
    <w:p ns2:paraId="12ACD20B">
      <w:pPr>
        <w:spacing w:line="400" w:lineRule="exact"/>
        <w:rPr>
          <w:rFonts w:hint="eastAsia" w:ascii="汉仪中宋简" w:hAnsi="汉仪中宋简" w:eastAsia="汉仪中宋简" w:cs="汉仪中宋简"/>
        </w:rPr>
      </w:pPr>
    </w:p>
    <w:p ns2:paraId="4A0BBAF2">
      <w:pPr>
        <w:spacing w:line="400" w:lineRule="exact"/>
        <w:rPr>
          <w:rFonts w:hint="eastAsia" w:ascii="汉仪中宋简" w:hAnsi="汉仪中宋简" w:eastAsia="汉仪中宋简" w:cs="汉仪中宋简"/>
        </w:rPr>
      </w:pPr>
    </w:p>
    <w:p ns2:paraId="13580F1B">
      <w:pPr>
        <w:spacing w:line="400" w:lineRule="exact"/>
        <w:rPr>
          <w:rFonts w:hint="eastAsia" w:ascii="汉仪中宋简" w:hAnsi="汉仪中宋简" w:eastAsia="汉仪中宋简" w:cs="汉仪中宋简"/>
        </w:rPr>
      </w:pPr>
    </w:p>
    <w:p ns2:paraId="1AF2960F">
      <w:pPr>
        <w:spacing w:line="400" w:lineRule="exact"/>
        <w:rPr>
          <w:rFonts w:hint="eastAsia" w:ascii="汉仪中宋简" w:hAnsi="汉仪中宋简" w:eastAsia="汉仪中宋简" w:cs="汉仪中宋简"/>
        </w:rPr>
      </w:pPr>
    </w:p>
    <w:p ns2:paraId="47DCED2E">
      <w:pPr>
        <w:spacing w:line="400" w:lineRule="exact"/>
        <w:rPr>
          <w:rFonts w:hint="eastAsia" w:ascii="汉仪中宋简" w:hAnsi="汉仪中宋简" w:eastAsia="汉仪中宋简" w:cs="汉仪中宋简"/>
        </w:rPr>
      </w:pPr>
    </w:p>
    <w:p ns2:paraId="22FC2F08">
      <w:pPr>
        <w:spacing w:line="400" w:lineRule="exact"/>
        <w:rPr>
          <w:rFonts w:hint="eastAsia" w:ascii="汉仪中宋简" w:hAnsi="汉仪中宋简" w:eastAsia="汉仪中宋简" w:cs="汉仪中宋简"/>
        </w:rPr>
      </w:pPr>
    </w:p>
    <w:p ns2:paraId="2B71D7B4">
      <w:pPr>
        <w:keepNext w:val="0"/>
        <w:keepLines w:val="0"/>
        <w:pageBreakBefore w:val="0"/>
        <w:widowControl w:val="0"/>
        <w:kinsoku/>
        <w:wordWrap/>
        <w:overflowPunct/>
        <w:topLinePunct w:val="0"/>
        <w:autoSpaceDE/>
        <w:autoSpaceDN/>
        <w:bidi w:val="0"/>
        <w:adjustRightInd/>
        <w:snapToGrid/>
        <w:spacing w:line="480" w:lineRule="auto"/>
        <w:jc w:val="right"/>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服务提供单位:</w:t>
      </w:r>
      <w:r>
        <w:rPr>
          <w:rFonts w:hint="eastAsia" w:ascii="汉仪中宋简" w:hAnsi="汉仪中宋简" w:eastAsia="汉仪中宋简" w:cs="汉仪中宋简"/>
          <w:sz w:val="24"/>
          <w:szCs w:val="24"/>
          <w:lang w:val="en-US" w:eastAsia="zh-CN"/>
        </w:rPr>
        <w:t>北京玖麟空科技有限公司</w:t>
      </w:r>
    </w:p>
    <w:p ns2:paraId="1D60D8EB">
      <w:pPr>
        <w:keepNext w:val="0"/>
        <w:keepLines w:val="0"/>
        <w:pageBreakBefore w:val="0"/>
        <w:widowControl w:val="0"/>
        <w:kinsoku/>
        <w:wordWrap/>
        <w:overflowPunct/>
        <w:topLinePunct w:val="0"/>
        <w:autoSpaceDE/>
        <w:autoSpaceDN/>
        <w:bidi w:val="0"/>
        <w:adjustRightInd/>
        <w:snapToGrid/>
        <w:spacing w:line="480" w:lineRule="auto"/>
        <w:jc w:val="right"/>
        <w:textAlignment w:val="auto"/>
        <w:rPr>
          <w:rFonts w:hint="eastAsia" w:ascii="汉仪中宋简" w:hAnsi="汉仪中宋简" w:eastAsia="汉仪中宋简" w:cs="汉仪中宋简"/>
          <w:lang w:val="en-US" w:eastAsia="zh-CN"/>
        </w:rPr>
      </w:pPr>
      <w:r>
        <w:rPr>
          <w:rFonts w:hint="eastAsia" w:ascii="汉仪中宋简" w:hAnsi="汉仪中宋简" w:eastAsia="汉仪中宋简" w:cs="汉仪中宋简"/>
          <w:sz w:val="24"/>
          <w:szCs w:val="24"/>
          <w:lang w:eastAsia="zh-CN"/>
        </w:rPr>
        <w:t xml:space="preserve">{{field.service.date}}</w:t>
      </w:r>
      <w:r>
        <w:rPr>
          <w:rFonts w:hint="eastAsia" w:ascii="汉仪中宋简" w:hAnsi="汉仪中宋简" w:eastAsia="汉仪中宋简" w:cs="汉仪中宋简"/>
          <w:sz w:val="24"/>
          <w:szCs w:val="24"/>
        </w:rPr>
        <w:t/>
      </w:r>
      <w:r>
        <w:rPr>
          <w:rFonts w:hint="eastAsia" w:ascii="汉仪中宋简" w:hAnsi="汉仪中宋简" w:eastAsia="汉仪中宋简" w:cs="汉仪中宋简"/>
          <w:sz w:val="24"/>
          <w:szCs w:val="24"/>
          <w:lang w:val="en-US" w:eastAsia="zh-CN"/>
        </w:rPr>
        <w:t/>
      </w:r>
      <w:r>
        <w:rPr>
          <w:rFonts w:hint="eastAsia" w:ascii="汉仪中宋简" w:hAnsi="汉仪中宋简" w:eastAsia="汉仪中宋简" w:cs="汉仪中宋简"/>
          <w:sz w:val="24"/>
          <w:szCs w:val="24"/>
        </w:rPr>
        <w:t/>
      </w:r>
      <w:r>
        <w:rPr>
          <w:rFonts w:hint="eastAsia" w:ascii="汉仪中宋简" w:hAnsi="汉仪中宋简" w:eastAsia="汉仪中宋简" w:cs="汉仪中宋简"/>
          <w:sz w:val="24"/>
          <w:szCs w:val="24"/>
          <w:lang w:val="en-US" w:eastAsia="zh-CN"/>
        </w:rPr>
        <w:t/>
      </w:r>
      <w:r>
        <w:rPr>
          <w:rFonts w:hint="eastAsia" w:ascii="汉仪中宋简" w:hAnsi="汉仪中宋简" w:eastAsia="汉仪中宋简" w:cs="汉仪中宋简"/>
          <w:sz w:val="24"/>
          <w:szCs w:val="24"/>
        </w:rPr>
        <w:t/>
      </w:r>
    </w:p>
    <w:sectPr>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decorative"/>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1" w:fontKey="{916C5615-01DB-4827-BD4E-F8610F5BD1FE}"/>
  </w:font>
  <w:font w:name="汉仪粗黑简">
    <w:panose1 w:val="02010600000101010101"/>
    <w:charset w:val="86"/>
    <w:family w:val="auto"/>
    <w:pitch w:val="default"/>
    <w:sig w:usb0="00000001" w:usb1="080E0800" w:usb2="00000002" w:usb3="00000000" w:csb0="00040000" w:csb1="00000000"/>
    <w:embedRegular r:id="rId2" w:fontKey="{D3E379EE-1C2C-4E0F-A61E-0A5D4F1DDB05}"/>
  </w:font>
  <w:font w:name="汉仪中宋简">
    <w:panose1 w:val="02010600000101010101"/>
    <w:charset w:val="80"/>
    <w:family w:val="auto"/>
    <w:pitch w:val="default"/>
    <w:sig w:usb0="800002BF" w:usb1="184F6CF8" w:usb2="00000012" w:usb3="00000000" w:csb0="00020001" w:csb1="00000000"/>
    <w:embedRegular r:id="rId3" w:fontKey="{E49E4BB4-9C54-44F1-84D6-2CCB9BE61129}"/>
  </w:font>
  <w:font w:name="汉仪元隆黑-105简">
    <w:panose1 w:val="00020600040101010101"/>
    <w:charset w:val="86"/>
    <w:family w:val="auto"/>
    <w:pitch w:val="default"/>
    <w:sig w:usb0="8000003F" w:usb1="1AC17CFA" w:usb2="00000016" w:usb3="00000000" w:csb0="0004009F" w:csb1="00000000"/>
    <w:embedRegular r:id="rId4" w:fontKey="{40560A2B-C648-4B1B-B617-701B83EC873A}"/>
  </w:font>
  <w:font w:name="WPSEMBED14">
    <w:panose1 w:val="02010600000101010101"/>
    <w:charset w:val="86"/>
    <w:family w:val="auto"/>
    <w:pitch w:val="default"/>
    <w:sig w:usb0="00000001" w:usb1="080E0800" w:usb2="00000002" w:usb3="00000000" w:csb0="00040000" w:csb1="00000000"/>
  </w:font>
  <w:font w:name="WPSEMBED15">
    <w:panose1 w:val="00020600040101010101"/>
    <w:charset w:val="86"/>
    <w:family w:val="auto"/>
    <w:pitch w:val="default"/>
    <w:sig w:usb0="8000003F" w:usb1="1AC17CFA" w:usb2="00000016" w:usb3="00000000" w:csb0="0004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A88EBE">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ACE882">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A4DAF">
    <w:pPr>
      <w:pStyle w:val="5"/>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5D9F86">
                          <w:pPr>
                            <w:pStyle w:val="5"/>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55D9F86">
                    <w:pPr>
                      <w:pStyle w:val="5"/>
                    </w:pPr>
                    <w:r>
                      <w:fldChar w:fldCharType="begin"/>
                    </w:r>
                    <w:r>
                      <w:instrText xml:space="preserve"> PAGE  \* MERGEFORMAT </w:instrText>
                    </w:r>
                    <w:r>
                      <w:fldChar w:fldCharType="separate"/>
                    </w:r>
                    <w:r>
                      <w:t>2</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CBE0B2">
    <w:pPr>
      <w:pStyle w:val="6"/>
      <w:pBdr>
        <w:bottom w:val="single" w:color="auto" w:sz="4" w:space="1"/>
      </w:pBdr>
      <w:rPr>
        <w:rFonts w:hint="default"/>
        <w:lang w:val="en-US" w:eastAsia="zh-CN"/>
      </w:rPr>
    </w:pPr>
    <w:r>
      <w:rPr>
        <w:rFonts w:hint="eastAsia"/>
        <w:lang w:val="en-US" w:eastAsia="zh-CN"/>
      </w:rPr>
      <w:t>厄贝沙坦氢氯噻嗪片用药体验与疗效反馈患者调查问卷分析报告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A128A2"/>
    <w:multiLevelType w:val="singleLevel"/>
    <w:tmpl w:val="BAA128A2"/>
    <w:lvl w:ilvl="0" w:tentative="0">
      <w:start w:val="1"/>
      <w:numFmt w:val="decimal"/>
      <w:lvlText w:val="(%1)"/>
      <w:lvlJc w:val="left"/>
      <w:pPr>
        <w:ind w:left="425" w:hanging="425"/>
      </w:pPr>
      <w:rPr>
        <w:rFonts w:hint="default"/>
      </w:rPr>
    </w:lvl>
  </w:abstractNum>
  <w:abstractNum w:abstractNumId="1">
    <w:nsid w:val="C8B9116B"/>
    <w:multiLevelType w:val="singleLevel"/>
    <w:tmpl w:val="C8B9116B"/>
    <w:lvl w:ilvl="0" w:tentative="0">
      <w:start w:val="1"/>
      <w:numFmt w:val="decimal"/>
      <w:lvlText w:val="(%1)"/>
      <w:lvlJc w:val="left"/>
      <w:pPr>
        <w:ind w:left="425" w:hanging="425"/>
      </w:pPr>
      <w:rPr>
        <w:rFonts w:hint="default"/>
      </w:rPr>
    </w:lvl>
  </w:abstractNum>
  <w:abstractNum w:abstractNumId="2">
    <w:nsid w:val="036A05D1"/>
    <w:multiLevelType w:val="singleLevel"/>
    <w:tmpl w:val="036A05D1"/>
    <w:lvl w:ilvl="0" w:tentative="0">
      <w:start w:val="1"/>
      <w:numFmt w:val="upperLetter"/>
      <w:suff w:val="space"/>
      <w:lvlText w:val="%1."/>
      <w:lvlJc w:val="left"/>
    </w:lvl>
  </w:abstractNum>
  <w:abstractNum w:abstractNumId="3">
    <w:nsid w:val="072B0078"/>
    <w:multiLevelType w:val="singleLevel"/>
    <w:tmpl w:val="072B0078"/>
    <w:lvl w:ilvl="0" w:tentative="0">
      <w:start w:val="1"/>
      <w:numFmt w:val="decimal"/>
      <w:lvlText w:val="(%1)"/>
      <w:lvlJc w:val="left"/>
      <w:pPr>
        <w:ind w:left="425" w:hanging="425"/>
      </w:pPr>
      <w:rPr>
        <w:rFonts w:hint="default"/>
      </w:rPr>
    </w:lvl>
  </w:abstractNum>
  <w:abstractNum w:abstractNumId="4">
    <w:nsid w:val="1108D3A0"/>
    <w:multiLevelType w:val="singleLevel"/>
    <w:tmpl w:val="1108D3A0"/>
    <w:lvl w:ilvl="0" w:tentative="0">
      <w:start w:val="1"/>
      <w:numFmt w:val="decimal"/>
      <w:lvlText w:val="(%1)"/>
      <w:lvlJc w:val="left"/>
      <w:pPr>
        <w:ind w:left="425" w:hanging="425"/>
      </w:pPr>
      <w:rPr>
        <w:rFonts w:hint="default"/>
      </w:rPr>
    </w:lvl>
  </w:abstractNum>
  <w:abstractNum w:abstractNumId="5">
    <w:nsid w:val="2D9BC5AA"/>
    <w:multiLevelType w:val="singleLevel"/>
    <w:tmpl w:val="2D9BC5AA"/>
    <w:lvl w:ilvl="0" w:tentative="0">
      <w:start w:val="1"/>
      <w:numFmt w:val="chineseCounting"/>
      <w:suff w:val="nothing"/>
      <w:lvlText w:val="%1、"/>
      <w:lvlJc w:val="left"/>
      <w:rPr>
        <w:rFonts w:hint="eastAsia"/>
      </w:rPr>
    </w:lvl>
  </w:abstractNum>
  <w:abstractNum w:abstractNumId="6">
    <w:nsid w:val="30E93D70"/>
    <w:multiLevelType w:val="singleLevel"/>
    <w:tmpl w:val="30E93D70"/>
    <w:lvl w:ilvl="0" w:tentative="0">
      <w:start w:val="1"/>
      <w:numFmt w:val="decimal"/>
      <w:lvlText w:val="(%1)"/>
      <w:lvlJc w:val="left"/>
      <w:pPr>
        <w:ind w:left="425" w:hanging="425"/>
      </w:pPr>
      <w:rPr>
        <w:rFonts w:hint="default"/>
      </w:rPr>
    </w:lvl>
  </w:abstractNum>
  <w:abstractNum w:abstractNumId="7">
    <w:nsid w:val="364EF7CF"/>
    <w:multiLevelType w:val="singleLevel"/>
    <w:tmpl w:val="364EF7CF"/>
    <w:lvl w:ilvl="0" w:tentative="0">
      <w:start w:val="1"/>
      <w:numFmt w:val="decimal"/>
      <w:lvlText w:val="(%1)"/>
      <w:lvlJc w:val="left"/>
      <w:pPr>
        <w:ind w:left="425" w:hanging="425"/>
      </w:pPr>
      <w:rPr>
        <w:rFonts w:hint="default"/>
      </w:rPr>
    </w:lvl>
  </w:abstractNum>
  <w:abstractNum w:abstractNumId="8">
    <w:nsid w:val="4CC8A90B"/>
    <w:multiLevelType w:val="singleLevel"/>
    <w:tmpl w:val="4CC8A90B"/>
    <w:lvl w:ilvl="0" w:tentative="0">
      <w:start w:val="1"/>
      <w:numFmt w:val="decimal"/>
      <w:lvlText w:val="(%1)"/>
      <w:lvlJc w:val="left"/>
      <w:pPr>
        <w:ind w:left="425" w:hanging="425"/>
      </w:pPr>
      <w:rPr>
        <w:rFonts w:hint="default"/>
      </w:rPr>
    </w:lvl>
  </w:abstractNum>
  <w:abstractNum w:abstractNumId="9">
    <w:nsid w:val="514C377C"/>
    <w:multiLevelType w:val="singleLevel"/>
    <w:tmpl w:val="514C377C"/>
    <w:lvl w:ilvl="0" w:tentative="0">
      <w:start w:val="1"/>
      <w:numFmt w:val="upperLetter"/>
      <w:suff w:val="space"/>
      <w:lvlText w:val="%1."/>
      <w:lvlJc w:val="left"/>
    </w:lvl>
  </w:abstractNum>
  <w:abstractNum w:abstractNumId="10">
    <w:nsid w:val="76A2585A"/>
    <w:multiLevelType w:val="singleLevel"/>
    <w:tmpl w:val="76A2585A"/>
    <w:lvl w:ilvl="0" w:tentative="0">
      <w:start w:val="1"/>
      <w:numFmt w:val="decimal"/>
      <w:lvlText w:val="(%1)"/>
      <w:lvlJc w:val="left"/>
      <w:pPr>
        <w:ind w:left="425" w:hanging="425"/>
      </w:pPr>
      <w:rPr>
        <w:rFonts w:hint="default"/>
      </w:rPr>
    </w:lvl>
  </w:abstractNum>
  <w:num w:numId="1">
    <w:abstractNumId w:val="5"/>
  </w:num>
  <w:num w:numId="2">
    <w:abstractNumId w:val="7"/>
  </w:num>
  <w:num w:numId="3">
    <w:abstractNumId w:val="0"/>
  </w:num>
  <w:num w:numId="4">
    <w:abstractNumId w:val="10"/>
  </w:num>
  <w:num w:numId="5">
    <w:abstractNumId w:val="1"/>
  </w:num>
  <w:num w:numId="6">
    <w:abstractNumId w:val="8"/>
  </w:num>
  <w:num w:numId="7">
    <w:abstractNumId w:val="4"/>
  </w:num>
  <w:num w:numId="8">
    <w:abstractNumId w:val="6"/>
  </w:num>
  <w:num w:numId="9">
    <w:abstractNumId w:val="3"/>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5ZGQ5ZWQ1MmJhMGZkNmYwMjg3MjM4MGI4MGE3YjQifQ=="/>
  </w:docVars>
  <w:rsids>
    <w:rsidRoot w:val="00172A27"/>
    <w:rsid w:val="00115AC3"/>
    <w:rsid w:val="003A6B66"/>
    <w:rsid w:val="006E0802"/>
    <w:rsid w:val="00870763"/>
    <w:rsid w:val="00A566D5"/>
    <w:rsid w:val="00A80AAC"/>
    <w:rsid w:val="00B87A8B"/>
    <w:rsid w:val="00D5688F"/>
    <w:rsid w:val="00DF3269"/>
    <w:rsid w:val="00F143F4"/>
    <w:rsid w:val="011473B7"/>
    <w:rsid w:val="014E5AB0"/>
    <w:rsid w:val="015D278A"/>
    <w:rsid w:val="01761E20"/>
    <w:rsid w:val="01921BA8"/>
    <w:rsid w:val="01B071AF"/>
    <w:rsid w:val="01F9628B"/>
    <w:rsid w:val="0224362A"/>
    <w:rsid w:val="022D1E3A"/>
    <w:rsid w:val="023451DC"/>
    <w:rsid w:val="028D7F54"/>
    <w:rsid w:val="02A1111E"/>
    <w:rsid w:val="02A14C7A"/>
    <w:rsid w:val="02A66735"/>
    <w:rsid w:val="02C44BAF"/>
    <w:rsid w:val="034E3B00"/>
    <w:rsid w:val="03A91663"/>
    <w:rsid w:val="04511E3D"/>
    <w:rsid w:val="04DF7CDC"/>
    <w:rsid w:val="04E92909"/>
    <w:rsid w:val="04F068B8"/>
    <w:rsid w:val="050339CA"/>
    <w:rsid w:val="051C1B5A"/>
    <w:rsid w:val="05322502"/>
    <w:rsid w:val="0559183C"/>
    <w:rsid w:val="055F2BCB"/>
    <w:rsid w:val="056B3129"/>
    <w:rsid w:val="058F34B0"/>
    <w:rsid w:val="05C018BB"/>
    <w:rsid w:val="05E90CD0"/>
    <w:rsid w:val="05EA06E6"/>
    <w:rsid w:val="0616772D"/>
    <w:rsid w:val="06484524"/>
    <w:rsid w:val="06512D33"/>
    <w:rsid w:val="067A14B5"/>
    <w:rsid w:val="0680104B"/>
    <w:rsid w:val="06A37841"/>
    <w:rsid w:val="07234289"/>
    <w:rsid w:val="0768220B"/>
    <w:rsid w:val="07D94EB6"/>
    <w:rsid w:val="081E2791"/>
    <w:rsid w:val="08455529"/>
    <w:rsid w:val="08471B07"/>
    <w:rsid w:val="0893471C"/>
    <w:rsid w:val="08A019CA"/>
    <w:rsid w:val="08A116F6"/>
    <w:rsid w:val="08C81683"/>
    <w:rsid w:val="08D97F17"/>
    <w:rsid w:val="08F71A98"/>
    <w:rsid w:val="09185D37"/>
    <w:rsid w:val="091E6200"/>
    <w:rsid w:val="09291197"/>
    <w:rsid w:val="09772BD9"/>
    <w:rsid w:val="09DC6722"/>
    <w:rsid w:val="0A0F696E"/>
    <w:rsid w:val="0A576E8B"/>
    <w:rsid w:val="0A5B0B52"/>
    <w:rsid w:val="0AB63A17"/>
    <w:rsid w:val="0B1F33EE"/>
    <w:rsid w:val="0B494101"/>
    <w:rsid w:val="0B500BE0"/>
    <w:rsid w:val="0B767ABF"/>
    <w:rsid w:val="0B8F622A"/>
    <w:rsid w:val="0B9124F0"/>
    <w:rsid w:val="0BA17A09"/>
    <w:rsid w:val="0C0A7D34"/>
    <w:rsid w:val="0C3B4EC0"/>
    <w:rsid w:val="0C4C20FB"/>
    <w:rsid w:val="0C6831D4"/>
    <w:rsid w:val="0C935725"/>
    <w:rsid w:val="0CB06EE6"/>
    <w:rsid w:val="0CB84064"/>
    <w:rsid w:val="0CE05F94"/>
    <w:rsid w:val="0CE642FD"/>
    <w:rsid w:val="0D305579"/>
    <w:rsid w:val="0D642486"/>
    <w:rsid w:val="0D8B6C53"/>
    <w:rsid w:val="0D9E5A21"/>
    <w:rsid w:val="0DE60CCA"/>
    <w:rsid w:val="0E1327A4"/>
    <w:rsid w:val="0E2A1FC8"/>
    <w:rsid w:val="0E353822"/>
    <w:rsid w:val="0E7B6CC7"/>
    <w:rsid w:val="0E937761"/>
    <w:rsid w:val="0EA855E3"/>
    <w:rsid w:val="0EBB1744"/>
    <w:rsid w:val="0EC37DD2"/>
    <w:rsid w:val="0F120ABD"/>
    <w:rsid w:val="0F1D3EC4"/>
    <w:rsid w:val="0F24110D"/>
    <w:rsid w:val="0F7F00F1"/>
    <w:rsid w:val="0FCB3337"/>
    <w:rsid w:val="0FDD21EC"/>
    <w:rsid w:val="0FDF6DE2"/>
    <w:rsid w:val="10366FB9"/>
    <w:rsid w:val="103C5FE2"/>
    <w:rsid w:val="107F04D7"/>
    <w:rsid w:val="10B36F25"/>
    <w:rsid w:val="10BD5D42"/>
    <w:rsid w:val="10CB381A"/>
    <w:rsid w:val="10E0013B"/>
    <w:rsid w:val="115577AF"/>
    <w:rsid w:val="116636F0"/>
    <w:rsid w:val="116C28F7"/>
    <w:rsid w:val="11765524"/>
    <w:rsid w:val="118F39F0"/>
    <w:rsid w:val="11923F5B"/>
    <w:rsid w:val="11FD79F3"/>
    <w:rsid w:val="12217B86"/>
    <w:rsid w:val="12A7643B"/>
    <w:rsid w:val="12E865C3"/>
    <w:rsid w:val="12F9379A"/>
    <w:rsid w:val="130A686C"/>
    <w:rsid w:val="132F1E2E"/>
    <w:rsid w:val="139A199E"/>
    <w:rsid w:val="13AB5686"/>
    <w:rsid w:val="13F24D75"/>
    <w:rsid w:val="14184FB8"/>
    <w:rsid w:val="1495298C"/>
    <w:rsid w:val="14B71CD0"/>
    <w:rsid w:val="14C376F9"/>
    <w:rsid w:val="14F450DE"/>
    <w:rsid w:val="150F1F18"/>
    <w:rsid w:val="15183504"/>
    <w:rsid w:val="1574621E"/>
    <w:rsid w:val="15BC31A1"/>
    <w:rsid w:val="15C50828"/>
    <w:rsid w:val="15CF16A7"/>
    <w:rsid w:val="15D46CBD"/>
    <w:rsid w:val="15F10C2F"/>
    <w:rsid w:val="160F1869"/>
    <w:rsid w:val="165C118C"/>
    <w:rsid w:val="165D2B8A"/>
    <w:rsid w:val="16751C00"/>
    <w:rsid w:val="16CA259A"/>
    <w:rsid w:val="16D90A2F"/>
    <w:rsid w:val="16E3365C"/>
    <w:rsid w:val="1731510D"/>
    <w:rsid w:val="177E552D"/>
    <w:rsid w:val="17852965"/>
    <w:rsid w:val="17930E82"/>
    <w:rsid w:val="17E56F60"/>
    <w:rsid w:val="17F15FAE"/>
    <w:rsid w:val="1816180F"/>
    <w:rsid w:val="18165BC0"/>
    <w:rsid w:val="181F19E3"/>
    <w:rsid w:val="18277578"/>
    <w:rsid w:val="18512847"/>
    <w:rsid w:val="185A0482"/>
    <w:rsid w:val="186C7681"/>
    <w:rsid w:val="187A7FF0"/>
    <w:rsid w:val="188A386F"/>
    <w:rsid w:val="18A87A9A"/>
    <w:rsid w:val="18DA45EA"/>
    <w:rsid w:val="18F17B89"/>
    <w:rsid w:val="190175E5"/>
    <w:rsid w:val="194B7296"/>
    <w:rsid w:val="195920A9"/>
    <w:rsid w:val="19B906A4"/>
    <w:rsid w:val="19F94F44"/>
    <w:rsid w:val="1A813C91"/>
    <w:rsid w:val="1ACC5A4B"/>
    <w:rsid w:val="1AFB72AE"/>
    <w:rsid w:val="1B0D514B"/>
    <w:rsid w:val="1B281F85"/>
    <w:rsid w:val="1B652C55"/>
    <w:rsid w:val="1B8847D2"/>
    <w:rsid w:val="1BDE4794"/>
    <w:rsid w:val="1BE13EE2"/>
    <w:rsid w:val="1BE67E80"/>
    <w:rsid w:val="1BF26033"/>
    <w:rsid w:val="1C1F7144"/>
    <w:rsid w:val="1C2002B7"/>
    <w:rsid w:val="1C33298F"/>
    <w:rsid w:val="1C636C39"/>
    <w:rsid w:val="1C7106F0"/>
    <w:rsid w:val="1CA53161"/>
    <w:rsid w:val="1CB533A4"/>
    <w:rsid w:val="1CEF446B"/>
    <w:rsid w:val="1CF531D1"/>
    <w:rsid w:val="1D3544E5"/>
    <w:rsid w:val="1D945A3B"/>
    <w:rsid w:val="1DAB29F9"/>
    <w:rsid w:val="1DBA5174"/>
    <w:rsid w:val="1DC046F7"/>
    <w:rsid w:val="1DF61EC7"/>
    <w:rsid w:val="1E116D00"/>
    <w:rsid w:val="1E124D0F"/>
    <w:rsid w:val="1E15334A"/>
    <w:rsid w:val="1E6E1383"/>
    <w:rsid w:val="1E6E272B"/>
    <w:rsid w:val="1E814709"/>
    <w:rsid w:val="1EA01E32"/>
    <w:rsid w:val="1EAC5247"/>
    <w:rsid w:val="1EDC730E"/>
    <w:rsid w:val="1F370A48"/>
    <w:rsid w:val="1F4367BC"/>
    <w:rsid w:val="1FBA3134"/>
    <w:rsid w:val="1FE951F7"/>
    <w:rsid w:val="203A6774"/>
    <w:rsid w:val="208A1A2D"/>
    <w:rsid w:val="208F215E"/>
    <w:rsid w:val="209C2AB0"/>
    <w:rsid w:val="20A83220"/>
    <w:rsid w:val="20E57FD0"/>
    <w:rsid w:val="215E4EE8"/>
    <w:rsid w:val="21B463FC"/>
    <w:rsid w:val="21DD6EFA"/>
    <w:rsid w:val="21DF298D"/>
    <w:rsid w:val="21E45038"/>
    <w:rsid w:val="225418B2"/>
    <w:rsid w:val="225F0C79"/>
    <w:rsid w:val="22761828"/>
    <w:rsid w:val="229E48DB"/>
    <w:rsid w:val="22B97967"/>
    <w:rsid w:val="22D36C7A"/>
    <w:rsid w:val="22FD5AA5"/>
    <w:rsid w:val="232272BA"/>
    <w:rsid w:val="233B6F8E"/>
    <w:rsid w:val="236D16F9"/>
    <w:rsid w:val="23767606"/>
    <w:rsid w:val="23A70B19"/>
    <w:rsid w:val="23B4085A"/>
    <w:rsid w:val="23CD191B"/>
    <w:rsid w:val="23DE7F31"/>
    <w:rsid w:val="23E80503"/>
    <w:rsid w:val="23EB1DA2"/>
    <w:rsid w:val="24343749"/>
    <w:rsid w:val="243451F1"/>
    <w:rsid w:val="24637B8A"/>
    <w:rsid w:val="247D37DD"/>
    <w:rsid w:val="24816262"/>
    <w:rsid w:val="24AD5661"/>
    <w:rsid w:val="24BB1774"/>
    <w:rsid w:val="24FF3D57"/>
    <w:rsid w:val="25501043"/>
    <w:rsid w:val="2572277A"/>
    <w:rsid w:val="259E22CD"/>
    <w:rsid w:val="25C32FD6"/>
    <w:rsid w:val="25F61A23"/>
    <w:rsid w:val="264B4D7A"/>
    <w:rsid w:val="267F0A80"/>
    <w:rsid w:val="267F462A"/>
    <w:rsid w:val="26914DED"/>
    <w:rsid w:val="26D60AE7"/>
    <w:rsid w:val="26FE3B9A"/>
    <w:rsid w:val="27BF157B"/>
    <w:rsid w:val="28100433"/>
    <w:rsid w:val="281236EF"/>
    <w:rsid w:val="2818512F"/>
    <w:rsid w:val="284B1152"/>
    <w:rsid w:val="28547D0B"/>
    <w:rsid w:val="285642D5"/>
    <w:rsid w:val="286F399E"/>
    <w:rsid w:val="28956780"/>
    <w:rsid w:val="289A78F2"/>
    <w:rsid w:val="28B9246E"/>
    <w:rsid w:val="28E42C08"/>
    <w:rsid w:val="2901038D"/>
    <w:rsid w:val="29115675"/>
    <w:rsid w:val="299762DC"/>
    <w:rsid w:val="29CB0601"/>
    <w:rsid w:val="2A14048F"/>
    <w:rsid w:val="2A2B5E5C"/>
    <w:rsid w:val="2A3049B2"/>
    <w:rsid w:val="2A451994"/>
    <w:rsid w:val="2A522B7B"/>
    <w:rsid w:val="2A6E1037"/>
    <w:rsid w:val="2A8B3997"/>
    <w:rsid w:val="2AAB7789"/>
    <w:rsid w:val="2ABE3D6C"/>
    <w:rsid w:val="2ADA00F5"/>
    <w:rsid w:val="2AEC6B2B"/>
    <w:rsid w:val="2B1E7CFB"/>
    <w:rsid w:val="2B282108"/>
    <w:rsid w:val="2B2B291F"/>
    <w:rsid w:val="2B413AB8"/>
    <w:rsid w:val="2B6052C0"/>
    <w:rsid w:val="2B65243A"/>
    <w:rsid w:val="2BA54F2C"/>
    <w:rsid w:val="2BC1575F"/>
    <w:rsid w:val="2BF04D49"/>
    <w:rsid w:val="2C277C1E"/>
    <w:rsid w:val="2C2E0A7D"/>
    <w:rsid w:val="2C686611"/>
    <w:rsid w:val="2C691F08"/>
    <w:rsid w:val="2C752B50"/>
    <w:rsid w:val="2CBC6463"/>
    <w:rsid w:val="2CC11743"/>
    <w:rsid w:val="2CD2650A"/>
    <w:rsid w:val="2CD51B1F"/>
    <w:rsid w:val="2D1F65F8"/>
    <w:rsid w:val="2D5E1836"/>
    <w:rsid w:val="2D67693D"/>
    <w:rsid w:val="2D821BBD"/>
    <w:rsid w:val="2D8F19F0"/>
    <w:rsid w:val="2DBA2F11"/>
    <w:rsid w:val="2DD218DC"/>
    <w:rsid w:val="2DD647D7"/>
    <w:rsid w:val="2DF4043C"/>
    <w:rsid w:val="2E2204B6"/>
    <w:rsid w:val="2E4E18AB"/>
    <w:rsid w:val="2E7A61FC"/>
    <w:rsid w:val="2E8762A6"/>
    <w:rsid w:val="2E882855"/>
    <w:rsid w:val="2E9F64F2"/>
    <w:rsid w:val="2EC102CF"/>
    <w:rsid w:val="2EC90F31"/>
    <w:rsid w:val="2ED3341D"/>
    <w:rsid w:val="2ED3590C"/>
    <w:rsid w:val="2EED10C4"/>
    <w:rsid w:val="2F0361F1"/>
    <w:rsid w:val="2F4F58DB"/>
    <w:rsid w:val="2FA15A0A"/>
    <w:rsid w:val="2FAA1469"/>
    <w:rsid w:val="301A16BC"/>
    <w:rsid w:val="3034105F"/>
    <w:rsid w:val="303F76FD"/>
    <w:rsid w:val="308A4FF7"/>
    <w:rsid w:val="30A27C8C"/>
    <w:rsid w:val="30EC0F07"/>
    <w:rsid w:val="3135465C"/>
    <w:rsid w:val="315E4CA9"/>
    <w:rsid w:val="31692558"/>
    <w:rsid w:val="31807FCD"/>
    <w:rsid w:val="318501E2"/>
    <w:rsid w:val="31945827"/>
    <w:rsid w:val="31D64091"/>
    <w:rsid w:val="31EA69B8"/>
    <w:rsid w:val="32220A03"/>
    <w:rsid w:val="3244724D"/>
    <w:rsid w:val="3281224F"/>
    <w:rsid w:val="32B029E9"/>
    <w:rsid w:val="32DA2ABE"/>
    <w:rsid w:val="32E93950"/>
    <w:rsid w:val="32FD11AA"/>
    <w:rsid w:val="33114C55"/>
    <w:rsid w:val="33153347"/>
    <w:rsid w:val="332E1CAB"/>
    <w:rsid w:val="33963E2B"/>
    <w:rsid w:val="33A04957"/>
    <w:rsid w:val="33A1247D"/>
    <w:rsid w:val="33AB32FB"/>
    <w:rsid w:val="33F14D68"/>
    <w:rsid w:val="33FE78CF"/>
    <w:rsid w:val="34362F96"/>
    <w:rsid w:val="346A2C09"/>
    <w:rsid w:val="346D235F"/>
    <w:rsid w:val="346F60D7"/>
    <w:rsid w:val="34B260C8"/>
    <w:rsid w:val="34BF705E"/>
    <w:rsid w:val="34D523DE"/>
    <w:rsid w:val="34D80120"/>
    <w:rsid w:val="34E22D4D"/>
    <w:rsid w:val="354B26A0"/>
    <w:rsid w:val="359A460D"/>
    <w:rsid w:val="35BF4E3C"/>
    <w:rsid w:val="35E84393"/>
    <w:rsid w:val="363B2715"/>
    <w:rsid w:val="36606EC6"/>
    <w:rsid w:val="368247AC"/>
    <w:rsid w:val="37184804"/>
    <w:rsid w:val="371E0070"/>
    <w:rsid w:val="372E4027"/>
    <w:rsid w:val="376734F4"/>
    <w:rsid w:val="379921C2"/>
    <w:rsid w:val="37EA4306"/>
    <w:rsid w:val="384D672F"/>
    <w:rsid w:val="39002FB3"/>
    <w:rsid w:val="390C0398"/>
    <w:rsid w:val="390E2362"/>
    <w:rsid w:val="390E2462"/>
    <w:rsid w:val="39170C92"/>
    <w:rsid w:val="391D4354"/>
    <w:rsid w:val="392E47B3"/>
    <w:rsid w:val="395466E3"/>
    <w:rsid w:val="39921705"/>
    <w:rsid w:val="39A678B1"/>
    <w:rsid w:val="39DC77C9"/>
    <w:rsid w:val="39EC1AC0"/>
    <w:rsid w:val="3A0F5F29"/>
    <w:rsid w:val="3A1F5EA9"/>
    <w:rsid w:val="3A295F9B"/>
    <w:rsid w:val="3A2C3979"/>
    <w:rsid w:val="3A4B6C9E"/>
    <w:rsid w:val="3A5C70FE"/>
    <w:rsid w:val="3A7D5381"/>
    <w:rsid w:val="3ACA5A0A"/>
    <w:rsid w:val="3AEC66D3"/>
    <w:rsid w:val="3AFA0DF0"/>
    <w:rsid w:val="3B4D0803"/>
    <w:rsid w:val="3B64626A"/>
    <w:rsid w:val="3BDE6803"/>
    <w:rsid w:val="3C08753D"/>
    <w:rsid w:val="3C495460"/>
    <w:rsid w:val="3C5502A8"/>
    <w:rsid w:val="3C5E2583"/>
    <w:rsid w:val="3C687FDC"/>
    <w:rsid w:val="3C6E6982"/>
    <w:rsid w:val="3C862FBA"/>
    <w:rsid w:val="3C991F43"/>
    <w:rsid w:val="3D381350"/>
    <w:rsid w:val="3D780336"/>
    <w:rsid w:val="3D803103"/>
    <w:rsid w:val="3D8A5D30"/>
    <w:rsid w:val="3DA825AF"/>
    <w:rsid w:val="3DC47C3F"/>
    <w:rsid w:val="3DEB4A20"/>
    <w:rsid w:val="3DF257B2"/>
    <w:rsid w:val="3DF77869"/>
    <w:rsid w:val="3E086884"/>
    <w:rsid w:val="3E734A16"/>
    <w:rsid w:val="3EA82911"/>
    <w:rsid w:val="3F0965F9"/>
    <w:rsid w:val="3F0E5A67"/>
    <w:rsid w:val="3F2C09B1"/>
    <w:rsid w:val="3F740A45"/>
    <w:rsid w:val="3F8B219C"/>
    <w:rsid w:val="3FB456CB"/>
    <w:rsid w:val="407C4056"/>
    <w:rsid w:val="40D02F9B"/>
    <w:rsid w:val="40EE08A2"/>
    <w:rsid w:val="40EF4858"/>
    <w:rsid w:val="40F1696F"/>
    <w:rsid w:val="40F2256A"/>
    <w:rsid w:val="40FE0993"/>
    <w:rsid w:val="412224FD"/>
    <w:rsid w:val="41362456"/>
    <w:rsid w:val="41384420"/>
    <w:rsid w:val="41A53138"/>
    <w:rsid w:val="41B132F0"/>
    <w:rsid w:val="41F540C0"/>
    <w:rsid w:val="41F8593B"/>
    <w:rsid w:val="4230130C"/>
    <w:rsid w:val="424F183F"/>
    <w:rsid w:val="42636F27"/>
    <w:rsid w:val="42664FBD"/>
    <w:rsid w:val="426B5FFB"/>
    <w:rsid w:val="42772A73"/>
    <w:rsid w:val="42A65516"/>
    <w:rsid w:val="42C910A8"/>
    <w:rsid w:val="42F9198D"/>
    <w:rsid w:val="42FC167C"/>
    <w:rsid w:val="43217136"/>
    <w:rsid w:val="433F7758"/>
    <w:rsid w:val="439B2A45"/>
    <w:rsid w:val="43A54F96"/>
    <w:rsid w:val="43CC0E50"/>
    <w:rsid w:val="44590106"/>
    <w:rsid w:val="44625310"/>
    <w:rsid w:val="44831180"/>
    <w:rsid w:val="44C8711D"/>
    <w:rsid w:val="45151F83"/>
    <w:rsid w:val="453E18DA"/>
    <w:rsid w:val="455235D7"/>
    <w:rsid w:val="460743C1"/>
    <w:rsid w:val="46380A1F"/>
    <w:rsid w:val="463827CD"/>
    <w:rsid w:val="469228C4"/>
    <w:rsid w:val="46965745"/>
    <w:rsid w:val="46EA1201"/>
    <w:rsid w:val="471274C2"/>
    <w:rsid w:val="47AD0F98"/>
    <w:rsid w:val="47B0504B"/>
    <w:rsid w:val="47EF74AA"/>
    <w:rsid w:val="48233009"/>
    <w:rsid w:val="486309CF"/>
    <w:rsid w:val="48735D3E"/>
    <w:rsid w:val="488B0FC5"/>
    <w:rsid w:val="488C6E00"/>
    <w:rsid w:val="48950BDB"/>
    <w:rsid w:val="48A92658"/>
    <w:rsid w:val="48CB154A"/>
    <w:rsid w:val="48E82B89"/>
    <w:rsid w:val="48F350D1"/>
    <w:rsid w:val="49115557"/>
    <w:rsid w:val="49155047"/>
    <w:rsid w:val="49254325"/>
    <w:rsid w:val="49675177"/>
    <w:rsid w:val="49A01D61"/>
    <w:rsid w:val="49EB2377"/>
    <w:rsid w:val="4A1277D9"/>
    <w:rsid w:val="4A26699A"/>
    <w:rsid w:val="4A8A4B54"/>
    <w:rsid w:val="4ACC3E2B"/>
    <w:rsid w:val="4ACC47A3"/>
    <w:rsid w:val="4B052E99"/>
    <w:rsid w:val="4B1E132F"/>
    <w:rsid w:val="4B27776C"/>
    <w:rsid w:val="4B3519D1"/>
    <w:rsid w:val="4B35552D"/>
    <w:rsid w:val="4B9A5CD8"/>
    <w:rsid w:val="4BA64CEC"/>
    <w:rsid w:val="4BBB5B68"/>
    <w:rsid w:val="4BBE6EC5"/>
    <w:rsid w:val="4BC25D7D"/>
    <w:rsid w:val="4BC74433"/>
    <w:rsid w:val="4BDE7972"/>
    <w:rsid w:val="4BE8259F"/>
    <w:rsid w:val="4C0516D1"/>
    <w:rsid w:val="4C194E4E"/>
    <w:rsid w:val="4C2757BD"/>
    <w:rsid w:val="4C4F3C91"/>
    <w:rsid w:val="4C5A2FDC"/>
    <w:rsid w:val="4C680B4F"/>
    <w:rsid w:val="4C7347DE"/>
    <w:rsid w:val="4C8F6EBF"/>
    <w:rsid w:val="4CA30308"/>
    <w:rsid w:val="4CB67BF1"/>
    <w:rsid w:val="4CE622C3"/>
    <w:rsid w:val="4D1A2C2C"/>
    <w:rsid w:val="4D2C6110"/>
    <w:rsid w:val="4D357A66"/>
    <w:rsid w:val="4D7560B4"/>
    <w:rsid w:val="4D8E53C8"/>
    <w:rsid w:val="4DA92202"/>
    <w:rsid w:val="4DD51249"/>
    <w:rsid w:val="4E6E7AAD"/>
    <w:rsid w:val="4E946A0E"/>
    <w:rsid w:val="4EB81536"/>
    <w:rsid w:val="4EBB2485"/>
    <w:rsid w:val="4ECA19FE"/>
    <w:rsid w:val="4EE21425"/>
    <w:rsid w:val="4EEF1E97"/>
    <w:rsid w:val="4F1870FF"/>
    <w:rsid w:val="4F801EFF"/>
    <w:rsid w:val="4FAE58AE"/>
    <w:rsid w:val="4FC77E70"/>
    <w:rsid w:val="5019366F"/>
    <w:rsid w:val="5019541D"/>
    <w:rsid w:val="50266224"/>
    <w:rsid w:val="5031074C"/>
    <w:rsid w:val="504E6532"/>
    <w:rsid w:val="506A793C"/>
    <w:rsid w:val="50AC6075"/>
    <w:rsid w:val="50FD0F68"/>
    <w:rsid w:val="511B6F73"/>
    <w:rsid w:val="512E185C"/>
    <w:rsid w:val="514C730E"/>
    <w:rsid w:val="518670D6"/>
    <w:rsid w:val="51A46F68"/>
    <w:rsid w:val="51D535C6"/>
    <w:rsid w:val="51EA18B0"/>
    <w:rsid w:val="52197E96"/>
    <w:rsid w:val="52224331"/>
    <w:rsid w:val="522B7478"/>
    <w:rsid w:val="523A78CD"/>
    <w:rsid w:val="52616BAE"/>
    <w:rsid w:val="52A01E26"/>
    <w:rsid w:val="52AF16AD"/>
    <w:rsid w:val="52B72CCB"/>
    <w:rsid w:val="52B9474D"/>
    <w:rsid w:val="52FB3500"/>
    <w:rsid w:val="530879CB"/>
    <w:rsid w:val="53702DD7"/>
    <w:rsid w:val="538C6936"/>
    <w:rsid w:val="53A6376C"/>
    <w:rsid w:val="543C16DA"/>
    <w:rsid w:val="54BD27CE"/>
    <w:rsid w:val="54D943F6"/>
    <w:rsid w:val="55452810"/>
    <w:rsid w:val="55FC3817"/>
    <w:rsid w:val="562C1C22"/>
    <w:rsid w:val="56777156"/>
    <w:rsid w:val="568F4D4F"/>
    <w:rsid w:val="56927CD7"/>
    <w:rsid w:val="56AB0D99"/>
    <w:rsid w:val="56B75990"/>
    <w:rsid w:val="56C105BC"/>
    <w:rsid w:val="56C43C09"/>
    <w:rsid w:val="56D02B61"/>
    <w:rsid w:val="56D6406E"/>
    <w:rsid w:val="570A1F63"/>
    <w:rsid w:val="571C7539"/>
    <w:rsid w:val="572B1EDA"/>
    <w:rsid w:val="578A6C00"/>
    <w:rsid w:val="5797131D"/>
    <w:rsid w:val="57997088"/>
    <w:rsid w:val="57B819BF"/>
    <w:rsid w:val="57EA3B43"/>
    <w:rsid w:val="58022C3B"/>
    <w:rsid w:val="58490869"/>
    <w:rsid w:val="58690AF4"/>
    <w:rsid w:val="58920462"/>
    <w:rsid w:val="589917F1"/>
    <w:rsid w:val="58D63E23"/>
    <w:rsid w:val="59082C0D"/>
    <w:rsid w:val="59142C25"/>
    <w:rsid w:val="59367D0E"/>
    <w:rsid w:val="596E218B"/>
    <w:rsid w:val="59BB284B"/>
    <w:rsid w:val="59D03FE9"/>
    <w:rsid w:val="5A0802B0"/>
    <w:rsid w:val="5A647BDD"/>
    <w:rsid w:val="5A820063"/>
    <w:rsid w:val="5AAC3332"/>
    <w:rsid w:val="5AB242ED"/>
    <w:rsid w:val="5AD3266C"/>
    <w:rsid w:val="5AD84127"/>
    <w:rsid w:val="5AF01470"/>
    <w:rsid w:val="5B0E7B48"/>
    <w:rsid w:val="5B172023"/>
    <w:rsid w:val="5BCA2D15"/>
    <w:rsid w:val="5BD60CC0"/>
    <w:rsid w:val="5C1019F3"/>
    <w:rsid w:val="5C1A6503"/>
    <w:rsid w:val="5C3F41AF"/>
    <w:rsid w:val="5CB12E81"/>
    <w:rsid w:val="5CB62246"/>
    <w:rsid w:val="5CF547EA"/>
    <w:rsid w:val="5CF8285E"/>
    <w:rsid w:val="5D37510F"/>
    <w:rsid w:val="5DD111E4"/>
    <w:rsid w:val="5E0E058B"/>
    <w:rsid w:val="5E17280A"/>
    <w:rsid w:val="5E4F2952"/>
    <w:rsid w:val="5E7B54F5"/>
    <w:rsid w:val="5EA80B24"/>
    <w:rsid w:val="5F5D4BFA"/>
    <w:rsid w:val="5F97635E"/>
    <w:rsid w:val="5FA06419"/>
    <w:rsid w:val="5FCC55B0"/>
    <w:rsid w:val="5FD72BFF"/>
    <w:rsid w:val="5FE74F09"/>
    <w:rsid w:val="5FF3766A"/>
    <w:rsid w:val="601C5F42"/>
    <w:rsid w:val="60363DC9"/>
    <w:rsid w:val="60483AFC"/>
    <w:rsid w:val="60966616"/>
    <w:rsid w:val="60A254D6"/>
    <w:rsid w:val="60A50A50"/>
    <w:rsid w:val="60D158A0"/>
    <w:rsid w:val="60D66C28"/>
    <w:rsid w:val="611413BC"/>
    <w:rsid w:val="61706E67"/>
    <w:rsid w:val="61717761"/>
    <w:rsid w:val="619E09FC"/>
    <w:rsid w:val="61BE4076"/>
    <w:rsid w:val="61EA5B50"/>
    <w:rsid w:val="623460E6"/>
    <w:rsid w:val="62DA46B0"/>
    <w:rsid w:val="62F87114"/>
    <w:rsid w:val="630006BE"/>
    <w:rsid w:val="634E142A"/>
    <w:rsid w:val="636522D0"/>
    <w:rsid w:val="636C365E"/>
    <w:rsid w:val="637349EC"/>
    <w:rsid w:val="63814E23"/>
    <w:rsid w:val="63846BFA"/>
    <w:rsid w:val="638E7A78"/>
    <w:rsid w:val="63B868A3"/>
    <w:rsid w:val="63CE0DB5"/>
    <w:rsid w:val="63D80CF3"/>
    <w:rsid w:val="63DD630A"/>
    <w:rsid w:val="63DE39EA"/>
    <w:rsid w:val="63F278A5"/>
    <w:rsid w:val="64656A2B"/>
    <w:rsid w:val="64A70DF2"/>
    <w:rsid w:val="651D5558"/>
    <w:rsid w:val="65646CE3"/>
    <w:rsid w:val="65E34872"/>
    <w:rsid w:val="65E73470"/>
    <w:rsid w:val="65ED067A"/>
    <w:rsid w:val="662621EA"/>
    <w:rsid w:val="66383CCB"/>
    <w:rsid w:val="669E0B88"/>
    <w:rsid w:val="670F6369"/>
    <w:rsid w:val="674072DB"/>
    <w:rsid w:val="674E7C4A"/>
    <w:rsid w:val="675039C2"/>
    <w:rsid w:val="676239C8"/>
    <w:rsid w:val="681349F0"/>
    <w:rsid w:val="681C5653"/>
    <w:rsid w:val="68AA0BDE"/>
    <w:rsid w:val="68D91796"/>
    <w:rsid w:val="68ED3493"/>
    <w:rsid w:val="68F04A29"/>
    <w:rsid w:val="690031C6"/>
    <w:rsid w:val="6904760A"/>
    <w:rsid w:val="69146D78"/>
    <w:rsid w:val="6984366B"/>
    <w:rsid w:val="69A71894"/>
    <w:rsid w:val="69CE6E20"/>
    <w:rsid w:val="69D361E5"/>
    <w:rsid w:val="69E72CD3"/>
    <w:rsid w:val="69F10D61"/>
    <w:rsid w:val="6A186A78"/>
    <w:rsid w:val="6A253BE6"/>
    <w:rsid w:val="6A2931E3"/>
    <w:rsid w:val="6A505A87"/>
    <w:rsid w:val="6A660130"/>
    <w:rsid w:val="6A891E90"/>
    <w:rsid w:val="6A9E228F"/>
    <w:rsid w:val="6B2F7D93"/>
    <w:rsid w:val="6B347157"/>
    <w:rsid w:val="6B6317EA"/>
    <w:rsid w:val="6B637901"/>
    <w:rsid w:val="6B8C0A69"/>
    <w:rsid w:val="6B8E1A00"/>
    <w:rsid w:val="6BE7241B"/>
    <w:rsid w:val="6C18484A"/>
    <w:rsid w:val="6C5555D7"/>
    <w:rsid w:val="6C72358B"/>
    <w:rsid w:val="6CA566B8"/>
    <w:rsid w:val="6CC4275D"/>
    <w:rsid w:val="6CDE2113"/>
    <w:rsid w:val="6CF941B4"/>
    <w:rsid w:val="6D0A2D4D"/>
    <w:rsid w:val="6D490B0E"/>
    <w:rsid w:val="6D633D24"/>
    <w:rsid w:val="6D934572"/>
    <w:rsid w:val="6DEC3D19"/>
    <w:rsid w:val="6DF36E56"/>
    <w:rsid w:val="6E0472B5"/>
    <w:rsid w:val="6E206F36"/>
    <w:rsid w:val="6E531FEA"/>
    <w:rsid w:val="6E7C07ED"/>
    <w:rsid w:val="6EAC0452"/>
    <w:rsid w:val="6ECD3B4B"/>
    <w:rsid w:val="6ECD58F9"/>
    <w:rsid w:val="6F343BCA"/>
    <w:rsid w:val="6FE3114C"/>
    <w:rsid w:val="70195673"/>
    <w:rsid w:val="702A0B29"/>
    <w:rsid w:val="703A6FBE"/>
    <w:rsid w:val="706202C3"/>
    <w:rsid w:val="70742EB9"/>
    <w:rsid w:val="70A97C9F"/>
    <w:rsid w:val="70AB1C6A"/>
    <w:rsid w:val="70B84386"/>
    <w:rsid w:val="70DC13F2"/>
    <w:rsid w:val="712612F0"/>
    <w:rsid w:val="712A2783"/>
    <w:rsid w:val="71687B5B"/>
    <w:rsid w:val="717C1858"/>
    <w:rsid w:val="719C3171"/>
    <w:rsid w:val="71C56D5B"/>
    <w:rsid w:val="71CB12E6"/>
    <w:rsid w:val="71E01DE7"/>
    <w:rsid w:val="71EF192C"/>
    <w:rsid w:val="72226E67"/>
    <w:rsid w:val="723D0FE7"/>
    <w:rsid w:val="72926649"/>
    <w:rsid w:val="72C00BD6"/>
    <w:rsid w:val="72C07522"/>
    <w:rsid w:val="737347AD"/>
    <w:rsid w:val="73B46F4E"/>
    <w:rsid w:val="73C92407"/>
    <w:rsid w:val="73D370C8"/>
    <w:rsid w:val="74510D7A"/>
    <w:rsid w:val="7479207F"/>
    <w:rsid w:val="748A7EA3"/>
    <w:rsid w:val="74F13F7F"/>
    <w:rsid w:val="754937FF"/>
    <w:rsid w:val="755B7C06"/>
    <w:rsid w:val="758533AB"/>
    <w:rsid w:val="75A82C1C"/>
    <w:rsid w:val="75C760F4"/>
    <w:rsid w:val="76636A51"/>
    <w:rsid w:val="76A51D5C"/>
    <w:rsid w:val="76C92E49"/>
    <w:rsid w:val="76EE5DC1"/>
    <w:rsid w:val="771F16B2"/>
    <w:rsid w:val="7726029C"/>
    <w:rsid w:val="77366005"/>
    <w:rsid w:val="773E13B6"/>
    <w:rsid w:val="779F3BAA"/>
    <w:rsid w:val="77C935C3"/>
    <w:rsid w:val="77E12415"/>
    <w:rsid w:val="77F35CA4"/>
    <w:rsid w:val="78006D3F"/>
    <w:rsid w:val="78223F07"/>
    <w:rsid w:val="784B788E"/>
    <w:rsid w:val="785D684A"/>
    <w:rsid w:val="78CE219D"/>
    <w:rsid w:val="78DF4BA6"/>
    <w:rsid w:val="79037CBC"/>
    <w:rsid w:val="79116D2A"/>
    <w:rsid w:val="791441C7"/>
    <w:rsid w:val="795B557D"/>
    <w:rsid w:val="79681B1A"/>
    <w:rsid w:val="79B4687C"/>
    <w:rsid w:val="79D833A4"/>
    <w:rsid w:val="7A596CDF"/>
    <w:rsid w:val="7B226FCC"/>
    <w:rsid w:val="7BA563C1"/>
    <w:rsid w:val="7BED0F1C"/>
    <w:rsid w:val="7C16029D"/>
    <w:rsid w:val="7C421F6C"/>
    <w:rsid w:val="7C7840F4"/>
    <w:rsid w:val="7C943EFA"/>
    <w:rsid w:val="7CB41EA6"/>
    <w:rsid w:val="7CBB44DD"/>
    <w:rsid w:val="7D5A0C9F"/>
    <w:rsid w:val="7D5D078F"/>
    <w:rsid w:val="7D6436AF"/>
    <w:rsid w:val="7D851A94"/>
    <w:rsid w:val="7D895DFA"/>
    <w:rsid w:val="7DBB1900"/>
    <w:rsid w:val="7DBD5782"/>
    <w:rsid w:val="7E645B88"/>
    <w:rsid w:val="7E857F9E"/>
    <w:rsid w:val="7E861620"/>
    <w:rsid w:val="7EE12CFA"/>
    <w:rsid w:val="7F4172A6"/>
    <w:rsid w:val="7F437511"/>
    <w:rsid w:val="7F4C286A"/>
    <w:rsid w:val="7FA103A4"/>
    <w:rsid w:val="7FC05B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autoRedefine/>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autoRedefine/>
    <w:semiHidden/>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autoRedefine/>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1">
    <w:name w:val="Default Paragraph Font"/>
    <w:autoRedefine/>
    <w:semiHidden/>
    <w:qFormat/>
    <w:uiPriority w:val="0"/>
  </w:style>
  <w:style w:type="table" w:default="1" w:styleId="10">
    <w:name w:val="Normal Table"/>
    <w:autoRedefine/>
    <w:semiHidden/>
    <w:qFormat/>
    <w:uiPriority w:val="0"/>
    <w:tblPr>
      <w:tblCellMar>
        <w:top w:w="0" w:type="dxa"/>
        <w:left w:w="108" w:type="dxa"/>
        <w:bottom w:w="0" w:type="dxa"/>
        <w:right w:w="108" w:type="dxa"/>
      </w:tblCellMar>
    </w:tblPr>
  </w:style>
  <w:style w:type="paragraph" w:styleId="5">
    <w:name w:val="footer"/>
    <w:basedOn w:val="1"/>
    <w:autoRedefine/>
    <w:qFormat/>
    <w:uiPriority w:val="0"/>
    <w:pPr>
      <w:tabs>
        <w:tab w:val="center" w:pos="4153"/>
        <w:tab w:val="right" w:pos="8306"/>
      </w:tabs>
      <w:snapToGrid w:val="0"/>
      <w:jc w:val="left"/>
    </w:pPr>
    <w:rPr>
      <w:sz w:val="18"/>
    </w:rPr>
  </w:style>
  <w:style w:type="paragraph" w:styleId="6">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autoRedefine/>
    <w:qFormat/>
    <w:uiPriority w:val="0"/>
  </w:style>
  <w:style w:type="paragraph" w:styleId="8">
    <w:name w:val="toc 2"/>
    <w:basedOn w:val="1"/>
    <w:next w:val="1"/>
    <w:qFormat/>
    <w:uiPriority w:val="0"/>
    <w:pPr>
      <w:ind w:left="420" w:leftChars="200"/>
    </w:pPr>
  </w:style>
  <w:style w:type="paragraph" w:styleId="9">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autoRedefine/>
    <w:qFormat/>
    <w:uiPriority w:val="0"/>
    <w:rPr>
      <w:b/>
    </w:rPr>
  </w:style>
  <w:style w:type="character" w:styleId="13">
    <w:name w:val="Emphasis"/>
    <w:basedOn w:val="11"/>
    <w:autoRedefine/>
    <w:qFormat/>
    <w:uiPriority w:val="0"/>
    <w:rPr>
      <w:i/>
    </w:rPr>
  </w:style>
  <w:style w:type="paragraph" w:customStyle="1" w:styleId="14">
    <w:name w:val="WPSOffice手动目录 1"/>
    <w:autoRedefine/>
    <w:qFormat/>
    <w:uiPriority w:val="0"/>
    <w:pPr>
      <w:ind w:leftChars="0"/>
    </w:pPr>
    <w:rPr>
      <w:rFonts w:ascii="Times New Roman" w:hAnsi="Times New Roman" w:eastAsia="宋体" w:cs="Times New Roman"/>
      <w:sz w:val="20"/>
      <w:szCs w:val="20"/>
    </w:rPr>
  </w:style>
  <w:style w:type="character" w:customStyle="1" w:styleId="15">
    <w:name w:val="font01"/>
    <w:basedOn w:val="11"/>
    <w:autoRedefine/>
    <w:qFormat/>
    <w:uiPriority w:val="0"/>
    <w:rPr>
      <w:rFonts w:hint="default" w:ascii="Arial" w:hAnsi="Arial" w:cs="Arial"/>
      <w:color w:val="000000"/>
      <w:sz w:val="20"/>
      <w:szCs w:val="20"/>
      <w:u w:val="none"/>
    </w:rPr>
  </w:style>
  <w:style w:type="character" w:customStyle="1" w:styleId="16">
    <w:name w:val="font11"/>
    <w:basedOn w:val="11"/>
    <w:autoRedefine/>
    <w:qFormat/>
    <w:uiPriority w:val="0"/>
    <w:rPr>
      <w:rFonts w:hint="eastAsia" w:ascii="宋体" w:hAnsi="宋体" w:eastAsia="宋体" w:cs="宋体"/>
      <w:color w:val="000000"/>
      <w:sz w:val="20"/>
      <w:szCs w:val="20"/>
      <w:u w:val="none"/>
    </w:rPr>
  </w:style>
  <w:style w:type="character" w:customStyle="1" w:styleId="17">
    <w:name w:val="font31"/>
    <w:basedOn w:val="11"/>
    <w:autoRedefine/>
    <w:qFormat/>
    <w:uiPriority w:val="0"/>
    <w:rPr>
      <w:rFonts w:hint="eastAsia" w:ascii="宋体" w:hAnsi="宋体" w:eastAsia="宋体" w:cs="宋体"/>
      <w:color w:val="000000"/>
      <w:sz w:val="20"/>
      <w:szCs w:val="20"/>
      <w:u w:val="none"/>
    </w:rPr>
  </w:style>
  <w:style w:type="character" w:customStyle="1" w:styleId="18">
    <w:name w:val="font41"/>
    <w:basedOn w:val="11"/>
    <w:autoRedefine/>
    <w:qFormat/>
    <w:uiPriority w:val="0"/>
    <w:rPr>
      <w:rFonts w:hint="eastAsia" w:ascii="宋体" w:hAnsi="宋体" w:eastAsia="宋体" w:cs="宋体"/>
      <w:b/>
      <w:bCs/>
      <w:color w:val="000000"/>
      <w:sz w:val="18"/>
      <w:szCs w:val="18"/>
      <w:u w:val="none"/>
    </w:rPr>
  </w:style>
</w:styles>
</file>

<file path=word/_rels/document.xml.rels><?xml version="1.0" encoding="UTF-8" standalone="yes"?>
<Relationships xmlns="http://schemas.openxmlformats.org/package/2006/relationships"><Relationship Id="rId9" Type="http://www.wps.cn/officeDocument/2018/webExtension" Target="webExtensions/webExtension1.xml"/><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chart" Target="charts/chart2.xml"/><Relationship Id="rId11" Type="http://schemas.openxmlformats.org/officeDocument/2006/relationships/chart" Target="charts/chart1.xml"/><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2" Type="http://schemas.openxmlformats.org/officeDocument/2006/relationships/themeOverride" Target="../theme/themeOverride2.xml"/><Relationship Id="rId1" Type="http://schemas.openxmlformats.org/officeDocument/2006/relationships/package" Target="../embeddings/Workbook2.xlsx"/></Relationships>
</file>

<file path=word/charts/_rels/chart2.xml.rels><?xml version="1.0" encoding="UTF-8" standalone="yes"?>
<Relationships xmlns="http://schemas.openxmlformats.org/package/2006/relationships"><Relationship Id="rId2" Type="http://schemas.openxmlformats.org/officeDocument/2006/relationships/themeOverride" Target="../theme/themeOverrid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solidFill>
                <a:latin typeface="+mn-lt"/>
                <a:ea typeface="+mn-ea"/>
                <a:cs typeface="+mn-cs"/>
              </a:defRPr>
            </a:pPr>
            <a:r>
              <a:t>患者血压控制效果</a:t>
            </a:r>
          </a:p>
        </c:rich>
      </c:tx>
      <c:layout/>
      <c:overlay val="0"/>
      <c:spPr>
        <a:noFill/>
        <a:ln>
          <a:noFill/>
        </a:ln>
        <a:effectLst/>
      </c:spPr>
    </c:title>
    <c:autoTitleDeleted val="0"/>
    <c:view3D>
      <c:rotX val="40"/>
      <c:rotY val="0"/>
      <c:depthPercent val="100"/>
      <c:rAngAx val="0"/>
    </c:view3D>
    <c:floor>
      <c:thickness val="0"/>
    </c:floor>
    <c:sideWall>
      <c:thickness val="0"/>
    </c:sideWall>
    <c:backWall>
      <c:thickness val="0"/>
    </c:backWall>
    <c:plotArea>
      <c:layout>
        <c:manualLayout>
          <c:layoutTarget val="inner"/>
          <c:xMode val="edge"/>
          <c:yMode val="edge"/>
          <c:x val="0.0840713332524566"/>
          <c:y val="0.207381002306563"/>
          <c:w val="0.540094625743055"/>
          <c:h val="0.69930803103376"/>
        </c:manualLayout>
      </c:layout>
      <c:pie3DChart>
        <c:varyColors val="1"/>
        <c:ser>
          <c:idx val="0"/>
          <c:order val="0"/>
          <c:tx>
            <c:strRef>
              <c:f>Sheet1!$B$1</c:f>
              <c:strCache>
                <c:ptCount val="1"/>
                <c:pt idx="0">
                  <c:v>占比</c:v>
                </c:pt>
              </c:strCache>
            </c:strRef>
          </c:tx>
          <c:spPr>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explosion val="0"/>
          <c:dPt>
            <c:idx val="0"/>
            <c:bubble3D val="0"/>
            <c:spPr>
              <a:gradFill>
                <a:gsLst>
                  <a:gs pos="0">
                    <a:schemeClr val="accent1">
                      <a:lumMod val="60000"/>
                      <a:lumOff val="40000"/>
                    </a:schemeClr>
                  </a:gs>
                  <a:gs pos="50000">
                    <a:schemeClr val="accent1"/>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1"/>
            <c:bubble3D val="0"/>
            <c:spPr>
              <a:gradFill>
                <a:gsLst>
                  <a:gs pos="0">
                    <a:schemeClr val="accent3">
                      <a:lumMod val="60000"/>
                      <a:lumOff val="40000"/>
                    </a:schemeClr>
                  </a:gs>
                  <a:gs pos="60000">
                    <a:schemeClr val="accent3"/>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2"/>
            <c:bubble3D val="0"/>
            <c:spPr>
              <a:gradFill>
                <a:gsLst>
                  <a:gs pos="0">
                    <a:schemeClr val="accent2">
                      <a:lumMod val="60000"/>
                      <a:lumOff val="40000"/>
                    </a:schemeClr>
                  </a:gs>
                  <a:gs pos="60000">
                    <a:schemeClr val="accent2">
                      <a:alpha val="100000"/>
                    </a:schemeClr>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3"/>
            <c:bubble3D val="0"/>
            <c:spPr>
              <a:gradFill>
                <a:gsLst>
                  <a:gs pos="0">
                    <a:schemeClr val="accent4">
                      <a:lumMod val="60000"/>
                      <a:lumOff val="40000"/>
                    </a:schemeClr>
                  </a:gs>
                  <a:gs pos="60000">
                    <a:schemeClr val="accent4"/>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Lbls>
            <c:dLbl>
              <c:idx val="0"/>
              <c:layout/>
              <c:numFmt formatCode="General" sourceLinked="1"/>
              <c:spPr>
                <a:solidFill>
                  <a:schemeClr val="accent1"/>
                </a:solidFill>
                <a:ln>
                  <a:solidFill>
                    <a:schemeClr val="accent1">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dLbl>
              <c:idx val="1"/>
              <c:layout>
                <c:manualLayout>
                  <c:x val="-0.00783903841128821"/>
                  <c:y val="-0.0826901874310915"/>
                </c:manualLayout>
              </c:layout>
              <c:numFmt formatCode="General" sourceLinked="1"/>
              <c:spPr>
                <a:solidFill>
                  <a:schemeClr val="accent3"/>
                </a:solidFill>
                <a:ln>
                  <a:solidFill>
                    <a:schemeClr val="accent3">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bestFit"/>
              <c:showLegendKey val="0"/>
              <c:showVal val="0"/>
              <c:showCatName val="0"/>
              <c:showSerName val="0"/>
              <c:showPercent val="1"/>
              <c:showBubbleSize val="0"/>
              <c:extLst>
                <c:ext xmlns:c15="http://schemas.microsoft.com/office/drawing/2012/chart" uri="{CE6537A1-D6FC-4f65-9D91-7224C49458BB}">
                  <c15:layout/>
                </c:ext>
              </c:extLst>
            </c:dLbl>
            <c:dLbl>
              <c:idx val="2"/>
              <c:layout/>
              <c:numFmt formatCode="General" sourceLinked="1"/>
              <c:spPr>
                <a:solidFill>
                  <a:schemeClr val="accent2"/>
                </a:solidFill>
                <a:ln>
                  <a:solidFill>
                    <a:schemeClr val="accent2">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dLbl>
              <c:idx val="3"/>
              <c:layout/>
              <c:numFmt formatCode="General" sourceLinked="1"/>
              <c:spPr>
                <a:solidFill>
                  <a:schemeClr val="accent4"/>
                </a:solidFill>
                <a:ln>
                  <a:solidFill>
                    <a:schemeClr val="accent4">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numFmt formatCode="General" sourceLinked="1"/>
            <c:spPr>
              <a:solidFill>
                <a:srgbClr val="FFFFFF"/>
              </a:solidFill>
              <a:ln>
                <a:solidFill>
                  <a:srgbClr val="000000">
                    <a:lumMod val="65000"/>
                    <a:lumOff val="35000"/>
                  </a:srgb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solidFill>
                    <a:latin typeface="+mn-lt"/>
                    <a:ea typeface="+mn-ea"/>
                    <a:cs typeface="+mn-cs"/>
                  </a:defRPr>
                </a:pPr>
              </a:p>
            </c:txPr>
            <c:dLblPos val="outEnd"/>
            <c:showLegendKey val="0"/>
            <c:showVal val="0"/>
            <c:showCatName val="0"/>
            <c:showSerName val="0"/>
            <c:showPercent val="1"/>
            <c:showBubbleSize val="0"/>
            <c:showLeaderLines val="1"/>
            <c:extLst>
              <c:ext xmlns:c15="http://schemas.microsoft.com/office/drawing/2012/chart" uri="{CE6537A1-D6FC-4f65-9D91-7224C49458BB}">
                <c15:spPr xmlns:c15="http://schemas.microsoft.com/office/drawing/2012/chart">
                  <a:prstGeom prst="wedgeEllipseCallout">
                    <a:avLst/>
                  </a:prstGeom>
                  <a:noFill/>
                  <a:ln>
                    <a:noFill/>
                  </a:ln>
                </c15:spPr>
                <c15:layout/>
                <c15:showLeaderLines val="1"/>
                <c15:leaderLines>
                  <c:spPr>
                    <a:ln w="9525" cap="flat" cmpd="sng" algn="ctr">
                      <a:solidFill>
                        <a:schemeClr val="tx1">
                          <a:lumMod val="35000"/>
                          <a:lumOff val="65000"/>
                        </a:schemeClr>
                      </a:solidFill>
                      <a:prstDash val="solid"/>
                      <a:round/>
                    </a:ln>
                    <a:effectLst/>
                  </c:spPr>
                </c15:leaderLines>
              </c:ext>
            </c:extLst>
          </c:dLbls>
          <c:cat>
            <c:strRef>
              <c:f>Sheet1!$A$2:$A$5</c:f>
              <c:strCache>
                <c:ptCount val="4"/>
                <c:pt idx="0">
                  <c:v>A.血压稳定在正常范围</c:v>
                </c:pt>
                <c:pt idx="1">
                  <c:v>B.血压多数时间在正常范围</c:v>
                </c:pt>
                <c:pt idx="2">
                  <c:v>C.血压偶尔超出正常范围</c:v>
                </c:pt>
                <c:pt idx="3">
                  <c:v>D.血压持续超出正常范围</c:v>
                </c:pt>
              </c:strCache>
            </c:strRef>
          </c:cat>
          <c:val>
            <c:numRef>
              <c:f>Sheet1!$B$2:$B$5</c:f>
              <c:numCache>
                <c:formatCode>0.00%</c:formatCode>
                <c:ptCount val="4"/>
                <c:pt idx="0">
                  <c:v>0.4495</c:v>
                </c:pt>
                <c:pt idx="1">
                  <c:v>0.4896</c:v>
                </c:pt>
                <c:pt idx="2">
                  <c:v>0.0609</c:v>
                </c:pt>
                <c:pt idx="3">
                  <c:v>0</c:v>
                </c:pt>
              </c:numCache>
            </c:numRef>
          </c:val>
        </c:ser>
        <c:dLbls>
          <c:showLegendKey val="0"/>
          <c:showVal val="0"/>
          <c:showCatName val="0"/>
          <c:showSerName val="0"/>
          <c:showPercent val="1"/>
          <c:showBubbleSize val="0"/>
        </c:dLbls>
      </c:pie3DChart>
      <c:spPr>
        <a:noFill/>
        <a:ln>
          <a:noFill/>
        </a:ln>
        <a:effectLst/>
      </c:spPr>
    </c:plotArea>
    <c:legend>
      <c:legendPos val="r"/>
      <c:layout>
        <c:manualLayout>
          <c:xMode val="edge"/>
          <c:yMode val="edge"/>
          <c:x val="0.686885842533058"/>
          <c:y val="0.314928425357873"/>
          <c:w val="0.29855635084314"/>
          <c:h val="0.403771870029539"/>
        </c:manualLayou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50000"/>
                  <a:lumOff val="50000"/>
                </a:schemeClr>
              </a:solidFill>
              <a:latin typeface="+mn-lt"/>
              <a:ea typeface="+mn-ea"/>
              <a:cs typeface="+mn-cs"/>
            </a:defRPr>
          </a:pPr>
        </a:p>
      </c:txPr>
    </c:legend>
    <c:plotVisOnly val="1"/>
    <c:dispBlanksAs val="gap"/>
    <c:showDLblsOverMax val="0"/>
    <c:extLst>
      <c:ext uri="{0b15fc19-7d7d-44ad-8c2d-2c3a37ce22c3}">
        <chartProps xmlns="https://web.wps.cn/et/2018/main" chartId="{d3ec2183-c593-4541-acad-541fbd05b2cb}"/>
      </c:ext>
    </c:extLst>
  </c:chart>
  <c:spPr>
    <a:solidFill>
      <a:schemeClr val="bg1"/>
    </a:solidFill>
    <a:ln w="9525" cap="flat" cmpd="sng" algn="ctr">
      <a:solidFill>
        <a:schemeClr val="bg1">
          <a:lumMod val="85000"/>
        </a:schemeClr>
      </a:solidFill>
      <a:prstDash val="solid"/>
      <a:round/>
    </a:ln>
    <a:effectLst>
      <a:outerShdw blurRad="63500" dist="37357" dir="2700000" sx="0" sy="0" rotWithShape="0">
        <a:scrgbClr r="0" g="0" b="0"/>
      </a:outerShdw>
    </a:effectLst>
  </c:spPr>
  <c:txPr>
    <a:bodyPr/>
    <a:lstStyle/>
    <a:p>
      <a:pPr>
        <a:defRPr lang="zh-CN"/>
      </a:pPr>
    </a:p>
  </c:txPr>
  <c:externalData r:id="rId1">
    <c:autoUpdate val="0"/>
  </c:externalData>
</c:chartSpace>
</file>

<file path=word/charts/chart2.xml><?xml version="1.0" encoding="utf-8"?>
<c:chartSpace xmlns:a="http://schemas.openxmlformats.org/drawingml/2006/main" xmlns:c="http://schemas.openxmlformats.org/drawingml/2006/chart" xmlns:c14="http://schemas.microsoft.com/office/drawing/2007/8/2/chart" xmlns:mc="http://schemas.openxmlformats.org/markup-compatibility/2006" xmlns:ns4="http://schemas.microsoft.com/office/drawing/2012/chart" xmlns:ns5="https://web.wps.cn/et/2018/main" xmlns:r="http://schemas.openxmlformats.org/officeDocument/2006/relationships">
  <c:date1904 val="0"/>
  <c:lang val="zh-CN"/>
  <c:roundedCorners val="0"/>
  <mc:AlternateContent>
    <mc:Choice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solidFill>
                <a:latin typeface="+mn-lt"/>
                <a:ea typeface="+mn-ea"/>
                <a:cs typeface="+mn-cs"/>
              </a:defRPr>
            </a:pPr>
            <a:r>
              <a:t>药品价格接受度情况</a:t>
            </a:r>
            <a:endParaRPr lang="en-US" altLang="zh-CN"/>
          </a:p>
        </c:rich>
      </c:tx>
      <c:layout>
        <c:manualLayout>
          <c:xMode val="edge"/>
          <c:yMode val="edge"/>
          <c:x val="0.413354338342221"/>
          <c:y val="0.0272806364231808"/>
        </c:manualLayout>
      </c:layout>
      <c:overlay val="0"/>
      <c:spPr>
        <a:noFill/>
        <a:ln>
          <a:noFill/>
        </a:ln>
        <a:effectLst/>
      </c:spPr>
    </c:title>
    <c:autoTitleDeleted val="0"/>
    <c:view3D>
      <c:rotX val="40"/>
      <c:rotY val="0"/>
      <c:depthPercent val="100"/>
      <c:rAngAx val="0"/>
    </c:view3D>
    <c:floor>
      <c:thickness val="0"/>
    </c:floor>
    <c:sideWall>
      <c:thickness val="0"/>
    </c:sideWall>
    <c:backWall>
      <c:thickness val="0"/>
    </c:backWall>
    <c:plotArea>
      <c:layout>
        <c:manualLayout>
          <c:layoutTarget val="inner"/>
          <c:xMode val="edge"/>
          <c:yMode val="edge"/>
          <c:x val="0.0683470673776054"/>
          <c:y val="0.210447441661314"/>
          <c:w val="0.555138148327678"/>
          <c:h val="0.694926140012845"/>
        </c:manualLayout>
      </c:layout>
      <c:barChart>
        <c:barDir val="bar"/>
        <c:grouping val="clustered"/>
        <c:ser>
          <c:idx val="0"/>
          <c:order val="0"/>
          <c:tx>
            <c:strRef>
              <c:f>Sheet1!$B$1</c:f>
              <c:strCache>
                <c:ptCount val="1"/>
                <c:pt idx="0">
                  <c:v>销售额</c:v>
                </c:pt>
              </c:strCache>
            </c:strRef>
          </c:tx>
          <c:spPr>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idx val="0"/>
            <c:bubble3D val="0"/>
            <c:spPr>
              <a:gradFill>
                <a:gsLst>
                  <a:gs pos="0">
                    <a:schemeClr val="accent1">
                      <a:lumMod val="60000"/>
                      <a:lumOff val="40000"/>
                    </a:schemeClr>
                  </a:gs>
                  <a:gs pos="50000">
                    <a:schemeClr val="accent1"/>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1"/>
            <c:bubble3D val="0"/>
            <c:spPr>
              <a:gradFill>
                <a:gsLst>
                  <a:gs pos="0">
                    <a:schemeClr val="accent3">
                      <a:lumMod val="60000"/>
                      <a:lumOff val="40000"/>
                    </a:schemeClr>
                  </a:gs>
                  <a:gs pos="60000">
                    <a:schemeClr val="accent3"/>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2"/>
            <c:bubble3D val="0"/>
            <c:spPr>
              <a:gradFill>
                <a:gsLst>
                  <a:gs pos="0">
                    <a:schemeClr val="accent2">
                      <a:lumMod val="60000"/>
                      <a:lumOff val="40000"/>
                    </a:schemeClr>
                  </a:gs>
                  <a:gs pos="60000">
                    <a:schemeClr val="accent2">
                      <a:alpha val="100000"/>
                    </a:schemeClr>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3"/>
            <c:bubble3D val="0"/>
            <c:spPr>
              <a:gradFill>
                <a:gsLst>
                  <a:gs pos="0">
                    <a:schemeClr val="accent4">
                      <a:lumMod val="60000"/>
                      <a:lumOff val="40000"/>
                    </a:schemeClr>
                  </a:gs>
                  <a:gs pos="60000">
                    <a:schemeClr val="accent4"/>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Lbls>
            <c:dLbl>
              <c:idx val="0"/>
              <c:layout/>
              <c:numFmt formatCode="General" sourceLinked="1"/>
              <c:spPr>
                <a:solidFill>
                  <a:schemeClr val="accent1"/>
                </a:solidFill>
                <a:ln>
                  <a:solidFill>
                    <a:schemeClr val="accent1">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dLbl>
              <c:idx val="1"/>
              <c:layout>
                <c:manualLayout>
                  <c:x val="-0.00783903841128821"/>
                  <c:y val="-0.0826901874310915"/>
                </c:manualLayout>
              </c:layout>
              <c:numFmt formatCode="General" sourceLinked="1"/>
              <c:spPr>
                <a:solidFill>
                  <a:schemeClr val="accent3"/>
                </a:solidFill>
                <a:ln>
                  <a:solidFill>
                    <a:schemeClr val="accent3">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bestFit"/>
              <c:showLegendKey val="0"/>
              <c:showVal val="0"/>
              <c:showCatName val="0"/>
              <c:showSerName val="0"/>
              <c:showPercent val="1"/>
              <c:showBubbleSize val="0"/>
              <c:extLst>
                <c:ext uri="{CE6537A1-D6FC-4f65-9D91-7224C49458BB}">
                  <ns4:layout/>
                </c:ext>
              </c:extLst>
            </c:dLbl>
            <c:dLbl>
              <c:idx val="2"/>
              <c:layout/>
              <c:numFmt formatCode="General" sourceLinked="1"/>
              <c:spPr>
                <a:solidFill>
                  <a:schemeClr val="accent2"/>
                </a:solidFill>
                <a:ln>
                  <a:solidFill>
                    <a:schemeClr val="accent2">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dLbl>
              <c:idx val="3"/>
              <c:layout/>
              <c:numFmt formatCode="General" sourceLinked="1"/>
              <c:spPr>
                <a:solidFill>
                  <a:schemeClr val="accent4"/>
                </a:solidFill>
                <a:ln>
                  <a:solidFill>
                    <a:schemeClr val="accent4">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numFmt formatCode="General" sourceLinked="1"/>
            <c:spPr>
              <a:solidFill>
                <a:srgbClr val="FFFFFF"/>
              </a:solidFill>
              <a:ln>
                <a:solidFill>
                  <a:srgbClr val="000000">
                    <a:lumMod val="65000"/>
                    <a:lumOff val="35000"/>
                  </a:srgb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solidFill>
                    <a:latin typeface="+mn-lt"/>
                    <a:ea typeface="+mn-ea"/>
                    <a:cs typeface="+mn-cs"/>
                  </a:defRPr>
                </a:pPr>
              </a:p>
            </c:txPr>
            <c:dLblPos val="outEnd"/>
            <c:showLegendKey val="0"/>
            <c:showVal val="0"/>
            <c:showCatName val="0"/>
            <c:showSerName val="0"/>
            <c:showPercent val="1"/>
            <c:showBubbleSize val="0"/>
            <c:showLeaderLines val="1"/>
            <c:extLst>
              <c:ext uri="{CE6537A1-D6FC-4f65-9D91-7224C49458BB}">
                <ns4:spPr>
                  <a:prstGeom prst="wedgeEllipseCallout">
                    <a:avLst/>
                  </a:prstGeom>
                  <a:noFill/>
                  <a:ln>
                    <a:noFill/>
                  </a:ln>
                </ns4:spPr>
                <ns4:layout/>
                <ns4:showLeaderLines val="1"/>
                <ns4:leaderLines>
                  <c:spPr>
                    <a:ln w="9525" cap="flat" cmpd="sng" algn="ctr">
                      <a:solidFill>
                        <a:schemeClr val="tx1">
                          <a:lumMod val="35000"/>
                          <a:lumOff val="65000"/>
                        </a:schemeClr>
                      </a:solidFill>
                      <a:prstDash val="solid"/>
                      <a:round/>
                    </a:ln>
                    <a:effectLst/>
                  </c:spPr>
                </ns4:leaderLines>
              </c:ext>
            </c:extLst>
          </c:dLbls>
          <c:cat>
            <c:strRef>
              <c:f>Sheet1!$A$2:$A$5</c:f>
              <c:strCache>
                <c:ptCount val="4"/>
                <c:pt idx="0">
                  <c:v>难以承受</c:v>
                </c:pt>
                <c:pt idx="1">
                  <c:v>勉强承受</c:v>
                </c:pt>
                <c:pt idx="2">
                  <c:v>在可接受范围</c:v>
                </c:pt>
                <c:pt idx="3">
                  <c:v>无压力</c:v>
                </c:pt>
              </c:strCache>
            </c:strRef>
          </c:cat>
          <c:val>
            <c:numRef>
              <c:f>Sheet1!$B$2:$B$5</c:f>
              <c:numCache>
                <c:formatCode>General</c:formatCode>
                <c:ptCount val="4"/>
                <c:pt idx="0">
                  <c:v>0</c:v>
                </c:pt>
                <c:pt idx="1">
                  <c:v>0</c:v>
                </c:pt>
                <c:pt idx="2">
                  <c:v>0</c:v>
                </c:pt>
                <c:pt idx="3">
                  <c:v>0</c:v>
                </c:pt>
              </c:numCache>
            </c:numRef>
          </c:val>
        </c:ser>
        <c:dLbls>
          <c:showLegendKey val="0"/>
          <c:showVal val="1"/>
          <c:showCatName val="0"/>
          <c:showSerName val="0"/>
          <c:showPercent val="0"/>
          <c:showBubbleSize val="0"/>
        </c:dLbls>
        <c:gapWidth val="120"/>
        <c:axId val="10"/>
        <c:axId val="100"/>
      </c:barChart>
      <c:catAx>
        <c:axId val="10"/>
        <c:scaling>
          <c:orientation val="minMax"/>
        </c:scaling>
        <c:delete val="0"/>
        <c:axPos val="l"/>
        <c:majorTickMark val="none"/>
        <c:minorTickMark val="none"/>
        <c:tickLblPos val="nextTo"/>
        <c:crossAx val="100"/>
        <c:crosses val="autoZero"/>
        <c:lblOffset val="100"/>
      </c:catAx>
      <c:valAx>
        <c:axId val="100"/>
        <c:scaling>
          <c:orientation val="minMax"/>
        </c:scaling>
        <c:delete val="0"/>
        <c:axPos val="b"/>
        <c:majorGridlines/>
        <c:numFmt formatCode="General" sourceLinked="1"/>
        <c:majorTickMark val="none"/>
        <c:minorTickMark val="none"/>
        <c:tickLblPos val="nextTo"/>
        <c:crossAx val="10"/>
        <c:crosses val="autoZero"/>
        <c:crossBetween val="between"/>
      </c:valAx>
      <c:spPr>
        <a:noFill/>
        <a:ln>
          <a:noFill/>
        </a:ln>
        <a:effectLst/>
      </c:spPr>
    </c:plotArea>
    <c:legend>
      <c:legendPos val="r"/>
      <c:layout>
        <c:manualLayout>
          <c:xMode val="edge"/>
          <c:yMode val="edge"/>
          <c:x val="0.667474551623849"/>
          <c:y val="0.370156283451081"/>
          <c:w val="0.317983519146874"/>
          <c:h val="0.37871976022265"/>
        </c:manualLayou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50000"/>
                  <a:lumOff val="50000"/>
                </a:schemeClr>
              </a:solidFill>
              <a:latin typeface="+mn-lt"/>
              <a:ea typeface="+mn-ea"/>
              <a:cs typeface="+mn-cs"/>
            </a:defRPr>
          </a:pPr>
        </a:p>
      </c:txPr>
    </c:legend>
    <c:plotVisOnly val="1"/>
    <c:dispBlanksAs val="gap"/>
    <c:showDLblsOverMax val="0"/>
    <c:extLst>
      <c:ext uri="{0b15fc19-7d7d-44ad-8c2d-2c3a37ce22c3}">
        <ns5:chartProps chartId="{d3ec2183-c593-4541-acad-541fbd05b2cb}"/>
      </c:ext>
    </c:extLst>
  </c:chart>
  <c:spPr>
    <a:solidFill>
      <a:schemeClr val="bg1"/>
    </a:solidFill>
    <a:ln w="9525" cap="flat" cmpd="sng" algn="ctr">
      <a:solidFill>
        <a:schemeClr val="bg1">
          <a:lumMod val="85000"/>
        </a:schemeClr>
      </a:solidFill>
      <a:prstDash val="solid"/>
      <a:round/>
    </a:ln>
    <a:effectLst>
      <a:outerShdw blurRad="63500" dist="37357" dir="2700000" sx="0" sy="0" rotWithShape="0">
        <a:scrgbClr r="0" g="0" b="0"/>
      </a:outerShdw>
    </a:effectLst>
  </c:spPr>
  <c:txPr>
    <a:bodyPr/>
    <a:lstStyle/>
    <a:p>
      <a:pPr>
        <a:defRPr lang="zh-CN"/>
      </a:pPr>
    </a:p>
  </c:txPr>
  <c:externalData r:id="rId1">
    <c:autoUpdate val="0"/>
  </c:externalData>
</c:chartSpac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16.1">
    <a:dk1>
      <a:srgbClr val="000000"/>
    </a:dk1>
    <a:lt1>
      <a:srgbClr val="FFFFFF"/>
    </a:lt1>
    <a:dk2>
      <a:srgbClr val="0F1423"/>
    </a:dk2>
    <a:lt2>
      <a:srgbClr val="FFFFFF"/>
    </a:lt2>
    <a:accent1>
      <a:srgbClr val="7262FD"/>
    </a:accent1>
    <a:accent2>
      <a:srgbClr val="FF6637"/>
    </a:accent2>
    <a:accent3>
      <a:srgbClr val="FF860F"/>
    </a:accent3>
    <a:accent4>
      <a:srgbClr val="FFB607"/>
    </a:accent4>
    <a:accent5>
      <a:srgbClr val="45CBF1"/>
    </a:accent5>
    <a:accent6>
      <a:srgbClr val="41DDAC"/>
    </a:accent6>
    <a:hlink>
      <a:srgbClr val="0563C1"/>
    </a:hlink>
    <a:folHlink>
      <a:srgbClr val="954D72"/>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16.1">
    <a:dk1>
      <a:srgbClr val="000000"/>
    </a:dk1>
    <a:lt1>
      <a:srgbClr val="FFFFFF"/>
    </a:lt1>
    <a:dk2>
      <a:srgbClr val="0F1423"/>
    </a:dk2>
    <a:lt2>
      <a:srgbClr val="FFFFFF"/>
    </a:lt2>
    <a:accent1>
      <a:srgbClr val="7262FD"/>
    </a:accent1>
    <a:accent2>
      <a:srgbClr val="FF6637"/>
    </a:accent2>
    <a:accent3>
      <a:srgbClr val="FF860F"/>
    </a:accent3>
    <a:accent4>
      <a:srgbClr val="FFB607"/>
    </a:accent4>
    <a:accent5>
      <a:srgbClr val="45CBF1"/>
    </a:accent5>
    <a:accent6>
      <a:srgbClr val="41DDAC"/>
    </a:accent6>
    <a:hlink>
      <a:srgbClr val="0563C1"/>
    </a:hlink>
    <a:folHlink>
      <a:srgbClr val="954D72"/>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webExtensions/_rels/webExtension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package" Target="../embeddings/Workbook3.xlsx"/></Relationships>
</file>

<file path=word/webExtensions/webExtension1.xml><?xml version="1.0" encoding="utf-8"?>
<wpswe:webExtension xmlns:wpswe="http://www.wps.cn/officeDocument/2018/webExtension" xmlns:webet="https://web.wps.cn/et/2018/main" webet:type="Normal" type="0" webet:id="">
  <wpswe:extSource id="dschart" version="1.0"/>
  <wpswe:properties>
    <wpswe:property key="DiscardFirstCodeChange" value="0"/>
    <wpswe:property key="autoSnapshot" value="0"/>
    <wpswe:property key="dschart" value="{&quot;dschart_data&quot;:{&quot;blockId&quot;:&quot;161243067158731941&quot;,&quot;chart_type&quot;:&quot;饼图&quot;,&quot;classifty_type&quot;:[&quot;占比类&quot;],&quot;dataSrc&quot;:{&quot;data&quot;:[[[&quot;属性&quot;,&quot;值&quot;],[&quot;药品疗效&quot;,&quot;7%&quot;],[&quot;药品安全性&quot;,&quot;14%&quot;],[&quot;用药行为与习惯&quot;,&quot;37%&quot;],[&quot;用药便利性&quot;,&quot;14%&quot;],[&quot;药品经济性&quot;,&quot;7%&quot;],[&quot;药品可及性&quot;,&quot;7%&quot;],[&quot;用药指导信息评价&quot;,&quot;14%&quot;]]],&quot;dataType&quot;:&quot;obejct-table&quot;,&quot;download&quot;:false,&quot;srcType&quot;:&quot;local&quot;,&quot;url&quot;:&quot;&quot;},&quot;function_type&quot;:[&quot;饼图&quot;],&quot;gif&quot;:&quot;//web.docer.wpscdn.cn/docer/ds-page/images/444746070325460997.gif?imageView2/2/w/500/quality/90&quot;,&quot;index&quot;:1,&quot;isFree&quot;:&quot;0&quot;,&quot;label&quot;:&quot;&lt;e-piebasic-chart&gt;&quot;,&quot;projectId&quot;:&quot;444746070325460997&quot;,&quot;props&quot;:{&quot;animation&quot;:{&quot;duration&quot;:&quot;1.5&quot;,&quot;easeStyle&quot;:&quot;&quot;,&quot;endPause&quot;:&quot;1&quot;,&quot;moveOptions&quot;:[&quot;轮子&quot;,&quot;百叶窗&quot;,&quot;折扇&quot;,&quot;径向展开&quot;],&quot;moveStyle&quot;:&quot;轮子&quot;,&quot;startDelay&quot;:&quot;0&quot;,&quot;transition&quot;:true},&quot;axis&quot;:&quot;&quot;,&quot;backgroundColor&quot;:&quot;&quot;,&quot;colors&quot;:{&quot;colorControlers&quot;:[&quot;multiple&quot;,&quot;linear&quot;],&quot;list&quot;:[&quot;#5956F4ff&quot;,&quot;#53e09eff&quot;,&quot;#ffdc4cff&quot;,&quot;#ff9c46ff&quot;,0,1,2],&quot;type&quot;:&quot;multiple&quot;},&quot;display&quot;:{&quot;borderColor&quot;:&quot;#FFFFFF&quot;,&quot;borderWidth&quot;:&quot;1&quot;,&quot;cornerRadius&quot;:&quot;0&quot;,&quot;fillOpacity&quot;:&quot;1&quot;,&quot;gapPercentage&quot;:&quot;0&quot;,&quot;innerRadiusRatio&quot;:&quot;0&quot;},&quot;label&quot;:{&quot;contentChoice&quot;:[&quot;百分比&quot;],&quot;contentOption&quot;:[&quot;名称&quot;,&quot;百分比&quot;,&quot;数值&quot;],&quot;display&quot;:true,&quot;positionChoice&quot;:&quot;外部&quot;,&quot;positionOptions&quot;:[&quot;内部周向&quot;,&quot;内部水平&quot;,&quot;外部&quot;],&quot;suffix&quot;:&quot;&quot;,&quot;textLabel&quot;:{&quot;color&quot;:&quot;#545454&quot;,&quot;fontFamily&quot;:&quot;微软雅黑&quot;,&quot;fontSize&quot;:&quot;14&quot;}},&quot;legend&quot;:{&quot;color&quot;:[&quot;#545454&quot;],&quot;fontFamily&quot;:[&quot;阿里巴巴普惠体常规&quot;],&quot;fontSize&quot;:&quot;12&quot;,&quot;lineHeight&quot;:&quot;15&quot;,&quot;show&quot;:true,&quot;style&quot;:&quot;&quot;,&quot;styleOptions&quot;:[],&quot;xPosition&quot;:&quot;center&quot;,&quot;yPosition&quot;:&quot;bottom&quot;},&quot;logoDisplay&quot;:{&quot;bottomLineHeight&quot;:&quot;15&quot;,&quot;imgHeight&quot;:&quot;32&quot;,&quot;imgUrl&quot;:&quot;https://ss1.dydata.io/newchartLogo.png&quot;,&quot;show&quot;:true,&quot;topLineHeight&quot;:&quot;11&quot;},&quot;map&quot;:[[{&quot;allowType&quot;:[&quot;string&quot;],&quot;configurable&quot;:false,&quot;function&quot;:&quot;objCol&quot;,&quot;index&quot;:0,&quot;isLegend&quot;:true,&quot;name&quot;:&quot;名称&quot;},{&quot;allowType&quot;:[&quot;number&quot;],&quot;configurable&quot;:false,&quot;function&quot;:&quot;vCol&quot;,&quot;index&quot;:1,&quot;isLegend&quot;:false,&quot;name&quot;:&quot;值&quot;}]],&quot;numberFormat&quot;:{&quot;decimalPlaces&quot;:&quot;&quot;,&quot;style&quot;:&quot;1000.00&quot;},&quot;paddings&quot;:{&quot;bottom&quot;:&quot;33&quot;,&quot;chartBottom&quot;:&quot;5&quot;,&quot;left&quot;:&quot;24&quot;,&quot;right&quot;:&quot;24&quot;,&quot;top&quot;:&quot;24&quot;},&quot;publishDisplay&quot;:{&quot;color&quot;:&quot;#878787&quot;,&quot;fontFamily&quot;:&quot;黑体&quot;,&quot;fontSize&quot;:&quot;14&quot;,&quot;show&quot;:true,&quot;text&quot;:&quot;镝数出品&quot;},&quot;shadow&quot;:{&quot;display&quot;:false,&quot;shadowAngle&quot;:&quot;45&quot;,&quot;shadowBlur&quot;:&quot;5&quot;,&quot;shadowColor&quot;:&quot;#a8a8a7cc&quot;,&quot;shadowOpacity&quot;:&quot;100&quot;,&quot;shadowRadius&quot;:&quot;3&quot;},&quot;size&quot;:{&quot;height&quot;:451,&quot;ratio&quot;:&quot;&quot;,&quot;rotate&quot;:0,&quot;width&quot;:551},&quot;sourceDisplay&quot;:{&quot;color&quot;:&quot;#878787&quot;,&quot;fontFamily&quot;:&quot;黑体&quot;,&quot;fontSize&quot;:&quot;14&quot;,&quot;show&quot;:false,&quot;text&quot;:&quot;数据来源：示例数据&quot;,&quot;topLineHeight&quot;:&quot;15&quot;,&quot;xPosition&quot;:&quot;left&quot;,&quot;yPosition&quot;:&quot;bottom&quot;},&quot;titleDisplay&quot;:{&quot;color&quot;:&quot;#4c4c4c&quot;,&quot;fontFamily&quot;:&quot;阿里巴巴普惠体 常规&quot;,&quot;fontSize&quot;:&quot;32&quot;,&quot;lineHeight&quot;:&quot;10&quot;,&quot;show&quot;:false,&quot;text&quot;:&quot;本月收入与支出情况&quot;,&quot;totalHeight&quot;:&quot;39&quot;,&quot;xPosition&quot;:&quot;left&quot;,&quot;yPosition&quot;:&quot;top&quot;},&quot;tooltip&quot;:true,&quot;unitDisplay&quot;:{&quot;bottomLineHeight&quot;:&quot;15&quot;,&quot;color&quot;:&quot;#878787&quot;,&quot;fontFamily&quot;:&quot;阿里巴巴普惠体常规&quot;,&quot;fontSize&quot;:&quot;14&quot;,&quot;show&quot;:false,&quot;text&quot;:&quot;单位：元&quot;,&quot;xPosition&quot;:&quot;left&quot;,&quot;yPosition&quot;:&quot;top&quot;},&quot;watermarkDisplay&quot;:{&quot;imgHeight&quot;:&quot;80&quot;,&quot;imgUrl&quot;:&quot;https://ss1.dydata.io/newchartWatermark.png&quot;,&quot;imgWidth&quot;:&quot;80&quot;,&quot;show&quot;:false}},&quot;templateId&quot;:&quot;444746070325460997-8&quot;,&quot;templateSwitch&quot;:&quot;key-value&quot;,&quot;theme&quot;:{&quot;axis&quot;:{&quot;color&quot;:&quot;#a1a1a1&quot;},&quot;backgroundColor&quot;:&quot;#FFFFFF&quot;,&quot;colors&quot;:[&quot;#5AAEF3&quot;,&quot;#62D9AD&quot;,&quot;#5B6E96&quot;,&quot;#a8dffa&quot;,&quot;#ffdc4c&quot;,&quot;#FF974C&quot;,&quot;#E65A56&quot;,&quot;#6D61E4&quot;,&quot;#4A6FE2&quot;,&quot;#6D9AE7&quot;,&quot;#23C2DB&quot;,&quot;#D4EC59&quot;,&quot;#FFE88E&quot;,&quot;#FEB64D&quot;,&quot;#FB6E6C&quot;],&quot;fonts&quot;:{&quot;accessoryColor&quot;:&quot;#878787&quot;,&quot;color&quot;:&quot;#545454&quot;,&quot;fontFamily&quot;:&quot;黑体&quot;,&quot;fontSize&quot;:&quot;14&quot;},&quot;grid&quot;:{&quot;color&quot;:&quot;#ccc&quot;},&quot;name&quot;:&quot;默认主题&quot;,&quot;price&quot;:&quot;0.0&quot;,&quot;shapeColor&quot;:1,&quot;themeId&quot;:&quot;18&quot;,&quot;titleFont&quot;:{&quot;color&quot;:&quot;#4c4c4c&quot;,&quot;fontFamily&quot;:&quot;黑体&quot;,&quot;fontSize&quot;:&quot;36&quot;}},&quot;thumb&quot;:&quot;./images/444746070325460997-8.jpg&quot;,&quot;title&quot;:&quot;基础饼图&quot;,&quot;type&quot;:&quot;chart&quot;},&quot;dschart_id&quot;:&quot;444746070325460997-8&quot;,&quot;flag&quot;:&quot;1003&quot;,&quot;id&quot;:&quot;144&quot;}"/>
    <wpswe:property key="isUseCommonErrorPage" value="false"/>
    <wpswe:property key="loadingImage" value="res:/icons/DsWebShapeDefaultPage.svg"/>
  </wpswe:properties>
  <wpswe:watchingCache>
    <wpswe:linkPath>C:/Users/一一/AppData/Local/Temp/wps.DwikEb/Workbook3.xlsx</wpswe:linkPath>
  </wpswe:watchingCache>
  <wpswe:snapshot xmlns:r="http://schemas.openxmlformats.org/officeDocument/2006/relationships" r:embed="rId2"/>
  <wpswe:externalData xmlns:r="http://schemas.openxmlformats.org/officeDocument/2006/relationships" r:id="rId1"/>
  <wpswe:url>https://clientweb.docer.wps.cn/docer-ds/web-shape-1.0.0/?id=144&amp;dschart_id=5544734748594536330-7&amp;from=&amp;productEntry=insert&amp;sceneEntry=rec-144&amp;flag=1003</wpswe:url>
  <wpswe:constantSnapshot>false</wpswe:constantSnapshot>
</wps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简约商务风项目计划封面"/>
      <sectRole val="1"/>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4798</Words>
  <Characters>5435</Characters>
  <Lines>0</Lines>
  <Paragraphs>0</Paragraphs>
  <TotalTime>73</TotalTime>
  <ScaleCrop>false</ScaleCrop>
  <LinksUpToDate>false</LinksUpToDate>
  <CharactersWithSpaces>5503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2023-10-19T07:54:00Z</dcterms:created>
  <dc:creator>Zaralin</dc:creator>
  <cp:lastModifiedBy>koki</cp:lastModifiedBy>
  <dcterms:modified xsi:type="dcterms:W3CDTF">2025-12-31T04:29:29Z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EFE0C47C61DE41689FC0FAEC4DB2EB29_13</vt:lpwstr>
  </property>
  <property fmtid="{D5CDD505-2E9C-101B-9397-08002B2CF9AE}" pid="4" name="KSOTemplateDocerSaveRecord">
    <vt:lpwstr>eyJoZGlkIjoiNzMyNDZlYmFhMmNkMWYxOTZkNjcxNjlhNjFjMTBjYzYiLCJ1c2VySWQiOiIxMDg3ODE4ODA2In0=</vt:lpwstr>
  </property>
</Properties>
</file>