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Extensions/webExtension1.xml" ContentType="application/vnd.wps-officedocument.webExtension+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10="http://schemas.microsoft.com/office/word/2012/wordml" xmlns:ns11="http://www.wps.cn/officeDocument/2018/webExtension" xmlns:ns12="http://schemas.openxmlformats.org/drawingml/2006/chart" xmlns:ns2="http://schemas.microsoft.com/office/word/2010/wordml" xmlns:ns3="http://schemas.openxmlformats.org/drawingml/2006/wordprocessingDrawing" xmlns:ns4="http://schemas.openxmlformats.org/drawingml/2006/main" xmlns:ns5="http://schemas.microsoft.com/office/word/2010/wordprocessingShape" xmlns:ns6="urn:schemas-microsoft-com:vml" xmlns:ns7="urn:schemas-microsoft-com:office:office" xmlns:ns8="http://schemas.openxmlformats.org/drawingml/2006/picture" xmlns:ns9="http://schemas.openxmlformats.org/officeDocument/2006/relationships" xmlns:w="http://schemas.openxmlformats.org/wordprocessingml/2006/main" ns1:Ignorable="w14 w15 wp14">
  <w:body>
    <w:p ns2:paraId="31962E5B">
      <w:pPr>
        <w:rPr>
          <w:rFonts w:hint="eastAsia" w:eastAsia="汉仪粗黑简"/>
          <w:lang w:eastAsia="zh-CN"/>
        </w:rPr>
      </w:pPr>
      <w:r>
        <w:rPr>
          <w:sz w:val="21"/>
        </w:rPr>
        <ns1:AlternateContent>
          <ns1:Choice Requires="wps">
            <w:drawing>
              <ns3:anchor distT="0" distB="0" distL="114300" distR="114300" simplePos="0" relativeHeight="251662336" behindDoc="0" locked="0" layoutInCell="1" allowOverlap="1">
                <ns3:simplePos x="0" y="0"/>
                <ns3:positionH relativeFrom="column">
                  <ns3:posOffset>-680085</ns3:posOffset>
                </ns3:positionH>
                <ns3:positionV relativeFrom="paragraph">
                  <ns3:posOffset>5374640</ns3:posOffset>
                </ns3:positionV>
                <ns3:extent cx="4483735" cy="658495"/>
                <ns3:effectExtent l="0" t="0" r="0" b="0"/>
                <ns3:wrapNone/>
                <ns3:docPr id="13" name="文本框 52"/>
                <ns3:cNvGraphicFramePr/>
                <ns4:graphic>
                  <ns4:graphicData uri="http://schemas.microsoft.com/office/word/2010/wordprocessingShape">
                    <ns5:wsp>
                      <ns5:cNvSpPr txBox="1"/>
                      <ns5:spPr>
                        <ns4:xfrm>
                          <ns4:off x="462915" y="6289040"/>
                          <ns4:ext cx="4483735" cy="658495"/>
                        </ns4:xfrm>
                        <ns4:prstGeom prst="rect">
                          <ns4:avLst/>
                        </ns4:prstGeom>
                        <ns4:noFill/>
                      </ns5:spPr>
                      <ns5:txbx>
                        <w:txbxContent>
                          <w:p ns2:paraId="1BD710F2">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rPr>
                              <w:t xml:space="preserve">项目名称：{{field.service.unit}}</w:t>
                            </w:r>
                            <w:r>
                              <w:rPr>
                                <w:rFonts w:hint="eastAsia" w:ascii="汉仪中宋简" w:hAnsi="汉仪中宋简" w:eastAsia="汉仪中宋简" w:cs="汉仪中宋简"/>
                                <w:color w:val="199F9B"/>
                                <w:kern w:val="24"/>
                                <w:sz w:val="32"/>
                                <w:szCs w:val="32"/>
                                <w:lang w:eastAsia="zh-CN"/>
                              </w:rPr>
                              <w:t/>
                            </w:r>
                            <w:r>
                              <w:rPr>
                                <w:rFonts w:hint="eastAsia" w:ascii="汉仪中宋简" w:hAnsi="汉仪中宋简" w:eastAsia="汉仪中宋简" w:cs="汉仪中宋简"/>
                                <w:color w:val="199F9B"/>
                                <w:kern w:val="24"/>
                                <w:sz w:val="32"/>
                                <w:szCs w:val="32"/>
                                <w:lang w:val="en-US" w:eastAsia="zh-CN"/>
                              </w:rPr>
                              <w:t/>
                            </w:r>
                          </w:p>
                          <w:p ns2:paraId="4A09E810">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服务品种：{{field.meta.product}}</w:t>
                            </w:r>
                          </w:p>
                          <w:p ns2:paraId="3436BB5D">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default"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调研区域：{{field.meta.region}}</w:t>
                            </w:r>
                            <w:r>
                              <w:rPr>
                                <w:rFonts w:hint="eastAsia" w:ascii="汉仪中宋简" w:hAnsi="汉仪中宋简" w:eastAsia="汉仪中宋简" w:cs="汉仪中宋简"/>
                                <w:color w:val="199F9B"/>
                                <w:kern w:val="24"/>
                                <w:sz w:val="32"/>
                                <w:szCs w:val="32"/>
                                <w:highlight w:val="none"/>
                                <w:lang w:val="en-US" w:eastAsia="zh-CN"/>
                              </w:rPr>
                              <w:t/>
                            </w:r>
                          </w:p>
                          <w:p ns2:paraId="4809D206">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调研时间：{{field.meta.survey_period_display}}</w:t>
                            </w:r>
                          </w:p>
                          <w:p ns2:paraId="0FCA3A64">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粗黑简" w:hAnsi="Times New Roman" w:eastAsia="汉仪粗黑简"/>
                                <w:color w:val="199F9B"/>
                                <w:kern w:val="24"/>
                                <w:sz w:val="32"/>
                                <w:szCs w:val="32"/>
                                <w:lang w:val="en-US" w:eastAsia="zh-CN"/>
                              </w:rPr>
                            </w:pPr>
                          </w:p>
                        </w:txbxContent>
                      </ns5:txbx>
                      <ns5:bodyPr wrap="square" rtlCol="0">
                        <ns4:spAutoFit/>
                      </ns5:bodyPr>
                    </ns5:wsp>
                  </ns4:graphicData>
                </ns4:graphic>
              </ns3:anchor>
            </w:drawing>
          </ns1:Choice>
          <ns1:Fallback>
            <w:pict>
              <ns6:shape id="文本框 52" ns7:spid="_x0000_s1026" ns7:spt="202" type="#_x0000_t202" style="position:absolute;left:0pt;margin-left:-53.55pt;margin-top:423.2pt;height:51.85pt;width:353.05pt;z-index:251662336;mso-width-relative:page;mso-height-relative:page;" filled="f" stroked="f" coordsize="21600,21600" ns7:gfxdata="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BsnVf42gAAAAwBAAAPAAAAAAAAAAEAIAAAACIAAABkcnMvZG93&#10;bnJldi54bWxQSwECFAAUAAAACACHTuJA9DbBgMUBAABqAwAADgAAAAAAAAABACAAAAApAQAAZHJz&#10;L2Uyb0RvYy54bWxQSwUGAAAAAAYABgBZAQAAYAUAAAAA&#10;">
                <ns6:fill on="f" focussize="0,0"/>
                <ns6:stroke on="f"/>
                <ns6:imagedata ns7:title=""/>
                <ns7:lock ns6:ext="edit" aspectratio="f"/>
                <ns6:textbox style="mso-fit-shape-to-text:t;">
                  <w:txbxContent>
                    <w:p ns2:paraId="1BD710F2">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rPr>
                        <w:t xml:space="preserve">项目名称：{{field.service.unit}}</w:t>
                      </w:r>
                      <w:r>
                        <w:rPr>
                          <w:rFonts w:hint="eastAsia" w:ascii="汉仪中宋简" w:hAnsi="汉仪中宋简" w:eastAsia="汉仪中宋简" w:cs="汉仪中宋简"/>
                          <w:color w:val="199F9B"/>
                          <w:kern w:val="24"/>
                          <w:sz w:val="32"/>
                          <w:szCs w:val="32"/>
                          <w:lang w:eastAsia="zh-CN"/>
                        </w:rPr>
                        <w:t/>
                      </w:r>
                      <w:r>
                        <w:rPr>
                          <w:rFonts w:hint="eastAsia" w:ascii="汉仪中宋简" w:hAnsi="汉仪中宋简" w:eastAsia="汉仪中宋简" w:cs="汉仪中宋简"/>
                          <w:color w:val="199F9B"/>
                          <w:kern w:val="24"/>
                          <w:sz w:val="32"/>
                          <w:szCs w:val="32"/>
                          <w:lang w:val="en-US" w:eastAsia="zh-CN"/>
                        </w:rPr>
                        <w:t/>
                      </w:r>
                    </w:p>
                    <w:p ns2:paraId="4A09E810">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服务品种：{{field.meta.product}}</w:t>
                      </w:r>
                    </w:p>
                    <w:p ns2:paraId="3436BB5D">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default"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调研区域：{{field.meta.region}}</w:t>
                      </w:r>
                      <w:r>
                        <w:rPr>
                          <w:rFonts w:hint="eastAsia" w:ascii="汉仪中宋简" w:hAnsi="汉仪中宋简" w:eastAsia="汉仪中宋简" w:cs="汉仪中宋简"/>
                          <w:color w:val="199F9B"/>
                          <w:kern w:val="24"/>
                          <w:sz w:val="32"/>
                          <w:szCs w:val="32"/>
                          <w:highlight w:val="none"/>
                          <w:lang w:val="en-US" w:eastAsia="zh-CN"/>
                        </w:rPr>
                        <w:t/>
                      </w:r>
                    </w:p>
                    <w:p ns2:paraId="4809D206">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中宋简" w:hAnsi="汉仪中宋简" w:eastAsia="汉仪中宋简" w:cs="汉仪中宋简"/>
                          <w:color w:val="199F9B"/>
                          <w:kern w:val="24"/>
                          <w:sz w:val="32"/>
                          <w:szCs w:val="32"/>
                          <w:lang w:val="en-US" w:eastAsia="zh-CN"/>
                        </w:rPr>
                      </w:pPr>
                      <w:r>
                        <w:rPr>
                          <w:rFonts w:hint="eastAsia" w:ascii="汉仪中宋简" w:hAnsi="汉仪中宋简" w:eastAsia="汉仪中宋简" w:cs="汉仪中宋简"/>
                          <w:color w:val="199F9B"/>
                          <w:kern w:val="24"/>
                          <w:sz w:val="32"/>
                          <w:szCs w:val="32"/>
                          <w:lang w:val="en-US" w:eastAsia="zh-CN"/>
                        </w:rPr>
                        <w:t xml:space="preserve">调研时间：{{field.meta.survey_period_display}}</w:t>
                      </w:r>
                    </w:p>
                    <w:p ns2:paraId="0FCA3A64">
                      <w:pPr>
                        <w:pStyle w:val="9"/>
                        <w:keepNext w:val="0"/>
                        <w:keepLines w:val="0"/>
                        <w:pageBreakBefore w:val="0"/>
                        <w:widowControl w:val="0"/>
                        <w:kinsoku/>
                        <w:wordWrap/>
                        <w:overflowPunct/>
                        <w:topLinePunct w:val="0"/>
                        <w:autoSpaceDE/>
                        <w:autoSpaceDN/>
                        <w:bidi w:val="0"/>
                        <w:adjustRightInd/>
                        <w:snapToGrid w:val="0"/>
                        <w:spacing w:line="240" w:lineRule="auto"/>
                        <w:ind w:left="0"/>
                        <w:jc w:val="both"/>
                        <w:textAlignment w:val="auto"/>
                        <w:rPr>
                          <w:rFonts w:hint="eastAsia" w:ascii="汉仪粗黑简" w:hAnsi="Times New Roman" w:eastAsia="汉仪粗黑简"/>
                          <w:color w:val="199F9B"/>
                          <w:kern w:val="24"/>
                          <w:sz w:val="32"/>
                          <w:szCs w:val="32"/>
                          <w:lang w:val="en-US" w:eastAsia="zh-CN"/>
                        </w:rPr>
                      </w:pPr>
                    </w:p>
                  </w:txbxContent>
                </ns6:textbox>
              </ns6:shape>
            </w:pict>
          </ns1:Fallback>
        </ns1:AlternateContent>
      </w:r>
      <w:r>
        <w:rPr>
          <w:sz w:val="21"/>
        </w:rPr>
        <ns1:AlternateContent>
          <ns1:Choice Requires="wps">
            <w:drawing>
              <ns3:anchor distT="0" distB="0" distL="114300" distR="114300" simplePos="0" relativeHeight="251659264" behindDoc="0" locked="0" layoutInCell="1" allowOverlap="1">
                <ns3:simplePos x="0" y="0"/>
                <ns3:positionH relativeFrom="column">
                  <ns3:posOffset>-734695</ns3:posOffset>
                </ns3:positionH>
                <ns3:positionV relativeFrom="page">
                  <ns3:posOffset>3185795</ns3:posOffset>
                </ns3:positionV>
                <ns3:extent cx="5386705" cy="727075"/>
                <ns3:effectExtent l="0" t="0" r="0" b="0"/>
                <ns3:wrapNone/>
                <ns3:docPr id="1" name="文本框 1"/>
                <ns3:cNvGraphicFramePr/>
                <ns4:graphic>
                  <ns4:graphicData uri="http://schemas.microsoft.com/office/word/2010/wordprocessingShape">
                    <ns5:wsp>
                      <ns5:cNvSpPr txBox="1"/>
                      <ns5:spPr>
                        <ns4:xfrm>
                          <ns4:off x="0" y="0"/>
                          <ns4:ext cx="5386705" cy="727075"/>
                        </ns4:xfrm>
                        <ns4:prstGeom prst="rect">
                          <ns4:avLst/>
                        </ns4:prstGeom>
                        <ns4:noFill/>
                        <ns4:ln w="6350">
                          <ns4:noFill/>
                        </ns4:ln>
                      </ns5:spPr>
                      <ns5:style>
                        <ns4:lnRef idx="0">
                          <ns4:schemeClr val="accent1"/>
                        </ns4:lnRef>
                        <ns4:fillRef idx="0">
                          <ns4:schemeClr val="accent1"/>
                        </ns4:fillRef>
                        <ns4:effectRef idx="0">
                          <ns4:schemeClr val="accent1"/>
                        </ns4:effectRef>
                        <ns4:fontRef idx="minor">
                          <ns4:schemeClr val="dk1"/>
                        </ns4:fontRef>
                      </ns5:style>
                      <ns5:txbx>
                        <w:txbxContent>
                          <w:p ns2:paraId="532C9B5F">
                            <w:pPr>
                              <w:rPr>
                                <w:rFonts w:hint="eastAsia" w:ascii="汉仪元隆黑-105简" w:hAnsi="汉仪元隆黑-105简" w:eastAsia="汉仪元隆黑-105简" w:cs="汉仪元隆黑-105简"/>
                                <w:b w:val="0"/>
                                <w:bCs w:val="0"/>
                                <w:color w:val="1E386B"/>
                                <w:sz w:val="56"/>
                                <w:szCs w:val="56"/>
                                <w:lang w:val="en-US" w:eastAsia="zh-CN"/>
                              </w:rPr>
                            </w:pPr>
                            <w:r>
                              <w:rPr>
                                <w:rFonts w:hint="eastAsia" w:ascii="汉仪元隆黑-105简" w:hAnsi="汉仪元隆黑-105简" w:eastAsia="汉仪元隆黑-105简" w:cs="汉仪元隆黑-105简"/>
                                <w:b w:val="0"/>
                                <w:bCs w:val="0"/>
                                <w:color w:val="1E386B"/>
                                <w:sz w:val="56"/>
                                <w:szCs w:val="56"/>
                                <w:lang w:val="en-US" w:eastAsia="zh-CN"/>
                              </w:rPr>
                              <w:t>用药体验与疗效反馈</w:t>
                            </w:r>
                          </w:p>
                        </w:txbxContent>
                      </ns5:txbx>
                      <ns5:bodyPr rot="0" spcFirstLastPara="0" vertOverflow="overflow" horzOverflow="overflow" vert="horz" wrap="square" lIns="91440" tIns="45720" rIns="91440" bIns="45720" numCol="1" spcCol="0" rtlCol="0" fromWordArt="0" anchor="t" anchorCtr="0" forceAA="0" compatLnSpc="1">
                        <ns4:noAutofit/>
                      </ns5:bodyPr>
                    </ns5:wsp>
                  </ns4:graphicData>
                </ns4:graphic>
              </ns3:anchor>
            </w:drawing>
          </ns1:Choice>
          <ns1:Fallback>
            <w:pict>
              <ns6:shape id="_x0000_s1026" ns7:spid="_x0000_s1026" ns7:spt="202" type="#_x0000_t202" style="position:absolute;left:0pt;margin-left:-57.85pt;margin-top:250.85pt;height:57.25pt;width:424.15pt;mso-position-vertical-relative:page;z-index:251659264;mso-width-relative:page;mso-height-relative:page;" filled="f" stroked="f" coordsize="21600,21600" ns7:gfxdata="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yGTag3QAAAAwBAAAPAAAAAAAAAAEAIAAAACIA&#10;AABkcnMvZG93bnJldi54bWxQSwECFAAUAAAACACHTuJAODINAT0CAABmBAAADgAAAAAAAAABACAA&#10;AAAsAQAAZHJzL2Uyb0RvYy54bWxQSwUGAAAAAAYABgBZAQAA2wUAAAAA&#10;">
                <ns6:fill on="f" focussize="0,0"/>
                <ns6:stroke on="f" weight="0.5pt"/>
                <ns6:imagedata ns7:title=""/>
                <ns7:lock ns6:ext="edit" aspectratio="f"/>
                <ns6:textbox>
                  <w:txbxContent>
                    <w:p ns2:paraId="532C9B5F">
                      <w:pPr>
                        <w:rPr>
                          <w:rFonts w:hint="eastAsia" w:ascii="汉仪元隆黑-105简" w:hAnsi="汉仪元隆黑-105简" w:eastAsia="汉仪元隆黑-105简" w:cs="汉仪元隆黑-105简"/>
                          <w:b w:val="0"/>
                          <w:bCs w:val="0"/>
                          <w:color w:val="1E386B"/>
                          <w:sz w:val="56"/>
                          <w:szCs w:val="56"/>
                          <w:lang w:val="en-US" w:eastAsia="zh-CN"/>
                        </w:rPr>
                      </w:pPr>
                      <w:r>
                        <w:rPr>
                          <w:rFonts w:hint="eastAsia" w:ascii="汉仪元隆黑-105简" w:hAnsi="汉仪元隆黑-105简" w:eastAsia="汉仪元隆黑-105简" w:cs="汉仪元隆黑-105简"/>
                          <w:b w:val="0"/>
                          <w:bCs w:val="0"/>
                          <w:color w:val="1E386B"/>
                          <w:sz w:val="56"/>
                          <w:szCs w:val="56"/>
                          <w:lang w:val="en-US" w:eastAsia="zh-CN"/>
                        </w:rPr>
                        <w:t>用药体验与疗效反馈</w:t>
                      </w:r>
                    </w:p>
                  </w:txbxContent>
                </ns6:textbox>
              </ns6:shape>
            </w:pict>
          </ns1:Fallback>
        </ns1:AlternateContent>
      </w:r>
      <w:r>
        <ns1:AlternateContent>
          <ns1:Choice Requires="wps">
            <w:drawing>
              <ns3:anchor distT="0" distB="0" distL="114300" distR="114300" simplePos="0" relativeHeight="251661312" behindDoc="0" locked="0" layoutInCell="1" allowOverlap="1">
                <ns3:simplePos x="0" y="0"/>
                <ns3:positionH relativeFrom="column">
                  <ns3:posOffset>-720090</ns3:posOffset>
                </ns3:positionH>
                <ns3:positionV relativeFrom="paragraph">
                  <ns3:posOffset>2778125</ns3:posOffset>
                </ns3:positionV>
                <ns3:extent cx="5963920" cy="1753870"/>
                <ns3:effectExtent l="0" t="0" r="0" b="0"/>
                <ns3:wrapNone/>
                <ns3:docPr id="9" name="文本框 44"/>
                <ns3:cNvGraphicFramePr/>
                <ns4:graphic>
                  <ns4:graphicData uri="http://schemas.microsoft.com/office/word/2010/wordprocessingShape">
                    <ns5:wsp>
                      <ns5:cNvSpPr txBox="1"/>
                      <ns5:spPr>
                        <ns4:xfrm>
                          <ns4:off x="422910" y="3194685"/>
                          <ns4:ext cx="5963920" cy="1753870"/>
                        </ns4:xfrm>
                        <ns4:prstGeom prst="rect">
                          <ns4:avLst/>
                        </ns4:prstGeom>
                        <ns4:noFill/>
                      </ns5:spPr>
                      <ns5:txbx>
                        <w:txbxContent>
                          <w:p ns2:paraId="0FB99BE3">
                            <w:pPr>
                              <w:rPr>
                                <w:rFonts w:hint="eastAsia" w:ascii="汉仪元隆黑-105简" w:hAnsi="汉仪元隆黑-105简" w:eastAsia="汉仪元隆黑-105简" w:cs="汉仪元隆黑-105简"/>
                                <w:b w:val="0"/>
                                <w:bCs w:val="0"/>
                                <w:color w:val="1E386B"/>
                                <w:sz w:val="112"/>
                                <w:szCs w:val="112"/>
                                <w:lang w:val="en-US" w:eastAsia="zh-CN"/>
                              </w:rPr>
                            </w:pPr>
                            <w:r>
                              <w:rPr>
                                <w:rFonts w:hint="eastAsia" w:ascii="汉仪元隆黑-105简" w:hAnsi="汉仪元隆黑-105简" w:eastAsia="汉仪元隆黑-105简" w:cs="汉仪元隆黑-105简"/>
                                <w:b w:val="0"/>
                                <w:bCs w:val="0"/>
                                <w:color w:val="1E386B"/>
                                <w:sz w:val="112"/>
                                <w:szCs w:val="112"/>
                                <w:lang w:val="en-US" w:eastAsia="zh-CN"/>
                              </w:rPr>
                              <w:t>问卷调查分析报告</w:t>
                            </w:r>
                          </w:p>
                        </w:txbxContent>
                      </ns5:txbx>
                      <ns5:bodyPr wrap="square" rtlCol="0">
                        <ns4:spAutoFit/>
                      </ns5:bodyPr>
                    </ns5:wsp>
                  </ns4:graphicData>
                </ns4:graphic>
              </ns3:anchor>
            </w:drawing>
          </ns1:Choice>
          <ns1:Fallback>
            <w:pict>
              <ns6:shape id="文本框 44" ns7:spid="_x0000_s1026" ns7:spt="202" type="#_x0000_t202" style="position:absolute;left:0pt;margin-left:-56.7pt;margin-top:218.75pt;height:138.1pt;width:469.6pt;z-index:251661312;mso-width-relative:page;mso-height-relative:page;" filled="f" stroked="f" coordsize="21600,21600" ns7:gfxdata="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RfIaVNoAAAAMAQAADwAAAAAAAAABACAAAAAiAAAAZHJz&#10;L2Rvd25yZXYueG1sUEsBAhQAFAAAAAgAh07iQDlA7fnJAQAAagMAAA4AAAAAAAAAAQAgAAAAKQEA&#10;AGRycy9lMm9Eb2MueG1sUEsFBgAAAAAGAAYAWQEAAGQFAAAAAA==&#10;">
                <ns6:fill on="f" focussize="0,0"/>
                <ns6:stroke on="f"/>
                <ns6:imagedata ns7:title=""/>
                <ns7:lock ns6:ext="edit" aspectratio="f"/>
                <ns6:textbox style="mso-fit-shape-to-text:t;">
                  <w:txbxContent>
                    <w:p ns2:paraId="0FB99BE3">
                      <w:pPr>
                        <w:rPr>
                          <w:rFonts w:hint="eastAsia" w:ascii="汉仪元隆黑-105简" w:hAnsi="汉仪元隆黑-105简" w:eastAsia="汉仪元隆黑-105简" w:cs="汉仪元隆黑-105简"/>
                          <w:b w:val="0"/>
                          <w:bCs w:val="0"/>
                          <w:color w:val="1E386B"/>
                          <w:sz w:val="112"/>
                          <w:szCs w:val="112"/>
                          <w:lang w:val="en-US" w:eastAsia="zh-CN"/>
                        </w:rPr>
                      </w:pPr>
                      <w:r>
                        <w:rPr>
                          <w:rFonts w:hint="eastAsia" w:ascii="汉仪元隆黑-105简" w:hAnsi="汉仪元隆黑-105简" w:eastAsia="汉仪元隆黑-105简" w:cs="汉仪元隆黑-105简"/>
                          <w:b w:val="0"/>
                          <w:bCs w:val="0"/>
                          <w:color w:val="1E386B"/>
                          <w:sz w:val="112"/>
                          <w:szCs w:val="112"/>
                          <w:lang w:val="en-US" w:eastAsia="zh-CN"/>
                        </w:rPr>
                        <w:t>问卷调查分析报告</w:t>
                      </w:r>
                    </w:p>
                  </w:txbxContent>
                </ns6:textbox>
              </ns6:shape>
            </w:pict>
          </ns1:Fallback>
        </ns1:AlternateContent>
      </w:r>
      <w:r>
        <w:rPr>
          <w:rFonts w:hint="eastAsia" w:eastAsia="汉仪粗黑简"/>
          <w:lang w:eastAsia="zh-CN"/>
        </w:rPr>
        <w:drawing>
          <ns3:anchor distT="0" distB="0" distL="114300" distR="114300" simplePos="0" relativeHeight="251660288" behindDoc="1" locked="0" layoutInCell="1" allowOverlap="1">
            <ns3:simplePos x="0" y="0"/>
            <ns3:positionH relativeFrom="column">
              <ns3:posOffset>-1176020</ns3:posOffset>
            </ns3:positionH>
            <ns3:positionV relativeFrom="paragraph">
              <ns3:posOffset>-963295</ns3:posOffset>
            </ns3:positionV>
            <ns3:extent cx="7603490" cy="10751820"/>
            <ns3:effectExtent l="0" t="0" r="1270" b="7620"/>
            <ns3:wrapNone/>
            <ns3:docPr id="20" name="图片 20" descr="竖版待修改竖版 7.16"/>
            <ns3:cNvGraphicFramePr>
              <ns4:graphicFrameLocks noChangeAspect="1"/>
            </ns3:cNvGraphicFramePr>
            <ns4:graphic>
              <ns4:graphicData uri="http://schemas.openxmlformats.org/drawingml/2006/picture">
                <ns8:pic>
                  <ns8:nvPicPr>
                    <ns8:cNvPr id="20" name="图片 20" descr="竖版待修改竖版 7.16"/>
                    <ns8:cNvPicPr>
                      <ns4:picLocks noChangeAspect="1"/>
                    </ns8:cNvPicPr>
                  </ns8:nvPicPr>
                  <ns8:blipFill>
                    <ns4:blip ns9:embed="rId8"/>
                    <ns4:stretch>
                      <ns4:fillRect/>
                    </ns4:stretch>
                  </ns8:blipFill>
                  <ns8:spPr>
                    <ns4:xfrm>
                      <ns4:off x="0" y="0"/>
                      <ns4:ext cx="7603490" cy="10751820"/>
                    </ns4:xfrm>
                    <ns4:prstGeom prst="rect">
                      <ns4:avLst/>
                    </ns4:prstGeom>
                  </ns8:spPr>
                </ns8:pic>
              </ns4:graphicData>
            </ns4:graphic>
          </ns3:anchor>
        </w:drawing>
      </w:r>
    </w:p>
    <w:p ns2:paraId="4F3FF417">
      <w:pPr>
        <w:rPr>
          <w:rFonts w:hint="eastAsia"/>
          <w:sz w:val="21"/>
          <w:lang w:eastAsia="zh-CN"/>
        </w:rPr>
        <w:sectPr>
          <w:headerReference ns9:id="rId3" w:type="default"/>
          <w:pgSz w:w="11906" w:h="16838"/>
          <w:pgMar w:top="1440" w:right="1800" w:bottom="1440" w:left="1800" w:header="851" w:footer="992" w:gutter="0"/>
          <w:pgBorders>
            <w:top w:val="none" w:sz="0" w:space="0"/>
            <w:left w:val="none" w:sz="0" w:space="0"/>
            <w:bottom w:val="none" w:sz="0" w:space="0"/>
            <w:right w:val="none" w:sz="0" w:space="0"/>
          </w:pgBorders>
          <w:cols w:space="425" w:num="1"/>
          <w:titlePg/>
          <w:docGrid w:type="lines" w:linePitch="312" w:charSpace="0"/>
        </w:sectPr>
      </w:pPr>
    </w:p>
    <w:p ns2:paraId="3D0D36C5">
      <w:pPr>
        <w:keepNext w:val="0"/>
        <w:keepLines w:val="0"/>
        <w:pageBreakBefore w:val="0"/>
        <w:widowControl w:val="0"/>
        <w:kinsoku/>
        <w:wordWrap/>
        <w:overflowPunct/>
        <w:topLinePunct w:val="0"/>
        <w:autoSpaceDE/>
        <w:autoSpaceDN/>
        <w:bidi w:val="0"/>
        <w:adjustRightInd/>
        <w:snapToGrid/>
        <w:spacing w:before="157" w:beforeLines="50" w:after="157" w:afterLines="50" w:line="480" w:lineRule="auto"/>
        <w:jc w:val="center"/>
        <w:textAlignment w:val="auto"/>
        <w:rPr>
          <w:rFonts w:hint="eastAsia" w:ascii="汉仪中宋简" w:hAnsi="汉仪中宋简" w:eastAsia="汉仪中宋简" w:cs="汉仪中宋简"/>
          <w:b/>
          <w:lang w:val="en-US" w:eastAsia="zh-CN"/>
        </w:rPr>
      </w:pPr>
      <w:bookmarkStart w:id="0" w:name="_Toc376"/>
      <w:bookmarkStart w:id="1" w:name="_Toc13682"/>
      <w:bookmarkStart w:id="2" w:name="_Toc27864"/>
      <w:bookmarkStart w:id="3" w:name="_Toc7033"/>
      <w:bookmarkStart w:id="4" w:name="_Toc28049"/>
      <w:bookmarkStart w:id="5" w:name="_Toc29451"/>
      <w:bookmarkStart w:id="6" w:name="_Toc27862"/>
      <w:r>
        <w:rPr>
          <w:rFonts w:hint="eastAsia" w:ascii="汉仪中宋简" w:hAnsi="汉仪中宋简" w:eastAsia="汉仪中宋简" w:cs="汉仪中宋简"/>
          <w:b/>
          <w:bCs/>
          <w:sz w:val="44"/>
          <w:szCs w:val="44"/>
          <w:lang w:val="en-US" w:eastAsia="zh-CN"/>
        </w:rPr>
        <w:t>问卷调研服务结算</w:t>
      </w:r>
      <w:bookmarkEnd w:id="0"/>
      <w:bookmarkEnd w:id="1"/>
      <w:bookmarkEnd w:id="2"/>
    </w:p>
    <w:tbl>
      <w:tblPr>
        <w:tblStyle w:val="10"/>
        <w:tblpPr w:leftFromText="180" w:rightFromText="180" w:vertAnchor="text" w:horzAnchor="page" w:tblpX="1730" w:tblpY="163"/>
        <w:tblOverlap w:val="never"/>
        <w:tblW w:w="892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5"/>
        <w:gridCol w:w="3370"/>
        <w:gridCol w:w="1710"/>
        <w:gridCol w:w="962"/>
        <w:gridCol w:w="1190"/>
      </w:tblGrid>
      <w:tr ns2:paraId="4440D6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96" w:hRule="atLeast"/>
          <w:tblHeader/>
          <w:tblCellSpacing w:w="15" w:type="dxa"/>
        </w:trPr>
        <w:tc>
          <w:tcPr>
            <w:tcW w:w="1650" w:type="dxa"/>
            <w:tcBorders>
              <w:top w:val="single" w:color="4874CB" w:themeColor="accent1" w:sz="6" w:space="0"/>
              <w:left w:val="single" w:color="4874CB" w:themeColor="accent1" w:sz="6" w:space="0"/>
              <w:bottom w:val="single" w:color="4874CB" w:themeColor="accent1" w:sz="6" w:space="0"/>
              <w:right w:val="nil"/>
            </w:tcBorders>
            <w:shd w:val="clear" w:color="auto" w:fill="4874CB" w:themeFill="accent1"/>
            <w:vAlign w:val="center"/>
          </w:tcPr>
          <w:p ns2:paraId="2CB7D438">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项目</w:t>
            </w:r>
          </w:p>
        </w:tc>
        <w:tc>
          <w:tcPr>
            <w:tcW w:w="3340" w:type="dxa"/>
            <w:tcBorders>
              <w:top w:val="single" w:color="4874CB" w:themeColor="accent1" w:sz="6" w:space="0"/>
              <w:left w:val="nil"/>
              <w:bottom w:val="single" w:color="4874CB" w:themeColor="accent1" w:sz="6" w:space="0"/>
              <w:right w:val="nil"/>
            </w:tcBorders>
            <w:shd w:val="clear" w:color="auto" w:fill="4874CB" w:themeFill="accent1"/>
            <w:vAlign w:val="center"/>
          </w:tcPr>
          <w:p ns2:paraId="18060681">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服务内容</w:t>
            </w:r>
          </w:p>
        </w:tc>
        <w:tc>
          <w:tcPr>
            <w:tcW w:w="1680" w:type="dxa"/>
            <w:tcBorders>
              <w:top w:val="single" w:color="4874CB" w:themeColor="accent1" w:sz="6" w:space="0"/>
              <w:left w:val="nil"/>
              <w:bottom w:val="single" w:color="4874CB" w:themeColor="accent1" w:sz="6" w:space="0"/>
              <w:right w:val="nil"/>
            </w:tcBorders>
            <w:shd w:val="clear" w:color="auto" w:fill="4874CB" w:themeFill="accent1"/>
            <w:vAlign w:val="center"/>
          </w:tcPr>
          <w:p ns2:paraId="25C7FC50">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单价</w:t>
            </w:r>
          </w:p>
        </w:tc>
        <w:tc>
          <w:tcPr>
            <w:tcW w:w="932" w:type="dxa"/>
            <w:tcBorders>
              <w:top w:val="single" w:color="4874CB" w:themeColor="accent1" w:sz="6" w:space="0"/>
              <w:left w:val="nil"/>
              <w:bottom w:val="single" w:color="4874CB" w:themeColor="accent1" w:sz="6" w:space="0"/>
              <w:right w:val="nil"/>
            </w:tcBorders>
            <w:shd w:val="clear" w:color="auto" w:fill="4874CB" w:themeFill="accent1"/>
            <w:vAlign w:val="center"/>
          </w:tcPr>
          <w:p ns2:paraId="044311B8">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数量</w:t>
            </w:r>
          </w:p>
        </w:tc>
        <w:tc>
          <w:tcPr>
            <w:tcW w:w="1145" w:type="dxa"/>
            <w:tcBorders>
              <w:top w:val="single" w:color="4874CB" w:themeColor="accent1" w:sz="6" w:space="0"/>
              <w:left w:val="nil"/>
              <w:bottom w:val="single" w:color="4874CB" w:themeColor="accent1" w:sz="6" w:space="0"/>
              <w:right w:val="single" w:color="4874CB" w:themeColor="accent1" w:sz="6" w:space="0"/>
            </w:tcBorders>
            <w:shd w:val="clear" w:color="auto" w:fill="4874CB" w:themeFill="accent1"/>
            <w:vAlign w:val="center"/>
          </w:tcPr>
          <w:p ns2:paraId="3E8F70B6">
            <w:pPr>
              <w:keepNext w:val="0"/>
              <w:keepLines w:val="0"/>
              <w:widowControl/>
              <w:suppressLineNumbers w:val="0"/>
              <w:jc w:val="center"/>
              <w:rPr>
                <w:rFonts w:hint="eastAsia" w:ascii="汉仪中宋简" w:hAnsi="汉仪中宋简" w:eastAsia="汉仪中宋简" w:cs="汉仪中宋简"/>
                <w:b/>
                <w:bCs/>
                <w:i w:val="0"/>
                <w:color w:val="FFFFFF"/>
                <w:highlight w:val="none"/>
              </w:rPr>
            </w:pPr>
            <w:r>
              <w:rPr>
                <w:rFonts w:hint="eastAsia" w:ascii="汉仪中宋简" w:hAnsi="汉仪中宋简" w:eastAsia="汉仪中宋简" w:cs="汉仪中宋简"/>
                <w:b/>
                <w:bCs/>
                <w:i w:val="0"/>
                <w:color w:val="FFFFFF"/>
                <w:kern w:val="0"/>
                <w:sz w:val="24"/>
                <w:szCs w:val="24"/>
                <w:highlight w:val="none"/>
                <w:lang w:val="en-US" w:eastAsia="zh-CN" w:bidi="ar"/>
              </w:rPr>
              <w:t>费用（元）</w:t>
            </w:r>
          </w:p>
        </w:tc>
      </w:tr>
      <w:tr ns2:paraId="4618EF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blCellSpacing w:w="15" w:type="dxa"/>
        </w:trPr>
        <w:tc>
          <w:tcPr>
            <w:tcW w:w="1650" w:type="dxa"/>
            <w:tcBorders>
              <w:top w:val="single" w:color="4874CB" w:themeColor="accent1" w:sz="6" w:space="0"/>
              <w:left w:val="single" w:color="4874CB" w:themeColor="accent1" w:sz="6" w:space="0"/>
              <w:bottom w:val="single" w:color="B5C7EA" w:themeColor="accent1" w:themeTint="66" w:sz="6" w:space="0"/>
              <w:right w:val="nil"/>
            </w:tcBorders>
            <w:shd w:val="clear" w:color="auto" w:fill="auto"/>
            <w:vAlign w:val="center"/>
          </w:tcPr>
          <w:p ns2:paraId="48D83400">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问卷样本</w:t>
            </w:r>
          </w:p>
        </w:tc>
        <w:tc>
          <w:tcPr>
            <w:tcW w:w="3340" w:type="dxa"/>
            <w:tcBorders>
              <w:top w:val="single" w:color="4874CB" w:themeColor="accent1" w:sz="6" w:space="0"/>
              <w:left w:val="nil"/>
              <w:bottom w:val="single" w:color="B5C7EA" w:themeColor="accent1" w:themeTint="66" w:sz="6" w:space="0"/>
              <w:right w:val="nil"/>
            </w:tcBorders>
            <w:shd w:val="clear" w:color="auto" w:fill="auto"/>
            <w:vAlign w:val="center"/>
          </w:tcPr>
          <w:p ns2:paraId="6CD3BC35">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抽取样本、数据清洗</w:t>
            </w:r>
          </w:p>
        </w:tc>
        <w:tc>
          <w:tcPr>
            <w:tcW w:w="1680" w:type="dxa"/>
            <w:tcBorders>
              <w:top w:val="single" w:color="4874CB" w:themeColor="accent1" w:sz="6" w:space="0"/>
              <w:left w:val="nil"/>
              <w:bottom w:val="single" w:color="B5C7EA" w:themeColor="accent1" w:themeTint="66" w:sz="6" w:space="0"/>
              <w:right w:val="nil"/>
            </w:tcBorders>
            <w:shd w:val="clear" w:color="auto" w:fill="auto"/>
            <w:vAlign w:val="center"/>
          </w:tcPr>
          <w:p ns2:paraId="6FCA8EC7">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100元/例</w:t>
            </w:r>
          </w:p>
        </w:tc>
        <w:tc>
          <w:tcPr>
            <w:tcW w:w="932" w:type="dxa"/>
            <w:tcBorders>
              <w:top w:val="single" w:color="4874CB" w:themeColor="accent1" w:sz="6" w:space="0"/>
              <w:left w:val="nil"/>
              <w:bottom w:val="single" w:color="B5C7EA" w:themeColor="accent1" w:themeTint="66" w:sz="6" w:space="0"/>
              <w:right w:val="nil"/>
            </w:tcBorders>
            <w:shd w:val="clear" w:color="auto" w:fill="auto"/>
            <w:vAlign w:val="center"/>
          </w:tcPr>
          <w:p ns2:paraId="6AB0B7BA">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 xml:space="preserve">{{field.meta.sample_size}}例</w:t>
            </w:r>
          </w:p>
        </w:tc>
        <w:tc>
          <w:tcPr>
            <w:tcW w:w="1145" w:type="dxa"/>
            <w:tcBorders>
              <w:top w:val="single" w:color="4874CB" w:themeColor="accent1" w:sz="6" w:space="0"/>
              <w:left w:val="nil"/>
              <w:bottom w:val="single" w:color="B5C7EA" w:themeColor="accent1" w:themeTint="66" w:sz="6" w:space="0"/>
              <w:right w:val="single" w:color="4874CB" w:themeColor="accent1" w:sz="6" w:space="0"/>
            </w:tcBorders>
            <w:shd w:val="clear" w:color="auto" w:fill="auto"/>
            <w:vAlign w:val="center"/>
          </w:tcPr>
          <w:p ns2:paraId="714AD419">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164,200</w:t>
            </w:r>
          </w:p>
        </w:tc>
      </w:tr>
      <w:tr ns2:paraId="18A00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blCellSpacing w:w="15" w:type="dxa"/>
        </w:trPr>
        <w:tc>
          <w:tcPr>
            <w:tcW w:w="1650" w:type="dxa"/>
            <w:tcBorders>
              <w:top w:val="single" w:color="B5C7EA" w:themeColor="accent1" w:themeTint="66" w:sz="6" w:space="0"/>
              <w:left w:val="single" w:color="4874CB" w:themeColor="accent1" w:sz="6" w:space="0"/>
              <w:bottom w:val="single" w:color="B5C7EA" w:themeColor="accent1" w:themeTint="66" w:sz="6" w:space="0"/>
              <w:right w:val="nil"/>
            </w:tcBorders>
            <w:shd w:val="clear" w:color="auto" w:fill="auto"/>
            <w:vAlign w:val="center"/>
          </w:tcPr>
          <w:p ns2:paraId="4E803433">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问卷分析报告</w:t>
            </w:r>
          </w:p>
        </w:tc>
        <w:tc>
          <w:tcPr>
            <w:tcW w:w="3340" w:type="dxa"/>
            <w:tcBorders>
              <w:top w:val="single" w:color="B5C7EA" w:themeColor="accent1" w:themeTint="66" w:sz="6" w:space="0"/>
              <w:left w:val="nil"/>
              <w:bottom w:val="single" w:color="B5C7EA" w:themeColor="accent1" w:themeTint="66" w:sz="6" w:space="0"/>
              <w:right w:val="nil"/>
            </w:tcBorders>
            <w:shd w:val="clear" w:color="auto" w:fill="auto"/>
            <w:vAlign w:val="center"/>
          </w:tcPr>
          <w:p ns2:paraId="2BA889CF">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数据分析、可视化，形成市场分析报告</w:t>
            </w:r>
          </w:p>
        </w:tc>
        <w:tc>
          <w:tcPr>
            <w:tcW w:w="1680" w:type="dxa"/>
            <w:tcBorders>
              <w:top w:val="single" w:color="B5C7EA" w:themeColor="accent1" w:themeTint="66" w:sz="6" w:space="0"/>
              <w:left w:val="nil"/>
              <w:bottom w:val="single" w:color="B5C7EA" w:themeColor="accent1" w:themeTint="66" w:sz="6" w:space="0"/>
              <w:right w:val="nil"/>
            </w:tcBorders>
            <w:shd w:val="clear" w:color="auto" w:fill="auto"/>
            <w:vAlign w:val="center"/>
          </w:tcPr>
          <w:p ns2:paraId="1859385D">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30,000元/篇</w:t>
            </w:r>
          </w:p>
        </w:tc>
        <w:tc>
          <w:tcPr>
            <w:tcW w:w="932" w:type="dxa"/>
            <w:tcBorders>
              <w:top w:val="single" w:color="B5C7EA" w:themeColor="accent1" w:themeTint="66" w:sz="6" w:space="0"/>
              <w:left w:val="nil"/>
              <w:bottom w:val="single" w:color="B5C7EA" w:themeColor="accent1" w:themeTint="66" w:sz="6" w:space="0"/>
              <w:right w:val="nil"/>
            </w:tcBorders>
            <w:shd w:val="clear" w:color="auto" w:fill="auto"/>
            <w:vAlign w:val="center"/>
          </w:tcPr>
          <w:p ns2:paraId="4C5AA2B0">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1篇</w:t>
            </w:r>
          </w:p>
        </w:tc>
        <w:tc>
          <w:tcPr>
            <w:tcW w:w="1145" w:type="dxa"/>
            <w:tcBorders>
              <w:top w:val="single" w:color="B5C7EA" w:themeColor="accent1" w:themeTint="66" w:sz="6" w:space="0"/>
              <w:left w:val="nil"/>
              <w:bottom w:val="single" w:color="B5C7EA" w:themeColor="accent1" w:themeTint="66" w:sz="6" w:space="0"/>
              <w:right w:val="single" w:color="4874CB" w:themeColor="accent1" w:sz="6" w:space="0"/>
            </w:tcBorders>
            <w:shd w:val="clear" w:color="auto" w:fill="auto"/>
            <w:vAlign w:val="center"/>
          </w:tcPr>
          <w:p ns2:paraId="2E1E07FB">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Fonts w:hint="eastAsia" w:ascii="汉仪中宋简" w:hAnsi="汉仪中宋简" w:eastAsia="汉仪中宋简" w:cs="汉仪中宋简"/>
                <w:b w:val="0"/>
                <w:i w:val="0"/>
                <w:color w:val="000000"/>
                <w:kern w:val="0"/>
                <w:sz w:val="24"/>
                <w:szCs w:val="24"/>
                <w:highlight w:val="none"/>
                <w:lang w:val="en-US" w:eastAsia="zh-CN" w:bidi="ar"/>
              </w:rPr>
              <w:t>30,000</w:t>
            </w:r>
          </w:p>
        </w:tc>
      </w:tr>
      <w:tr ns2:paraId="289291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67" w:hRule="atLeast"/>
          <w:tblCellSpacing w:w="15" w:type="dxa"/>
        </w:trPr>
        <w:tc>
          <w:tcPr>
            <w:tcW w:w="1650" w:type="dxa"/>
            <w:tcBorders>
              <w:top w:val="single" w:color="B5C7EA" w:themeColor="accent1" w:themeTint="66" w:sz="6" w:space="0"/>
              <w:left w:val="single" w:color="4874CB" w:themeColor="accent1" w:sz="6" w:space="0"/>
              <w:bottom w:val="single" w:color="4874CB" w:themeColor="accent1" w:sz="6" w:space="0"/>
              <w:right w:val="nil"/>
            </w:tcBorders>
            <w:shd w:val="clear" w:color="auto" w:fill="auto"/>
            <w:vAlign w:val="center"/>
          </w:tcPr>
          <w:p ns2:paraId="4279FFE1">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Style w:val="12"/>
                <w:rFonts w:hint="eastAsia" w:ascii="汉仪中宋简" w:hAnsi="汉仪中宋简" w:eastAsia="汉仪中宋简" w:cs="汉仪中宋简"/>
                <w:b w:val="0"/>
                <w:i w:val="0"/>
                <w:color w:val="000000"/>
                <w:kern w:val="0"/>
                <w:sz w:val="24"/>
                <w:szCs w:val="24"/>
                <w:highlight w:val="none"/>
                <w:lang w:val="en-US" w:eastAsia="zh-CN" w:bidi="ar"/>
              </w:rPr>
              <w:t>总计</w:t>
            </w:r>
          </w:p>
        </w:tc>
        <w:tc>
          <w:tcPr>
            <w:tcW w:w="3340" w:type="dxa"/>
            <w:tcBorders>
              <w:top w:val="single" w:color="B5C7EA" w:themeColor="accent1" w:themeTint="66" w:sz="6" w:space="0"/>
              <w:left w:val="nil"/>
              <w:bottom w:val="single" w:color="4874CB" w:themeColor="accent1" w:sz="6" w:space="0"/>
              <w:right w:val="nil"/>
            </w:tcBorders>
            <w:shd w:val="clear" w:color="auto" w:fill="auto"/>
            <w:vAlign w:val="center"/>
          </w:tcPr>
          <w:p ns2:paraId="3A1B7D94">
            <w:pPr>
              <w:rPr>
                <w:rFonts w:hint="eastAsia" w:ascii="汉仪中宋简" w:hAnsi="汉仪中宋简" w:eastAsia="汉仪中宋简" w:cs="汉仪中宋简"/>
                <w:b w:val="0"/>
                <w:i w:val="0"/>
                <w:color w:val="000000"/>
                <w:sz w:val="24"/>
                <w:szCs w:val="24"/>
                <w:highlight w:val="none"/>
              </w:rPr>
            </w:pPr>
          </w:p>
        </w:tc>
        <w:tc>
          <w:tcPr>
            <w:tcW w:w="1680" w:type="dxa"/>
            <w:tcBorders>
              <w:top w:val="single" w:color="B5C7EA" w:themeColor="accent1" w:themeTint="66" w:sz="6" w:space="0"/>
              <w:left w:val="nil"/>
              <w:bottom w:val="single" w:color="4874CB" w:themeColor="accent1" w:sz="6" w:space="0"/>
              <w:right w:val="nil"/>
            </w:tcBorders>
            <w:shd w:val="clear" w:color="auto" w:fill="auto"/>
            <w:vAlign w:val="center"/>
          </w:tcPr>
          <w:p ns2:paraId="553A0E1F">
            <w:pPr>
              <w:rPr>
                <w:rFonts w:hint="eastAsia" w:ascii="汉仪中宋简" w:hAnsi="汉仪中宋简" w:eastAsia="汉仪中宋简" w:cs="汉仪中宋简"/>
                <w:b w:val="0"/>
                <w:i w:val="0"/>
                <w:color w:val="000000"/>
                <w:sz w:val="24"/>
                <w:szCs w:val="24"/>
                <w:highlight w:val="none"/>
              </w:rPr>
            </w:pPr>
          </w:p>
        </w:tc>
        <w:tc>
          <w:tcPr>
            <w:tcW w:w="932" w:type="dxa"/>
            <w:tcBorders>
              <w:top w:val="single" w:color="B5C7EA" w:themeColor="accent1" w:themeTint="66" w:sz="6" w:space="0"/>
              <w:left w:val="nil"/>
              <w:bottom w:val="single" w:color="4874CB" w:themeColor="accent1" w:sz="6" w:space="0"/>
              <w:right w:val="nil"/>
            </w:tcBorders>
            <w:shd w:val="clear" w:color="auto" w:fill="auto"/>
            <w:vAlign w:val="center"/>
          </w:tcPr>
          <w:p ns2:paraId="6AE98FA0">
            <w:pPr>
              <w:rPr>
                <w:rFonts w:hint="eastAsia" w:ascii="汉仪中宋简" w:hAnsi="汉仪中宋简" w:eastAsia="汉仪中宋简" w:cs="汉仪中宋简"/>
                <w:b w:val="0"/>
                <w:i w:val="0"/>
                <w:color w:val="000000"/>
                <w:sz w:val="24"/>
                <w:szCs w:val="24"/>
                <w:highlight w:val="none"/>
              </w:rPr>
            </w:pPr>
          </w:p>
        </w:tc>
        <w:tc>
          <w:tcPr>
            <w:tcW w:w="1145" w:type="dxa"/>
            <w:tcBorders>
              <w:top w:val="single" w:color="B5C7EA" w:themeColor="accent1" w:themeTint="66" w:sz="6" w:space="0"/>
              <w:left w:val="nil"/>
              <w:bottom w:val="single" w:color="4874CB" w:themeColor="accent1" w:sz="6" w:space="0"/>
              <w:right w:val="single" w:color="4874CB" w:themeColor="accent1" w:sz="6" w:space="0"/>
            </w:tcBorders>
            <w:shd w:val="clear" w:color="auto" w:fill="auto"/>
            <w:vAlign w:val="center"/>
          </w:tcPr>
          <w:p ns2:paraId="5F1E6723">
            <w:pPr>
              <w:keepNext w:val="0"/>
              <w:keepLines w:val="0"/>
              <w:widowControl/>
              <w:suppressLineNumbers w:val="0"/>
              <w:jc w:val="center"/>
              <w:rPr>
                <w:rFonts w:hint="eastAsia" w:ascii="汉仪中宋简" w:hAnsi="汉仪中宋简" w:eastAsia="汉仪中宋简" w:cs="汉仪中宋简"/>
                <w:b w:val="0"/>
                <w:i w:val="0"/>
                <w:color w:val="000000"/>
                <w:highlight w:val="none"/>
              </w:rPr>
            </w:pPr>
            <w:r>
              <w:rPr>
                <w:rStyle w:val="12"/>
                <w:rFonts w:hint="eastAsia" w:ascii="汉仪中宋简" w:hAnsi="汉仪中宋简" w:eastAsia="汉仪中宋简" w:cs="汉仪中宋简"/>
                <w:b w:val="0"/>
                <w:i w:val="0"/>
                <w:color w:val="000000"/>
                <w:kern w:val="0"/>
                <w:sz w:val="24"/>
                <w:szCs w:val="24"/>
                <w:highlight w:val="none"/>
                <w:lang w:val="en-US" w:eastAsia="zh-CN" w:bidi="ar"/>
              </w:rPr>
              <w:t>194,200</w:t>
            </w:r>
          </w:p>
        </w:tc>
      </w:tr>
    </w:tbl>
    <w:p ns2:paraId="4886E5A3">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服务承诺：确保数据真实可靠，分析专业严谨，提供有价值的市场洞察，保持与客户的密切沟通，确保项目高质量完成。</w:t>
      </w:r>
    </w:p>
    <w:p ns2:paraId="450101E3">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jc w:val="right"/>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br w:type="textWrapping"/>
      </w:r>
      <w:r>
        <w:rPr>
          <w:rFonts w:hint="eastAsia" w:ascii="汉仪中宋简" w:hAnsi="汉仪中宋简" w:eastAsia="汉仪中宋简" w:cs="汉仪中宋简"/>
          <w:sz w:val="24"/>
          <w:szCs w:val="32"/>
          <w:lang w:val="en-US" w:eastAsia="zh-CN"/>
        </w:rPr>
        <w:t xml:space="preserve">服务单位：{{field.service.unit}}日期：{{field.service.date}}</w:t>
      </w:r>
      <w:r>
        <w:rPr>
          <w:rFonts w:hint="eastAsia" w:ascii="汉仪中宋简" w:hAnsi="汉仪中宋简" w:eastAsia="汉仪中宋简" w:cs="汉仪中宋简"/>
          <w:sz w:val="24"/>
          <w:szCs w:val="32"/>
          <w:lang w:val="en-US" w:eastAsia="zh-CN"/>
        </w:rPr>
        <w:br w:type="textWrapping"/>
      </w:r>
      <w:r>
        <w:rPr>
          <w:rFonts w:hint="eastAsia" w:ascii="汉仪中宋简" w:hAnsi="汉仪中宋简" w:eastAsia="汉仪中宋简" w:cs="汉仪中宋简"/>
          <w:sz w:val="24"/>
          <w:szCs w:val="32"/>
          <w:lang w:val="en-US" w:eastAsia="zh-CN"/>
        </w:rPr>
        <w:t/>
      </w:r>
    </w:p>
    <w:bookmarkEnd w:id="3"/>
    <w:bookmarkEnd w:id="4"/>
    <w:bookmarkEnd w:id="5"/>
    <w:bookmarkEnd w:id="6"/>
    <w:p ns2:paraId="363E8080">
      <w:pPr>
        <w:rPr>
          <w:rFonts w:hint="eastAsia" w:ascii="汉仪中宋简" w:hAnsi="汉仪中宋简" w:eastAsia="汉仪中宋简" w:cs="汉仪中宋简"/>
          <w:b/>
          <w:lang w:val="en-US" w:eastAsia="zh-CN"/>
        </w:rPr>
        <w:sectPr>
          <w:footerReference ns9:id="rId4"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ns2:paraId="2FEDE721">
      <w:pPr>
        <w:rPr>
          <w:rFonts w:hint="eastAsia" w:ascii="汉仪中宋简" w:hAnsi="汉仪中宋简" w:eastAsia="汉仪中宋简" w:cs="汉仪中宋简"/>
          <w:b/>
          <w:lang w:val="en-US" w:eastAsia="zh-CN"/>
        </w:rPr>
      </w:pPr>
    </w:p>
    <w:sdt>
      <w:sdtPr>
        <w:rPr>
          <w:rFonts w:hint="eastAsia" w:ascii="汉仪中宋简" w:hAnsi="汉仪中宋简" w:eastAsia="汉仪中宋简" w:cs="汉仪中宋简"/>
          <w:b/>
          <w:bCs/>
          <w:kern w:val="2"/>
          <w:sz w:val="21"/>
          <w:szCs w:val="24"/>
          <w:lang w:val="en-US" w:eastAsia="zh-CN" w:bidi="ar-SA"/>
        </w:rPr>
        <w:id w:val="147466021"/>
        <ns10:color w:val="DBDBDB"/>
        <w:docPartObj>
          <w:docPartGallery w:val="Table of Contents"/>
          <w:docPartUnique/>
        </w:docPartObj>
      </w:sdtPr>
      <w:sdtEndPr>
        <w:rPr>
          <w:rFonts w:hint="eastAsia" w:ascii="汉仪中宋简" w:hAnsi="汉仪中宋简" w:eastAsia="汉仪中宋简" w:cs="汉仪中宋简"/>
          <w:b/>
          <w:bCs/>
          <w:kern w:val="2"/>
          <w:sz w:val="21"/>
          <w:szCs w:val="24"/>
          <w:lang w:val="en-US" w:eastAsia="zh-CN" w:bidi="ar-SA"/>
        </w:rPr>
      </w:sdtEndPr>
      <w:sdtContent>
        <w:p ns2:paraId="40F87C1A">
          <w:pPr>
            <w:keepNext w:val="0"/>
            <w:keepLines w:val="0"/>
            <w:pageBreakBefore w:val="0"/>
            <w:widowControl w:val="0"/>
            <w:kinsoku/>
            <w:wordWrap/>
            <w:overflowPunct/>
            <w:topLinePunct w:val="0"/>
            <w:autoSpaceDE/>
            <w:autoSpaceDN/>
            <w:bidi w:val="0"/>
            <w:adjustRightInd/>
            <w:snapToGrid/>
            <w:spacing w:before="157" w:beforeLines="50" w:after="157" w:afterLines="50" w:line="480" w:lineRule="auto"/>
            <w:ind w:left="0" w:leftChars="0" w:right="0" w:rightChars="0" w:firstLine="0" w:firstLineChars="0"/>
            <w:jc w:val="center"/>
            <w:textAlignment w:val="auto"/>
            <w:rPr>
              <w:rFonts w:hint="eastAsia" w:ascii="汉仪中宋简" w:hAnsi="汉仪中宋简" w:eastAsia="汉仪中宋简" w:cs="汉仪中宋简"/>
              <w:kern w:val="2"/>
              <w:sz w:val="21"/>
              <w:szCs w:val="24"/>
              <w:lang w:val="en-US" w:eastAsia="zh-CN" w:bidi="ar-SA"/>
            </w:rPr>
          </w:pPr>
          <w:r>
            <w:rPr>
              <w:rFonts w:hint="eastAsia" w:ascii="汉仪中宋简" w:hAnsi="汉仪中宋简" w:eastAsia="汉仪中宋简" w:cs="汉仪中宋简"/>
              <w:b/>
              <w:bCs/>
              <w:sz w:val="40"/>
              <w:szCs w:val="40"/>
            </w:rPr>
            <w:t>目录</w:t>
          </w:r>
          <w:r>
            <w:rPr>
              <w:rFonts w:hint="eastAsia" w:ascii="汉仪中宋简" w:hAnsi="汉仪中宋简" w:eastAsia="汉仪中宋简" w:cs="汉仪中宋简"/>
            </w:rPr>
            <w:fldChar w:fldCharType="begin"/>
          </w:r>
          <w:r>
            <w:rPr>
              <w:rFonts w:hint="eastAsia" w:ascii="汉仪中宋简" w:hAnsi="汉仪中宋简" w:eastAsia="汉仪中宋简" w:cs="汉仪中宋简"/>
            </w:rPr>
            <w:instrText xml:space="preserve">TOC \o "1-2" \h \u </w:instrText>
          </w:r>
          <w:r>
            <w:rPr>
              <w:rFonts w:hint="eastAsia" w:ascii="汉仪中宋简" w:hAnsi="汉仪中宋简" w:eastAsia="汉仪中宋简" w:cs="汉仪中宋简"/>
            </w:rPr>
            <w:fldChar w:fldCharType="separate"/>
          </w:r>
        </w:p>
        <w:p ns2:paraId="3E960E78">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_Toc2436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前言</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_Toc2436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7AA5F2FB">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_Toc29577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 xml:space="preserve">一、 </w:t>
          </w:r>
          <w:r>
            <w:rPr>
              <w:rFonts w:hint="eastAsia" w:ascii="汉仪中宋简" w:hAnsi="汉仪中宋简" w:eastAsia="汉仪中宋简" w:cs="汉仪中宋简"/>
              <w:sz w:val="28"/>
              <w:szCs w:val="28"/>
              <w:highlight w:val="none"/>
              <w:lang w:val="en-US" w:eastAsia="zh-CN"/>
            </w:rPr>
            <w:t>项目背景</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_Toc29577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40A67AD7">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_Toc26883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 xml:space="preserve">二、 </w:t>
          </w:r>
          <w:r>
            <w:rPr>
              <w:rFonts w:hint="eastAsia" w:ascii="汉仪中宋简" w:hAnsi="汉仪中宋简" w:eastAsia="汉仪中宋简" w:cs="汉仪中宋简"/>
              <w:sz w:val="28"/>
              <w:szCs w:val="28"/>
              <w:highlight w:val="none"/>
              <w:lang w:val="en-US" w:eastAsia="zh-CN"/>
            </w:rPr>
            <w:t>项目开展情况</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_Toc26883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65E8BCBD">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_Toc17641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 xml:space="preserve">三、 </w:t>
          </w:r>
          <w:r>
            <w:rPr>
              <w:rFonts w:hint="eastAsia" w:ascii="汉仪中宋简" w:hAnsi="汉仪中宋简" w:eastAsia="汉仪中宋简" w:cs="汉仪中宋简"/>
              <w:sz w:val="28"/>
              <w:szCs w:val="28"/>
              <w:highlight w:val="none"/>
              <w:lang w:val="en-US" w:eastAsia="zh-CN"/>
            </w:rPr>
            <w:t>问卷说明</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_Toc17641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3</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13AE118E">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_Toc14182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四、 问卷结果分析</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_Toc14182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4</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CB82E87">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_Toc23502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4.1药品疗效</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_Toc23502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5</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45DE5ED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_Toc4015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4.2药品安全性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_Toc4015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5F8A7B9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_Toc4788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4.3用药行为与习惯​</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_Toc4788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7</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3D4F51E">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_Toc26585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4.4用药便利性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_Toc26585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10</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1A49DB67">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_Toc24377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4.5药品经济性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_Toc24377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12</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69C28F1E">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_Toc8285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4.6药品可及性</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_Toc8285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13</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5ADE83F">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_Toc1050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4.7用药指导信息评价</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_Toc1050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14</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2942BE44">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_Toc19608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五、 调研结果</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_Toc19608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7F1F411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_Toc7275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5.1问卷重点问题分析</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_Toc7275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06EB4282">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_Toc25533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5.2调研结果分析</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_Toc25533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18</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59359071">
          <w:pPr>
            <w:pStyle w:val="8"/>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_Toc4442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5.3建议</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_Toc4442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19</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7BF03D17">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_Toc17910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lang w:val="en-US" w:eastAsia="zh-CN"/>
            </w:rPr>
            <w:t>附件1：厄贝沙坦氢氯噻嗪片用药体验与疗效反馈患者调查问卷</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_Toc17910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21</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284CEFBC">
          <w:pPr>
            <w:pStyle w:val="7"/>
            <w:tabs>
              <w:tab w:val="right" w:leader="dot" w:pos="8306"/>
            </w:tabs>
            <w:rPr>
              <w:rFonts w:hint="eastAsia" w:ascii="汉仪中宋简" w:hAnsi="汉仪中宋简" w:eastAsia="汉仪中宋简" w:cs="汉仪中宋简"/>
              <w:sz w:val="28"/>
              <w:szCs w:val="28"/>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_Toc22330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highlight w:val="none"/>
              <w:lang w:val="en-US" w:eastAsia="zh-CN"/>
            </w:rPr>
            <w:t>附件2：问卷调查明细表</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_Toc22330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25</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2DE77654">
          <w:pPr>
            <w:pStyle w:val="7"/>
            <w:tabs>
              <w:tab w:val="right" w:leader="dot" w:pos="8306"/>
            </w:tabs>
            <w:rPr>
              <w:rFonts w:hint="eastAsia" w:ascii="汉仪中宋简" w:hAnsi="汉仪中宋简" w:eastAsia="汉仪中宋简" w:cs="汉仪中宋简"/>
            </w:rPr>
          </w:pP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HYPERLINK \l _Toc8154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免责申明</w:t>
          </w:r>
          <w:r>
            <w:rPr>
              <w:rFonts w:hint="eastAsia" w:ascii="汉仪中宋简" w:hAnsi="汉仪中宋简" w:eastAsia="汉仪中宋简" w:cs="汉仪中宋简"/>
              <w:sz w:val="28"/>
              <w:szCs w:val="28"/>
            </w:rPr>
            <w:tab/>
          </w:r>
          <w:r>
            <w:rPr>
              <w:rFonts w:hint="eastAsia" w:ascii="汉仪中宋简" w:hAnsi="汉仪中宋简" w:eastAsia="汉仪中宋简" w:cs="汉仪中宋简"/>
              <w:sz w:val="28"/>
              <w:szCs w:val="28"/>
            </w:rPr>
            <w:fldChar w:fldCharType="begin"/>
          </w:r>
          <w:r>
            <w:rPr>
              <w:rFonts w:hint="eastAsia" w:ascii="汉仪中宋简" w:hAnsi="汉仪中宋简" w:eastAsia="汉仪中宋简" w:cs="汉仪中宋简"/>
              <w:sz w:val="28"/>
              <w:szCs w:val="28"/>
            </w:rPr>
            <w:instrText xml:space="preserve"> PAGEREF _Toc8154 \h </w:instrText>
          </w:r>
          <w:r>
            <w:rPr>
              <w:rFonts w:hint="eastAsia" w:ascii="汉仪中宋简" w:hAnsi="汉仪中宋简" w:eastAsia="汉仪中宋简" w:cs="汉仪中宋简"/>
              <w:sz w:val="28"/>
              <w:szCs w:val="28"/>
            </w:rPr>
            <w:fldChar w:fldCharType="separate"/>
          </w:r>
          <w:r>
            <w:rPr>
              <w:rFonts w:hint="eastAsia" w:ascii="汉仪中宋简" w:hAnsi="汉仪中宋简" w:eastAsia="汉仪中宋简" w:cs="汉仪中宋简"/>
              <w:sz w:val="28"/>
              <w:szCs w:val="28"/>
            </w:rPr>
            <w:t>26</w:t>
          </w:r>
          <w:r>
            <w:rPr>
              <w:rFonts w:hint="eastAsia" w:ascii="汉仪中宋简" w:hAnsi="汉仪中宋简" w:eastAsia="汉仪中宋简" w:cs="汉仪中宋简"/>
              <w:sz w:val="28"/>
              <w:szCs w:val="28"/>
            </w:rPr>
            <w:fldChar w:fldCharType="end"/>
          </w:r>
          <w:r>
            <w:rPr>
              <w:rFonts w:hint="eastAsia" w:ascii="汉仪中宋简" w:hAnsi="汉仪中宋简" w:eastAsia="汉仪中宋简" w:cs="汉仪中宋简"/>
              <w:sz w:val="28"/>
              <w:szCs w:val="28"/>
            </w:rPr>
            <w:fldChar w:fldCharType="end"/>
          </w:r>
        </w:p>
        <w:p ns2:paraId="324C758E">
          <w:pPr>
            <w:keepNext w:val="0"/>
            <w:keepLines w:val="0"/>
            <w:pageBreakBefore w:val="0"/>
            <w:widowControl w:val="0"/>
            <w:kinsoku/>
            <w:wordWrap/>
            <w:overflowPunct/>
            <w:topLinePunct w:val="0"/>
            <w:autoSpaceDE/>
            <w:autoSpaceDN/>
            <w:bidi w:val="0"/>
            <w:adjustRightInd/>
            <w:snapToGrid/>
            <w:spacing w:before="0" w:beforeLines="0" w:after="0" w:afterLines="0" w:line="480" w:lineRule="auto"/>
            <w:ind w:left="0" w:leftChars="0" w:right="0" w:rightChars="0" w:firstLine="0" w:firstLineChars="0"/>
            <w:jc w:val="center"/>
            <w:textAlignment w:val="auto"/>
            <w:rPr>
              <w:rFonts w:hint="eastAsia" w:ascii="汉仪中宋简" w:hAnsi="汉仪中宋简" w:eastAsia="汉仪中宋简" w:cs="汉仪中宋简"/>
            </w:rPr>
          </w:pPr>
          <w:r>
            <w:rPr>
              <w:rFonts w:hint="eastAsia" w:ascii="汉仪中宋简" w:hAnsi="汉仪中宋简" w:eastAsia="汉仪中宋简" w:cs="汉仪中宋简"/>
            </w:rPr>
            <w:fldChar w:fldCharType="end"/>
          </w:r>
        </w:p>
      </w:sdtContent>
    </w:sdt>
    <w:p ns2:paraId="2F7C28CF">
      <w:pPr>
        <w:pStyle w:val="2"/>
        <w:bidi w:val="0"/>
        <w:jc w:val="center"/>
        <w:rPr>
          <w:rFonts w:hint="eastAsia" w:ascii="汉仪中宋简" w:hAnsi="汉仪中宋简" w:eastAsia="汉仪中宋简" w:cs="汉仪中宋简"/>
          <w:lang w:val="en-US" w:eastAsia="zh-CN"/>
        </w:rPr>
        <w:sectPr>
          <w:footerReference ns9: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bookmarkStart w:id="7" w:name="_Toc2436"/>
    </w:p>
    <w:p ns2:paraId="6C8E94F9">
      <w:pPr>
        <w:pStyle w:val="2"/>
        <w:bidi w:val="0"/>
        <w:jc w:val="center"/>
        <w:rPr>
          <w:rFonts w:hint="eastAsia" w:ascii="汉仪中宋简" w:hAnsi="汉仪中宋简" w:eastAsia="汉仪中宋简" w:cs="汉仪中宋简"/>
          <w:lang w:val="en-US" w:eastAsia="zh-CN"/>
        </w:rPr>
      </w:pPr>
      <w:r>
        <w:rPr>
          <w:rFonts w:hint="eastAsia" w:ascii="汉仪中宋简" w:hAnsi="汉仪中宋简" w:eastAsia="汉仪中宋简" w:cs="汉仪中宋简"/>
          <w:lang w:val="en-US" w:eastAsia="zh-CN"/>
        </w:rPr>
        <w:t>前言</w:t>
      </w:r>
      <w:bookmarkEnd w:id="7"/>
    </w:p>
    <w:p ns2:paraId="7D65B80C">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 xml:space="preserve">{{block.preface}}</w:t>
      </w:r>
    </w:p>
    <w:p ns2:paraId="3B61949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sectPr>
          <w:footerReference ns9:id="rId6"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ns2:paraId="041B3149">
      <w:pPr>
        <w:keepNext w:val="0"/>
        <w:keepLines w:val="0"/>
        <w:pageBreakBefore w:val="0"/>
        <w:widowControl w:val="0"/>
        <w:kinsoku/>
        <w:wordWrap/>
        <w:overflowPunct/>
        <w:topLinePunct w:val="0"/>
        <w:autoSpaceDE/>
        <w:autoSpaceDN/>
        <w:bidi w:val="0"/>
        <w:adjustRightInd/>
        <w:snapToGrid/>
        <w:spacing w:before="157" w:beforeLines="50" w:after="157" w:afterLines="50" w:line="480" w:lineRule="auto"/>
        <w:jc w:val="center"/>
        <w:textAlignment w:val="auto"/>
        <w:rPr>
          <w:rFonts w:hint="eastAsia" w:ascii="汉仪中宋简" w:hAnsi="汉仪中宋简" w:eastAsia="汉仪中宋简" w:cs="汉仪中宋简"/>
          <w:b/>
          <w:bCs/>
          <w:sz w:val="44"/>
          <w:szCs w:val="44"/>
          <w:lang w:val="en-US" w:eastAsia="zh-CN"/>
        </w:rPr>
      </w:pPr>
      <w:bookmarkStart w:id="8" w:name="_Toc31976"/>
      <w:bookmarkStart w:id="9" w:name="_Toc6219"/>
      <w:bookmarkStart w:id="10" w:name="_Toc18642"/>
      <w:r>
        <w:rPr>
          <w:rFonts w:hint="eastAsia" w:ascii="汉仪中宋简" w:hAnsi="汉仪中宋简" w:eastAsia="汉仪中宋简" w:cs="汉仪中宋简"/>
          <w:b/>
          <w:bCs/>
          <w:sz w:val="44"/>
          <w:szCs w:val="44"/>
          <w:lang w:val="en-US" w:eastAsia="zh-CN"/>
        </w:rPr>
        <w:t>厄贝沙坦氢氯噻嗪片用药体验与疗效反馈患者调查问卷分析报告</w:t>
      </w:r>
      <w:bookmarkEnd w:id="8"/>
      <w:bookmarkEnd w:id="9"/>
      <w:bookmarkEnd w:id="10"/>
    </w:p>
    <w:p ns2:paraId="20E32FAB">
      <w:pPr>
        <w:pStyle w:val="3"/>
        <w:numPr>
          <w:ilvl w:val="0"/>
          <w:numId w:val="1"/>
        </w:numPr>
        <w:bidi w:val="0"/>
        <w:outlineLvl w:val="0"/>
        <w:rPr>
          <w:rFonts w:hint="eastAsia" w:ascii="汉仪中宋简" w:hAnsi="汉仪中宋简" w:eastAsia="汉仪中宋简" w:cs="汉仪中宋简"/>
          <w:b/>
          <w:highlight w:val="none"/>
          <w:lang w:val="en-US" w:eastAsia="zh-CN"/>
        </w:rPr>
      </w:pPr>
      <w:bookmarkStart w:id="11" w:name="_Toc29577"/>
      <w:r>
        <w:rPr>
          <w:rFonts w:hint="eastAsia" w:ascii="汉仪中宋简" w:hAnsi="汉仪中宋简" w:eastAsia="汉仪中宋简" w:cs="汉仪中宋简"/>
          <w:b/>
          <w:highlight w:val="none"/>
          <w:lang w:val="en-US" w:eastAsia="zh-CN"/>
        </w:rPr>
        <w:t>项目背景</w:t>
      </w:r>
      <w:bookmarkEnd w:id="11"/>
    </w:p>
    <w:p ns2:paraId="33023550">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24"/>
          <w:highlight w:val="none"/>
          <w:lang w:val="en-US" w:eastAsia="zh-CN"/>
        </w:rPr>
      </w:pPr>
      <w:r>
        <w:rPr>
          <w:rFonts w:hint="eastAsia" w:ascii="汉仪中宋简" w:hAnsi="汉仪中宋简" w:eastAsia="汉仪中宋简" w:cs="汉仪中宋简"/>
          <w:sz w:val="24"/>
          <w:szCs w:val="24"/>
          <w:highlight w:val="none"/>
          <w:lang w:val="en-US" w:eastAsia="zh-CN"/>
        </w:rPr>
        <w:t xml:space="preserve">{{block.project_background}}</w:t>
      </w:r>
    </w:p>
    <w:p ns2:paraId="5BFBAEDB">
      <w:pPr>
        <w:pStyle w:val="3"/>
        <w:numPr>
          <w:ilvl w:val="0"/>
          <w:numId w:val="1"/>
        </w:numPr>
        <w:bidi w:val="0"/>
        <w:outlineLvl w:val="0"/>
        <w:rPr>
          <w:rFonts w:hint="eastAsia" w:ascii="汉仪中宋简" w:hAnsi="汉仪中宋简" w:eastAsia="汉仪中宋简" w:cs="汉仪中宋简"/>
          <w:b/>
          <w:highlight w:val="none"/>
          <w:lang w:val="en-US" w:eastAsia="zh-CN"/>
        </w:rPr>
      </w:pPr>
      <w:bookmarkStart w:id="12" w:name="_Toc26883"/>
      <w:r>
        <w:rPr>
          <w:rFonts w:hint="eastAsia" w:ascii="汉仪中宋简" w:hAnsi="汉仪中宋简" w:eastAsia="汉仪中宋简" w:cs="汉仪中宋简"/>
          <w:b/>
          <w:highlight w:val="none"/>
          <w:lang w:val="en-US" w:eastAsia="zh-CN"/>
        </w:rPr>
        <w:t>项目开展情况</w:t>
      </w:r>
      <w:bookmarkEnd w:id="12"/>
    </w:p>
    <w:p ns2:paraId="1BBB4EDB">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highlight w:val="none"/>
          <w:lang w:val="en-US" w:eastAsia="zh-CN"/>
        </w:rPr>
      </w:pPr>
      <w:r>
        <w:rPr>
          <w:rFonts w:hint="eastAsia" w:ascii="汉仪中宋简" w:hAnsi="汉仪中宋简" w:eastAsia="汉仪中宋简" w:cs="汉仪中宋简"/>
          <w:sz w:val="24"/>
          <w:szCs w:val="32"/>
          <w:highlight w:val="none"/>
          <w:lang w:val="en-US" w:eastAsia="zh-CN"/>
        </w:rPr>
        <w:t xml:space="preserve">{{block.project_execution}}</w:t>
      </w:r>
    </w:p>
    <w:p ns2:paraId="45E0F945">
      <w:pPr>
        <w:pStyle w:val="3"/>
        <w:numPr>
          <w:ilvl w:val="0"/>
          <w:numId w:val="1"/>
        </w:numPr>
        <w:bidi w:val="0"/>
        <w:outlineLvl w:val="0"/>
        <w:rPr>
          <w:rFonts w:hint="eastAsia" w:ascii="汉仪中宋简" w:hAnsi="汉仪中宋简" w:eastAsia="汉仪中宋简" w:cs="汉仪中宋简"/>
          <w:b/>
          <w:highlight w:val="none"/>
          <w:lang w:val="en-US" w:eastAsia="zh-CN"/>
        </w:rPr>
      </w:pPr>
      <w:bookmarkStart w:id="13" w:name="_Toc17641"/>
      <w:r>
        <w:rPr>
          <w:rFonts w:hint="eastAsia" w:ascii="汉仪中宋简" w:hAnsi="汉仪中宋简" w:eastAsia="汉仪中宋简" w:cs="汉仪中宋简"/>
          <w:b/>
          <w:highlight w:val="none"/>
          <w:lang w:val="en-US" w:eastAsia="zh-CN"/>
        </w:rPr>
        <w:t>问卷说明</w:t>
      </w:r>
      <w:bookmarkEnd w:id="13"/>
    </w:p>
    <w:p ns2:paraId="709CC835">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highlight w:val="none"/>
          <w:lang w:val="en-US" w:eastAsia="zh-CN"/>
        </w:rPr>
      </w:pPr>
      <w:r>
        <w:rPr>
          <w:rFonts w:hint="eastAsia" w:ascii="汉仪中宋简" w:hAnsi="汉仪中宋简" w:eastAsia="汉仪中宋简" w:cs="汉仪中宋简"/>
          <w:sz w:val="24"/>
          <w:szCs w:val="32"/>
          <w:highlight w:val="none"/>
          <w:lang w:val="en-US" w:eastAsia="zh-CN"/>
        </w:rPr>
        <w:t xml:space="preserve">{{block.questionnaire_note}}</w:t>
      </w:r>
    </w:p>
    <w:p ns2:paraId="00BB390D">
      <w:pPr>
        <w:pStyle w:val="3"/>
        <w:numPr>
          <w:ilvl w:val="0"/>
          <w:numId w:val="1"/>
        </w:numPr>
        <w:bidi w:val="0"/>
        <w:outlineLvl w:val="0"/>
        <w:rPr>
          <w:rFonts w:hint="eastAsia" w:ascii="汉仪中宋简" w:hAnsi="汉仪中宋简" w:eastAsia="汉仪中宋简" w:cs="汉仪中宋简"/>
          <w:b/>
          <w:lang w:val="en-US" w:eastAsia="zh-CN"/>
        </w:rPr>
      </w:pPr>
      <w:bookmarkStart w:id="14" w:name="_Toc14182"/>
      <w:r>
        <w:rPr>
          <w:rFonts w:hint="eastAsia" w:ascii="汉仪中宋简" w:hAnsi="汉仪中宋简" w:eastAsia="汉仪中宋简" w:cs="汉仪中宋简"/>
          <w:b/>
          <w:lang w:val="en-US" w:eastAsia="zh-CN"/>
        </w:rPr>
        <w:t>问卷结果分析</w:t>
      </w:r>
      <w:bookmarkEnd w:id="14"/>
    </w:p>
    <w:p ns2:paraId="795A2C94">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本次调查采用问卷调查方式，共有14个问题，本报告从药品疗效、药品安全性、患者用药行为与习惯、用药便利性、药品经济性、药品可及性用药指导信息评价等7个维度展开统计分析。</w:t>
      </w:r>
    </w:p>
    <w:p ns2:paraId="12FB187E">
      <w:pPr>
        <w:keepNext w:val="0"/>
        <w:keepLines w:val="0"/>
        <w:pageBreakBefore w:val="0"/>
        <w:widowControl w:val="0"/>
        <w:numPr>
          <w:ilvl w:val="0"/>
          <w:numId w:val="0"/>
        </w:numPr>
        <w:kinsoku/>
        <w:wordWrap/>
        <w:overflowPunct/>
        <w:topLinePunct w:val="0"/>
        <w:autoSpaceDE/>
        <w:autoSpaceDN/>
        <w:bidi w:val="0"/>
        <w:adjustRightInd/>
        <w:snapToGrid/>
        <w:spacing w:line="600" w:lineRule="auto"/>
        <w:textAlignment w:val="auto"/>
        <w:rPr>
          <w:rFonts w:hint="eastAsia" w:ascii="汉仪中宋简" w:hAnsi="汉仪中宋简" w:eastAsia="汉仪中宋简" w:cs="汉仪中宋简"/>
        </w:rPr>
      </w:pPr>
      <w:r>
        <w:rPr>
          <w:rFonts w:hint="eastAsia" w:ascii="汉仪中宋简" w:hAnsi="汉仪中宋简" w:eastAsia="汉仪中宋简" w:cs="汉仪中宋简"/>
          <w:sz w:val="24"/>
          <w:szCs w:val="32"/>
          <w:lang w:val="en-US" w:eastAsia="zh-CN"/>
        </w:rPr>
        <w:drawing>
          <ns3:inline distT="0" distB="0" distL="114300" distR="114300">
            <ns3:extent cx="5238750" cy="4293235"/>
            <ns3:effectExtent l="9525" t="9525" r="9525" b="15240"/>
            <ns3:docPr id="7" name="图片 7"/>
            <ns3:cNvGraphicFramePr/>
            <ns4:graphic>
              <ns4:graphicData uri="http://schemas.openxmlformats.org/drawingml/2006/picture">
                <ns8:pic>
                  <ns8:nvPicPr>
                    <ns8:cNvPr id="7" name="图片 7"/>
                    <ns8:cNvPicPr/>
                  </ns8:nvPicPr>
                  <ns8:blipFill>
                    <ns4:blip ns9:embed="rId10"/>
                    <ns4:stretch>
                      <ns4:fillRect/>
                    </ns4:stretch>
                  </ns8:blipFill>
                  <ns8:spPr>
                    <ns4:xfrm>
                      <ns4:off x="0" y="0"/>
                      <ns4:ext cx="5238750" cy="4293235"/>
                    </ns4:xfrm>
                    <ns4:prstGeom prst="rect">
                      <ns4:avLst/>
                    </ns4:prstGeom>
                    <ns4:ln>
                      <ns4:solidFill>
                        <ns4:srgbClr val="FFFFFF"/>
                      </ns4:solidFill>
                    </ns4:ln>
                    <ns4:extLst>
                      <ns4:ext uri="{8CAD56D8-0F58-4FB8-B24C-77498146470C}">
                        <ns11:webExtensionRef ns9:id="rId9"/>
                      </ns4:ext>
                      <ns11:webExtensionRef ns9:id="rId9"/>
                    </ns4:extLst>
                  </ns8:spPr>
                </ns8:pic>
              </ns4:graphicData>
            </ns4:graphic>
          </ns3:inline>
        </w:drawing>
      </w:r>
    </w:p>
    <w:p ns2:paraId="2A8B3975">
      <w:pPr>
        <w:keepNext w:val="0"/>
        <w:keepLines w:val="0"/>
        <w:pageBreakBefore w:val="0"/>
        <w:widowControl w:val="0"/>
        <w:numPr>
          <w:ilvl w:val="0"/>
          <w:numId w:val="0"/>
        </w:numPr>
        <w:kinsoku/>
        <w:wordWrap/>
        <w:overflowPunct/>
        <w:topLinePunct w:val="0"/>
        <w:autoSpaceDE/>
        <w:autoSpaceDN/>
        <w:bidi w:val="0"/>
        <w:adjustRightInd/>
        <w:snapToGrid/>
        <w:spacing w:line="600" w:lineRule="auto"/>
        <w:jc w:val="center"/>
        <w:textAlignment w:val="auto"/>
        <w:rPr>
          <w:rFonts w:hint="eastAsia" w:ascii="汉仪中宋简" w:hAnsi="汉仪中宋简" w:eastAsia="汉仪中宋简" w:cs="汉仪中宋简"/>
          <w:b w:val="0"/>
          <w:bCs w:val="0"/>
          <w:color w:val="000000" w:themeColor="text1"/>
          <w:sz w:val="24"/>
          <w:szCs w:val="24"/>
          <w:lang w:val="en-US" w:eastAsia="zh-CN"/>
          <ns2:textFill>
            <ns2:solidFill>
              <ns2:schemeClr ns2:val="tx1"/>
            </ns2:solidFill>
          </ns2:textFill>
        </w:rPr>
      </w:pPr>
      <w:r>
        <w:rPr>
          <w:rFonts w:hint="eastAsia" w:ascii="汉仪中宋简" w:hAnsi="汉仪中宋简" w:eastAsia="汉仪中宋简" w:cs="汉仪中宋简"/>
          <w:lang w:eastAsia="zh-CN"/>
        </w:rPr>
        <w:drawing>
          <ns3:inline distT="0" distB="0" distL="114300" distR="114300">
            <ns3:extent cx="5234305" cy="2489835"/>
            <ns3:effectExtent l="4445" t="4445" r="6350" b="45720"/>
            <ns3:docPr id="14" name="图表 14" descr="7b0a202020202263686172745265734964223a20223230343735383430220a7d0a"/>
            <ns3:cNvGraphicFramePr/>
            <ns4:graphic>
              <ns4:graphicData uri="http://schemas.openxmlformats.org/drawingml/2006/chart">
                <ns12:chart ns9:id="rId11"/>
              </ns4:graphicData>
            </ns4:graphic>
          </ns3:inline>
        </w:drawing>
      </w:r>
      <w:r>
        <w:rPr>
          <w:rFonts w:hint="eastAsia" w:ascii="汉仪中宋简" w:hAnsi="汉仪中宋简" w:eastAsia="汉仪中宋简" w:cs="汉仪中宋简"/>
          <w:lang w:eastAsia="zh-CN"/>
        </w:rPr>
        <w:drawing>
          <ns3:inline distT="0" distB="0" distL="114300" distR="114300">
            <ns3:extent cx="5240020" cy="2601595"/>
            <ns3:effectExtent l="4445" t="4445" r="13335" b="35560"/>
            <ns3:docPr id="11" name="图表 11" descr="7b0a202020202263686172745265734964223a20223230343735383430220a7d0a"/>
            <ns3:cNvGraphicFramePr/>
            <ns4:graphic>
              <ns4:graphicData uri="http://schemas.openxmlformats.org/drawingml/2006/chart">
                <ns12:chart ns9:id="rId12"/>
              </ns4:graphicData>
            </ns4:graphic>
          </ns3:inline>
        </w:drawing>
      </w:r>
    </w:p>
    <w:p ns2:paraId="6FEF9D0C">
      <w:pPr>
        <w:keepNext w:val="0"/>
        <w:keepLines w:val="0"/>
        <w:pageBreakBefore w:val="0"/>
        <w:widowControl w:val="0"/>
        <w:numPr>
          <w:ilvl w:val="0"/>
          <w:numId w:val="0"/>
        </w:numPr>
        <w:kinsoku/>
        <w:wordWrap/>
        <w:overflowPunct/>
        <w:topLinePunct w:val="0"/>
        <w:autoSpaceDE/>
        <w:autoSpaceDN/>
        <w:bidi w:val="0"/>
        <w:adjustRightInd/>
        <w:snapToGrid/>
        <w:spacing w:line="600" w:lineRule="auto"/>
        <w:jc w:val="both"/>
        <w:textAlignment w:val="auto"/>
        <w:rPr>
          <w:rFonts w:hint="eastAsia" w:ascii="汉仪中宋简" w:hAnsi="汉仪中宋简" w:eastAsia="汉仪中宋简" w:cs="汉仪中宋简"/>
          <w:lang w:val="en-US" w:eastAsia="zh-CN"/>
        </w:rPr>
      </w:pPr>
    </w:p>
    <w:p ns2:paraId="062BDC27">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5" w:name="_Toc23502"/>
      <w:r>
        <w:rPr>
          <w:rFonts w:hint="eastAsia" w:ascii="汉仪中宋简" w:hAnsi="汉仪中宋简" w:eastAsia="汉仪中宋简" w:cs="汉仪中宋简"/>
          <w:lang w:val="en-US" w:eastAsia="zh-CN"/>
        </w:rPr>
        <w:t>4.1药品疗效</w:t>
      </w:r>
      <w:bookmarkEnd w:id="15"/>
    </w:p>
    <w:p ns2:paraId="309B9A6C">
      <w:pPr>
        <w:pStyle w:val="4"/>
        <w:keepNext/>
        <w:keepLines/>
        <w:pageBreakBefore w:val="0"/>
        <w:widowControl w:val="0"/>
        <w:numPr>
          <w:ilvl w:val="0"/>
          <w:numId w:val="2"/>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血压控制效果分析</w:t>
      </w:r>
    </w:p>
    <w:tbl>
      <w:tblPr>
        <w:tblStyle w:val="10"/>
        <w:tblW w:w="510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24"/>
        <w:gridCol w:w="896"/>
        <w:gridCol w:w="1494"/>
        <w:gridCol w:w="1494"/>
        <w:gridCol w:w="1494"/>
        <w:gridCol w:w="1496"/>
      </w:tblGrid>
      <w:tr ns2:paraId="7EA3F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24"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8AD6E1E">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1.您服用厄贝沙坦氢氯噻嗪片后，血压控制效果如何？</w:t>
            </w:r>
          </w:p>
        </w:tc>
        <w:tc>
          <w:tcPr>
            <w:tcW w:w="89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B2E7BCF">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9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36A4CE8">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A.血压稳定在正常范围</w:t>
            </w:r>
          </w:p>
        </w:tc>
        <w:tc>
          <w:tcPr>
            <w:tcW w:w="149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D226F51">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B.血压多数时间在正常范围</w:t>
            </w:r>
          </w:p>
        </w:tc>
        <w:tc>
          <w:tcPr>
            <w:tcW w:w="149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1F85F23">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C.血压偶尔超出正常范围</w:t>
            </w:r>
          </w:p>
        </w:tc>
        <w:tc>
          <w:tcPr>
            <w:tcW w:w="149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76F4B2D">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D.血压持续超出正常范围</w:t>
            </w:r>
          </w:p>
        </w:tc>
      </w:tr>
      <w:tr ns2:paraId="24BA0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24"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7E325A1">
            <w:pPr>
              <w:jc w:val="center"/>
              <w:rPr>
                <w:rFonts w:hint="eastAsia" w:ascii="汉仪中宋简" w:hAnsi="汉仪中宋简" w:eastAsia="汉仪中宋简" w:cs="汉仪中宋简"/>
                <w:b/>
                <w:bCs/>
                <w:i w:val="0"/>
                <w:iCs w:val="0"/>
                <w:color w:val="000000"/>
                <w:sz w:val="21"/>
                <w:szCs w:val="21"/>
                <w:u w:val="none"/>
              </w:rPr>
            </w:pPr>
          </w:p>
        </w:tc>
        <w:tc>
          <w:tcPr>
            <w:tcW w:w="89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0A805CD">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样本量</w:t>
            </w:r>
          </w:p>
        </w:tc>
        <w:tc>
          <w:tcPr>
            <w:tcW w:w="149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8889C9E">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738</w:t>
            </w:r>
          </w:p>
        </w:tc>
        <w:tc>
          <w:tcPr>
            <w:tcW w:w="149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8265E98">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804</w:t>
            </w:r>
          </w:p>
        </w:tc>
        <w:tc>
          <w:tcPr>
            <w:tcW w:w="149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7328D70">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100</w:t>
            </w:r>
          </w:p>
        </w:tc>
        <w:tc>
          <w:tcPr>
            <w:tcW w:w="149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B4C423E">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r>
      <w:tr ns2:paraId="7DBF7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24"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BB08899">
            <w:pPr>
              <w:jc w:val="center"/>
              <w:rPr>
                <w:rFonts w:hint="eastAsia" w:ascii="汉仪中宋简" w:hAnsi="汉仪中宋简" w:eastAsia="汉仪中宋简" w:cs="汉仪中宋简"/>
                <w:b/>
                <w:bCs/>
                <w:i w:val="0"/>
                <w:iCs w:val="0"/>
                <w:color w:val="000000"/>
                <w:sz w:val="21"/>
                <w:szCs w:val="21"/>
                <w:u w:val="none"/>
              </w:rPr>
            </w:pPr>
          </w:p>
        </w:tc>
        <w:tc>
          <w:tcPr>
            <w:tcW w:w="89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742B846">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占比</w:t>
            </w:r>
          </w:p>
        </w:tc>
        <w:tc>
          <w:tcPr>
            <w:tcW w:w="149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F47C4A9">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44.95%</w:t>
            </w:r>
          </w:p>
        </w:tc>
        <w:tc>
          <w:tcPr>
            <w:tcW w:w="149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B0BF7C1">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48.96%</w:t>
            </w:r>
          </w:p>
        </w:tc>
        <w:tc>
          <w:tcPr>
            <w:tcW w:w="149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4B33F64">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6.09%</w:t>
            </w:r>
          </w:p>
        </w:tc>
        <w:tc>
          <w:tcPr>
            <w:tcW w:w="149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3F13929">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r>
    </w:tbl>
    <w:p ns2:paraId="0107EF0C">
      <w:pPr>
        <w:rPr>
          <w:rFonts w:hint="eastAsia" w:ascii="汉仪中宋简" w:hAnsi="汉仪中宋简" w:eastAsia="汉仪中宋简" w:cs="汉仪中宋简"/>
          <w:lang w:val="en-US" w:eastAsia="zh-CN"/>
        </w:rPr>
      </w:pPr>
    </w:p>
    <w:p ns2:paraId="7DEDD867">
      <w:pPr>
        <w:keepNext w:val="0"/>
        <w:keepLines w:val="0"/>
        <w:pageBreakBefore w:val="0"/>
        <w:widowControl w:val="0"/>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调研结果呈现出极高的正向反馈比例。具体来看，44.95%的患者反馈血压能够稳定在正常范围，该部分患者通过规律服药实现了血压的精准管控，这是药物疗效达标的核心体现；48.96%的患者表示血压多数时间在正常范围，说明药物对该群体的血压调节具备持续有效性，仅在特殊生理状态或生活习惯波动时可能出现短暂波动，整体仍处于可控区间。两者合计占比高达93.91%，充分印证了厄贝沙坦氢氯噻嗪片作为复方降压药物的临床优势，其通过厄贝沙坦与氢氯噻嗪的协同作用，能够有效覆盖多数高血压患者的降压需求。此外，仅6.09%的患者存在血压偶尔超出正常范围的情况，无患者反馈血压持续失控，结合临床经验推测，该部分患者的血压波动可能与个体代谢差异、用药依从性细节偏差或生活方式干预不足相关，而非药物本身疗效不足，进一步说明该药物的整体疗效稳定性和可靠性。​</w:t>
      </w:r>
    </w:p>
    <w:p ns2:paraId="095C7902">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highlight w:val="none"/>
          <w:lang w:val="en-US" w:eastAsia="zh-CN"/>
        </w:rPr>
      </w:pPr>
      <w:bookmarkStart w:id="16" w:name="_Toc4015"/>
      <w:r>
        <w:rPr>
          <w:rFonts w:hint="eastAsia" w:ascii="汉仪中宋简" w:hAnsi="汉仪中宋简" w:eastAsia="汉仪中宋简" w:cs="汉仪中宋简"/>
          <w:highlight w:val="none"/>
          <w:lang w:val="en-US" w:eastAsia="zh-CN"/>
        </w:rPr>
        <w:t>4.2药品安全性</w:t>
      </w:r>
      <w:bookmarkEnd w:id="16"/>
    </w:p>
    <w:p ns2:paraId="24CF4E33">
      <w:pPr>
        <w:pStyle w:val="4"/>
        <w:keepNext/>
        <w:keepLines/>
        <w:pageBreakBefore w:val="0"/>
        <w:widowControl w:val="0"/>
        <w:numPr>
          <w:ilvl w:val="0"/>
          <w:numId w:val="3"/>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头晕头痛不良反应分析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853"/>
        <w:gridCol w:w="1434"/>
        <w:gridCol w:w="1434"/>
        <w:gridCol w:w="1434"/>
        <w:gridCol w:w="1435"/>
      </w:tblGrid>
      <w:tr ns2:paraId="4DC8D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665E77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2.您服用厄贝沙坦氢氯噻嗪片期间，是否出现过头晕、头痛症状？</w:t>
            </w:r>
          </w:p>
        </w:tc>
        <w:tc>
          <w:tcPr>
            <w:tcW w:w="85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657401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3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F953B2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A.经常出现，症状严重</w:t>
            </w:r>
          </w:p>
        </w:tc>
        <w:tc>
          <w:tcPr>
            <w:tcW w:w="143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4203C6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B.偶尔出现，症状轻微可忍受</w:t>
            </w:r>
          </w:p>
        </w:tc>
        <w:tc>
          <w:tcPr>
            <w:tcW w:w="1434"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12A777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C.很少出现，几乎无感觉</w:t>
            </w:r>
          </w:p>
        </w:tc>
        <w:tc>
          <w:tcPr>
            <w:tcW w:w="143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FDF4EA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D.从未出现过</w:t>
            </w:r>
          </w:p>
        </w:tc>
      </w:tr>
      <w:tr ns2:paraId="1BFA2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8B34AA1">
            <w:pPr>
              <w:jc w:val="center"/>
              <w:rPr>
                <w:rFonts w:hint="eastAsia" w:ascii="汉仪中宋简" w:hAnsi="汉仪中宋简" w:eastAsia="汉仪中宋简" w:cs="汉仪中宋简"/>
                <w:b/>
                <w:bCs/>
                <w:i w:val="0"/>
                <w:iCs w:val="0"/>
                <w:color w:val="000000"/>
                <w:sz w:val="21"/>
                <w:szCs w:val="21"/>
                <w:u w:val="none"/>
              </w:rPr>
            </w:pPr>
          </w:p>
        </w:tc>
        <w:tc>
          <w:tcPr>
            <w:tcW w:w="85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5E9F0F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3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23C697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c>
          <w:tcPr>
            <w:tcW w:w="143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B9E0C0D">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100</w:t>
            </w:r>
          </w:p>
        </w:tc>
        <w:tc>
          <w:tcPr>
            <w:tcW w:w="1434"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E0274C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679</w:t>
            </w:r>
          </w:p>
        </w:tc>
        <w:tc>
          <w:tcPr>
            <w:tcW w:w="143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3BC792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863</w:t>
            </w:r>
          </w:p>
        </w:tc>
      </w:tr>
      <w:tr ns2:paraId="0F99E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6F4FD79">
            <w:pPr>
              <w:jc w:val="center"/>
              <w:rPr>
                <w:rFonts w:hint="eastAsia" w:ascii="汉仪中宋简" w:hAnsi="汉仪中宋简" w:eastAsia="汉仪中宋简" w:cs="汉仪中宋简"/>
                <w:b/>
                <w:bCs/>
                <w:i w:val="0"/>
                <w:iCs w:val="0"/>
                <w:color w:val="000000"/>
                <w:sz w:val="21"/>
                <w:szCs w:val="21"/>
                <w:u w:val="none"/>
              </w:rPr>
            </w:pPr>
          </w:p>
        </w:tc>
        <w:tc>
          <w:tcPr>
            <w:tcW w:w="85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BB906B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3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C7C7E1D">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c>
          <w:tcPr>
            <w:tcW w:w="143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4DC1ED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6.09%</w:t>
            </w:r>
          </w:p>
        </w:tc>
        <w:tc>
          <w:tcPr>
            <w:tcW w:w="1434"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7D4D82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41.35%</w:t>
            </w:r>
          </w:p>
        </w:tc>
        <w:tc>
          <w:tcPr>
            <w:tcW w:w="143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747184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52.56%</w:t>
            </w:r>
          </w:p>
        </w:tc>
      </w:tr>
    </w:tbl>
    <w:p ns2:paraId="67BFDFB0">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头晕、头痛是降压药物初期常见的不良反应，与血管扩张带来的脑部供血变化相关，其发生情况直接反映药物的安全性与患者耐受性。本次调研显示，52.56%的患者明确表示从未出现该症状，41.35%的患者反馈很少出现且几乎无感觉，两者合计占比93.91%，表明该药物对患者脑血管调节功能的影响极小，多数患者可快速适应药物作用。仅6.09%的患者出现偶尔轻微且可耐受的症状，无任何严重症状案例，说明即便出现不良反应，程度也较为轻微，不会对患者正常工作与生活造成干扰，进一步验证了该药物的安全性优势，为患者长期规律用药奠定了基础。​</w:t>
      </w:r>
    </w:p>
    <w:p ns2:paraId="08B2DF8A">
      <w:pPr>
        <w:pStyle w:val="4"/>
        <w:keepNext/>
        <w:keepLines/>
        <w:pageBreakBefore w:val="0"/>
        <w:widowControl w:val="0"/>
        <w:numPr>
          <w:ilvl w:val="0"/>
          <w:numId w:val="3"/>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口渴多尿不良反应分析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1318"/>
        <w:gridCol w:w="1417"/>
        <w:gridCol w:w="1219"/>
        <w:gridCol w:w="1318"/>
        <w:gridCol w:w="1318"/>
      </w:tblGrid>
      <w:tr ns2:paraId="59E1E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E25056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3.您服用厄贝沙坦氢氯噻嗪片期间，是否出现过口渴、多尿情况？</w:t>
            </w:r>
          </w:p>
        </w:tc>
        <w:tc>
          <w:tcPr>
            <w:tcW w:w="131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3CC8C4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1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CC7B06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A.经常出现，影响正常生活</w:t>
            </w:r>
          </w:p>
        </w:tc>
        <w:tc>
          <w:tcPr>
            <w:tcW w:w="12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2572A3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B.偶尔出现，无明显影响</w:t>
            </w:r>
          </w:p>
        </w:tc>
        <w:tc>
          <w:tcPr>
            <w:tcW w:w="131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605CE2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C.很少出现，几乎不察觉</w:t>
            </w:r>
          </w:p>
        </w:tc>
        <w:tc>
          <w:tcPr>
            <w:tcW w:w="131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246F8F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D.从未出现过</w:t>
            </w:r>
          </w:p>
        </w:tc>
      </w:tr>
      <w:tr ns2:paraId="3460A6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CA8FA64">
            <w:pPr>
              <w:jc w:val="center"/>
              <w:rPr>
                <w:rFonts w:hint="eastAsia" w:ascii="汉仪中宋简" w:hAnsi="汉仪中宋简" w:eastAsia="汉仪中宋简" w:cs="汉仪中宋简"/>
                <w:b/>
                <w:bCs/>
                <w:i w:val="0"/>
                <w:iCs w:val="0"/>
                <w:color w:val="000000"/>
                <w:sz w:val="21"/>
                <w:szCs w:val="21"/>
                <w:u w:val="none"/>
              </w:rPr>
            </w:pPr>
          </w:p>
        </w:tc>
        <w:tc>
          <w:tcPr>
            <w:tcW w:w="131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D270A5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1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22D6F0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c>
          <w:tcPr>
            <w:tcW w:w="12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88CF36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100</w:t>
            </w:r>
          </w:p>
        </w:tc>
        <w:tc>
          <w:tcPr>
            <w:tcW w:w="131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B51B84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789</w:t>
            </w:r>
          </w:p>
        </w:tc>
        <w:tc>
          <w:tcPr>
            <w:tcW w:w="131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C7DCC4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753</w:t>
            </w:r>
          </w:p>
        </w:tc>
      </w:tr>
      <w:tr ns2:paraId="3750A4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B5335A8">
            <w:pPr>
              <w:jc w:val="center"/>
              <w:rPr>
                <w:rFonts w:hint="eastAsia" w:ascii="汉仪中宋简" w:hAnsi="汉仪中宋简" w:eastAsia="汉仪中宋简" w:cs="汉仪中宋简"/>
                <w:b/>
                <w:bCs/>
                <w:i w:val="0"/>
                <w:iCs w:val="0"/>
                <w:color w:val="000000"/>
                <w:sz w:val="21"/>
                <w:szCs w:val="21"/>
                <w:u w:val="none"/>
              </w:rPr>
            </w:pPr>
          </w:p>
        </w:tc>
        <w:tc>
          <w:tcPr>
            <w:tcW w:w="131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321346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1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35B410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c>
          <w:tcPr>
            <w:tcW w:w="12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AEA5F0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6.09%</w:t>
            </w:r>
          </w:p>
        </w:tc>
        <w:tc>
          <w:tcPr>
            <w:tcW w:w="131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10A6EE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48.05%</w:t>
            </w:r>
          </w:p>
        </w:tc>
        <w:tc>
          <w:tcPr>
            <w:tcW w:w="131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CC7C9F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45.86%</w:t>
            </w:r>
          </w:p>
        </w:tc>
      </w:tr>
    </w:tbl>
    <w:p ns2:paraId="22E10E77">
      <w:pPr>
        <w:rPr>
          <w:rFonts w:hint="eastAsia" w:ascii="汉仪中宋简" w:hAnsi="汉仪中宋简" w:eastAsia="汉仪中宋简" w:cs="汉仪中宋简"/>
          <w:lang w:val="en-US" w:eastAsia="zh-CN"/>
        </w:rPr>
      </w:pPr>
    </w:p>
    <w:p ns2:paraId="692990EB">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氢氯噻嗪作为利尿剂，其作用机制可能导致尿量增加，进而引发口渴感，这是该类成分常见的潜在不良反应，也是评估药物剂量配比科学性的重要指标。本次调研结果显示，45.86%的患者从未出现口渴、多尿情况，48.05%的患者很少出现且几乎不察觉，合计占比达93.91%，说明该药物的剂量配比经过科学优化，能够在充分发挥利尿剂降压作用的同时，最大限度降低其对患者水电解质平衡的影响，减少不良反应发生。仅6.09%的患者偶尔出现相关症状且无明显影响，进一步佐证了患者对该药物的良好耐受性，也体现了复方制剂协同作用的优势，兼顾疗效与安全性。</w:t>
      </w:r>
    </w:p>
    <w:p ns2:paraId="12A7EA35">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7" w:name="_Toc4788"/>
      <w:r>
        <w:rPr>
          <w:rFonts w:hint="eastAsia" w:ascii="汉仪中宋简" w:hAnsi="汉仪中宋简" w:eastAsia="汉仪中宋简" w:cs="汉仪中宋简"/>
          <w:lang w:val="en-US" w:eastAsia="zh-CN"/>
        </w:rPr>
        <w:t>4.3用药行为与习惯​</w:t>
      </w:r>
      <w:bookmarkEnd w:id="17"/>
    </w:p>
    <w:p ns2:paraId="6C112BBD">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购药渠道分析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16"/>
        <w:gridCol w:w="1087"/>
        <w:gridCol w:w="1429"/>
        <w:gridCol w:w="1429"/>
        <w:gridCol w:w="1429"/>
        <w:gridCol w:w="1429"/>
      </w:tblGrid>
      <w:tr ns2:paraId="50E9C5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53" w:hRule="atLeast"/>
        </w:trPr>
        <w:tc>
          <w:tcPr>
            <w:tcW w:w="1716"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9F6B614">
            <w:pPr>
              <w:keepNext w:val="0"/>
              <w:keepLines w:val="0"/>
              <w:widowControl/>
              <w:suppressLineNumbers w:val="0"/>
              <w:jc w:val="center"/>
              <w:textAlignment w:val="center"/>
              <w:rPr>
                <w:rFonts w:hint="eastAsia" w:ascii="汉仪中宋简" w:hAnsi="汉仪中宋简" w:eastAsia="汉仪中宋简" w:cs="汉仪中宋简"/>
                <w:lang w:val="en-US" w:eastAsia="zh-CN"/>
              </w:rPr>
            </w:pPr>
            <w:r>
              <w:rPr>
                <w:rFonts w:hint="default" w:ascii="Calibri" w:hAnsi="Calibri" w:eastAsia="宋体" w:cs="Calibri"/>
                <w:i w:val="0"/>
                <w:iCs w:val="0"/>
                <w:color w:val="000000"/>
                <w:kern w:val="0"/>
                <w:sz w:val="20"/>
                <w:szCs w:val="20"/>
                <w:u w:val="none"/>
                <w:lang w:val="en-US" w:eastAsia="zh-CN" w:bidi="ar"/>
              </w:rPr>
              <w:t>4.您通常通过什么渠道购买厄贝沙坦氢氯噻嗪片？</w:t>
            </w:r>
          </w:p>
        </w:tc>
        <w:tc>
          <w:tcPr>
            <w:tcW w:w="108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21EDF5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558B0A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A.医院药房</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5A2557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B.线下连锁药店</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6C4E12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C.正规网上药店</w:t>
            </w:r>
          </w:p>
        </w:tc>
        <w:tc>
          <w:tcPr>
            <w:tcW w:w="14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F424DC4">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D.其他渠道</w:t>
            </w:r>
          </w:p>
        </w:tc>
      </w:tr>
      <w:tr ns2:paraId="2065D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80" w:hRule="atLeast"/>
        </w:trPr>
        <w:tc>
          <w:tcPr>
            <w:tcW w:w="1716"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BF9FA66">
            <w:pPr>
              <w:jc w:val="center"/>
              <w:rPr>
                <w:rFonts w:hint="eastAsia" w:ascii="汉仪中宋简" w:hAnsi="汉仪中宋简" w:eastAsia="汉仪中宋简" w:cs="汉仪中宋简"/>
                <w:b/>
                <w:bCs/>
                <w:i w:val="0"/>
                <w:iCs w:val="0"/>
                <w:color w:val="000000"/>
                <w:sz w:val="21"/>
                <w:szCs w:val="21"/>
                <w:u w:val="none"/>
              </w:rPr>
            </w:pPr>
          </w:p>
        </w:tc>
        <w:tc>
          <w:tcPr>
            <w:tcW w:w="108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0DAEBA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2DE441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607</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064E03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476</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11174C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197</w:t>
            </w:r>
          </w:p>
        </w:tc>
        <w:tc>
          <w:tcPr>
            <w:tcW w:w="14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BAA0E3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362</w:t>
            </w:r>
          </w:p>
        </w:tc>
      </w:tr>
      <w:tr ns2:paraId="6C684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80" w:hRule="atLeast"/>
        </w:trPr>
        <w:tc>
          <w:tcPr>
            <w:tcW w:w="1716"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B56F8C2">
            <w:pPr>
              <w:jc w:val="center"/>
              <w:rPr>
                <w:rFonts w:hint="eastAsia" w:ascii="汉仪中宋简" w:hAnsi="汉仪中宋简" w:eastAsia="汉仪中宋简" w:cs="汉仪中宋简"/>
                <w:b/>
                <w:bCs/>
                <w:i w:val="0"/>
                <w:iCs w:val="0"/>
                <w:color w:val="000000"/>
                <w:sz w:val="21"/>
                <w:szCs w:val="21"/>
                <w:u w:val="none"/>
              </w:rPr>
            </w:pPr>
          </w:p>
        </w:tc>
        <w:tc>
          <w:tcPr>
            <w:tcW w:w="108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8A9F67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B27F44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36.97%</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1FC47C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28.99%</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861DC8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12.00%</w:t>
            </w:r>
          </w:p>
        </w:tc>
        <w:tc>
          <w:tcPr>
            <w:tcW w:w="14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CFC469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22.04%</w:t>
            </w:r>
          </w:p>
        </w:tc>
      </w:tr>
    </w:tbl>
    <w:p ns2:paraId="084DF76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购药渠道的选择直接关系到药品质量与用药安全，是反映患者用药认知的重要维度。本次调研显示，36.97%的患者通过医院药房购买，28.99%通过线下连锁药店购买，两者合计占比65.96%，体现了多数患者对正规购药渠道的信任，能够通过可靠渠道获取药品，有效规避非正规药品的质量风险；12.00%的患者选择正规网上药店，反映出部分患者对购药便利性、时效性的需求，契合当前数字化购药的发展趋势；而22.04%的患者通过其他渠道购买，该部分渠道信息不明确，存在购买到假冒伪劣药品的潜在风险，需重点关注并引导。</w:t>
      </w:r>
    </w:p>
    <w:p ns2:paraId="613F0823">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剂量遵循情况分析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13"/>
        <w:gridCol w:w="1000"/>
        <w:gridCol w:w="1426"/>
        <w:gridCol w:w="1426"/>
        <w:gridCol w:w="1426"/>
        <w:gridCol w:w="1428"/>
      </w:tblGrid>
      <w:tr ns2:paraId="536F8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93" w:hRule="atLeast"/>
        </w:trPr>
        <w:tc>
          <w:tcPr>
            <w:tcW w:w="1813"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392A41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6.您服用厄贝沙坦氢氯噻嗪片的剂量是否严格按照医嘱？</w:t>
            </w:r>
          </w:p>
        </w:tc>
        <w:tc>
          <w:tcPr>
            <w:tcW w:w="100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968C00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318738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A.始终严格遵守</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5489B5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B.大部分时间遵守，偶尔微调</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BFF562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C.经常根据自身感觉调整</w:t>
            </w:r>
          </w:p>
        </w:tc>
        <w:tc>
          <w:tcPr>
            <w:tcW w:w="142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E7F137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D.从未按规定剂量服用</w:t>
            </w:r>
          </w:p>
        </w:tc>
      </w:tr>
      <w:tr ns2:paraId="24D78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7" w:hRule="atLeast"/>
        </w:trPr>
        <w:tc>
          <w:tcPr>
            <w:tcW w:w="1813"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895E5C4">
            <w:pPr>
              <w:jc w:val="center"/>
              <w:rPr>
                <w:rFonts w:hint="eastAsia" w:ascii="汉仪中宋简" w:hAnsi="汉仪中宋简" w:eastAsia="汉仪中宋简" w:cs="汉仪中宋简"/>
                <w:b/>
                <w:bCs/>
                <w:i w:val="0"/>
                <w:iCs w:val="0"/>
                <w:color w:val="000000"/>
                <w:sz w:val="21"/>
                <w:szCs w:val="21"/>
                <w:u w:val="none"/>
              </w:rPr>
            </w:pPr>
          </w:p>
        </w:tc>
        <w:tc>
          <w:tcPr>
            <w:tcW w:w="100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63DF4F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C35548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771</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B20945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525</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9D8CF2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262</w:t>
            </w:r>
          </w:p>
        </w:tc>
        <w:tc>
          <w:tcPr>
            <w:tcW w:w="142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D9BD7E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84</w:t>
            </w:r>
          </w:p>
        </w:tc>
      </w:tr>
      <w:tr ns2:paraId="530FCD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7" w:hRule="atLeast"/>
        </w:trPr>
        <w:tc>
          <w:tcPr>
            <w:tcW w:w="1813"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69FC243">
            <w:pPr>
              <w:jc w:val="center"/>
              <w:rPr>
                <w:rFonts w:hint="eastAsia" w:ascii="汉仪中宋简" w:hAnsi="汉仪中宋简" w:eastAsia="汉仪中宋简" w:cs="汉仪中宋简"/>
                <w:b/>
                <w:bCs/>
                <w:i w:val="0"/>
                <w:iCs w:val="0"/>
                <w:color w:val="000000"/>
                <w:sz w:val="21"/>
                <w:szCs w:val="21"/>
                <w:u w:val="none"/>
              </w:rPr>
            </w:pPr>
          </w:p>
        </w:tc>
        <w:tc>
          <w:tcPr>
            <w:tcW w:w="100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C10716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0A01A1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46.95%</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C08252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31.97%</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0A93EB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15.96%</w:t>
            </w:r>
          </w:p>
        </w:tc>
        <w:tc>
          <w:tcPr>
            <w:tcW w:w="142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C890DC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5.12%</w:t>
            </w:r>
          </w:p>
        </w:tc>
      </w:tr>
    </w:tbl>
    <w:p ns2:paraId="7A23ED7B">
      <w:pPr>
        <w:rPr>
          <w:rFonts w:hint="eastAsia" w:ascii="汉仪中宋简" w:hAnsi="汉仪中宋简" w:eastAsia="汉仪中宋简" w:cs="汉仪中宋简"/>
          <w:lang w:val="en-US" w:eastAsia="zh-CN"/>
        </w:rPr>
      </w:pPr>
    </w:p>
    <w:p ns2:paraId="5022CDFD">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剂量遵医嘱情况是影响高血压治疗效果的关键因素，擅自调整剂量易导致血压波动，增加心脑血管并发症风险。调研结果显示，46.95%的患者能够始终严格遵守医嘱用药，31.97%的患者大部分时间遵守、仅偶尔微调，两者合计占比78.92%，说明多数患者具备基本的规范用药意识。但仍有21.08%的患者存在不规范用药情况，其中15.96%的患者经常根据自身感觉调整剂量，5.12%的患者从未按规定剂量服用，这类行为可能导致血压控制不佳或出现不良反应，是后续用药指导干预的重点群体。​</w:t>
      </w:r>
    </w:p>
    <w:p ns2:paraId="2EA2B37B">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联合用药情况分析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978"/>
        <w:gridCol w:w="1403"/>
        <w:gridCol w:w="1403"/>
        <w:gridCol w:w="1548"/>
        <w:gridCol w:w="1258"/>
      </w:tblGrid>
      <w:tr ns2:paraId="32996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F303C4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8.您服用厄贝沙坦氢氯噻嗪片期间，是否同时服用其他降压药物？</w:t>
            </w:r>
          </w:p>
        </w:tc>
        <w:tc>
          <w:tcPr>
            <w:tcW w:w="97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2C8440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0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04871DB">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A.同时服用 1 种其他降压药</w:t>
            </w:r>
          </w:p>
        </w:tc>
        <w:tc>
          <w:tcPr>
            <w:tcW w:w="140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A10D4ED">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B.同时服用 2 种及以上其他降压药</w:t>
            </w:r>
          </w:p>
        </w:tc>
        <w:tc>
          <w:tcPr>
            <w:tcW w:w="154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217FE39">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C.同时服用降压药及其他疾病治疗药物</w:t>
            </w:r>
          </w:p>
        </w:tc>
        <w:tc>
          <w:tcPr>
            <w:tcW w:w="125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5CBCF2B">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D.仅服用该药物</w:t>
            </w:r>
          </w:p>
        </w:tc>
      </w:tr>
      <w:tr ns2:paraId="68E8A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838B876">
            <w:pPr>
              <w:jc w:val="center"/>
              <w:rPr>
                <w:rFonts w:hint="eastAsia" w:ascii="汉仪中宋简" w:hAnsi="汉仪中宋简" w:eastAsia="汉仪中宋简" w:cs="汉仪中宋简"/>
                <w:b/>
                <w:bCs/>
                <w:i w:val="0"/>
                <w:iCs w:val="0"/>
                <w:color w:val="000000"/>
                <w:sz w:val="21"/>
                <w:szCs w:val="21"/>
                <w:u w:val="none"/>
              </w:rPr>
            </w:pPr>
          </w:p>
        </w:tc>
        <w:tc>
          <w:tcPr>
            <w:tcW w:w="97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68AA94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0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8C7277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246</w:t>
            </w:r>
          </w:p>
        </w:tc>
        <w:tc>
          <w:tcPr>
            <w:tcW w:w="140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93ED2EE">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180</w:t>
            </w:r>
          </w:p>
        </w:tc>
        <w:tc>
          <w:tcPr>
            <w:tcW w:w="154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12F88EC">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410</w:t>
            </w:r>
          </w:p>
        </w:tc>
        <w:tc>
          <w:tcPr>
            <w:tcW w:w="125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11F76F5">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806</w:t>
            </w:r>
          </w:p>
        </w:tc>
      </w:tr>
      <w:tr ns2:paraId="79024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2D10F13">
            <w:pPr>
              <w:jc w:val="center"/>
              <w:rPr>
                <w:rFonts w:hint="eastAsia" w:ascii="汉仪中宋简" w:hAnsi="汉仪中宋简" w:eastAsia="汉仪中宋简" w:cs="汉仪中宋简"/>
                <w:b/>
                <w:bCs/>
                <w:i w:val="0"/>
                <w:iCs w:val="0"/>
                <w:color w:val="000000"/>
                <w:sz w:val="21"/>
                <w:szCs w:val="21"/>
                <w:u w:val="none"/>
              </w:rPr>
            </w:pPr>
          </w:p>
        </w:tc>
        <w:tc>
          <w:tcPr>
            <w:tcW w:w="97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DA2ECD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0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5D2EF81">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14.98%</w:t>
            </w:r>
          </w:p>
        </w:tc>
        <w:tc>
          <w:tcPr>
            <w:tcW w:w="140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2635368">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10.96%</w:t>
            </w:r>
          </w:p>
        </w:tc>
        <w:tc>
          <w:tcPr>
            <w:tcW w:w="154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282FC8F">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24.97%</w:t>
            </w:r>
          </w:p>
        </w:tc>
        <w:tc>
          <w:tcPr>
            <w:tcW w:w="125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10981D8">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49.09%</w:t>
            </w:r>
          </w:p>
        </w:tc>
      </w:tr>
    </w:tbl>
    <w:p ns2:paraId="756D313A">
      <w:pPr>
        <w:rPr>
          <w:rFonts w:hint="eastAsia" w:ascii="汉仪中宋简" w:hAnsi="汉仪中宋简" w:eastAsia="汉仪中宋简" w:cs="汉仪中宋简"/>
          <w:lang w:val="en-US" w:eastAsia="zh-CN"/>
        </w:rPr>
      </w:pPr>
    </w:p>
    <w:p ns2:paraId="020B70D7">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联合用药情况反映了患者病情复杂程度与药物适用范围。调研显示，49.09%的患者仅服用该药物即可实现血压控制，说明该药物对近半数高血压患者具备足够的降压效能，无需联合其他药物；14.98%的患者同时服用1种其他降压药，10.96%的患者同时服用2种及以上其他降压药，表明部分患者病情相对复杂，单一复方制剂无法满足降压需求；24.97%的患者同时服用降压药及其他疾病治疗药物，提示该部分患者可能合并糖尿病、冠心病等其他慢性疾病，用药方案需兼顾多疾病治疗需求，避免药物相互作用风险。</w:t>
      </w:r>
    </w:p>
    <w:p ns2:paraId="24B14632">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联合用药咨询情况分析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9"/>
        <w:gridCol w:w="999"/>
        <w:gridCol w:w="1397"/>
        <w:gridCol w:w="1397"/>
        <w:gridCol w:w="1397"/>
        <w:gridCol w:w="1400"/>
      </w:tblGrid>
      <w:tr ns2:paraId="563C6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7BB59F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9.您是否咨询过医生，确认厄贝沙坦氢氯噻嗪片与其他药物可同时服用？</w:t>
            </w:r>
          </w:p>
        </w:tc>
        <w:tc>
          <w:tcPr>
            <w:tcW w:w="99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F3BD21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82AF121">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A.专门咨询过，确认无冲突</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B133FB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B.简单询问过，大致了解</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4B7028C">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C.没咨询过，但认为无问题</w:t>
            </w:r>
          </w:p>
        </w:tc>
        <w:tc>
          <w:tcPr>
            <w:tcW w:w="140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88A1E47">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D.没咨询过，不清楚是否有冲突</w:t>
            </w:r>
          </w:p>
        </w:tc>
      </w:tr>
      <w:tr ns2:paraId="6CE5EC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3B23E40">
            <w:pPr>
              <w:jc w:val="center"/>
              <w:rPr>
                <w:rFonts w:hint="eastAsia" w:ascii="汉仪中宋简" w:hAnsi="汉仪中宋简" w:eastAsia="汉仪中宋简" w:cs="汉仪中宋简"/>
                <w:b/>
                <w:bCs/>
                <w:i w:val="0"/>
                <w:iCs w:val="0"/>
                <w:color w:val="000000"/>
                <w:sz w:val="21"/>
                <w:szCs w:val="21"/>
                <w:u w:val="none"/>
              </w:rPr>
            </w:pPr>
          </w:p>
        </w:tc>
        <w:tc>
          <w:tcPr>
            <w:tcW w:w="99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D04F4A6">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C4FDD0D">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421</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F015C06">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415</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93E7444">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471</w:t>
            </w:r>
          </w:p>
        </w:tc>
        <w:tc>
          <w:tcPr>
            <w:tcW w:w="140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494A1DA">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335</w:t>
            </w:r>
          </w:p>
        </w:tc>
      </w:tr>
      <w:tr ns2:paraId="0D8066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2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CCF6ED0">
            <w:pPr>
              <w:jc w:val="center"/>
              <w:rPr>
                <w:rFonts w:hint="eastAsia" w:ascii="汉仪中宋简" w:hAnsi="汉仪中宋简" w:eastAsia="汉仪中宋简" w:cs="汉仪中宋简"/>
                <w:b/>
                <w:bCs/>
                <w:i w:val="0"/>
                <w:iCs w:val="0"/>
                <w:color w:val="000000"/>
                <w:sz w:val="21"/>
                <w:szCs w:val="21"/>
                <w:u w:val="none"/>
              </w:rPr>
            </w:pPr>
          </w:p>
        </w:tc>
        <w:tc>
          <w:tcPr>
            <w:tcW w:w="99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265DD25">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558B287">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25.64%</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D0B4067">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25.27%</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DF975E6">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28.68%</w:t>
            </w:r>
          </w:p>
        </w:tc>
        <w:tc>
          <w:tcPr>
            <w:tcW w:w="140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74D1E88">
            <w:pPr>
              <w:keepNext w:val="0"/>
              <w:keepLines w:val="0"/>
              <w:widowControl/>
              <w:suppressLineNumbers w:val="0"/>
              <w:jc w:val="center"/>
              <w:textAlignment w:val="center"/>
              <w:rPr>
                <w:rFonts w:hint="eastAsia" w:ascii="汉仪中宋简" w:hAnsi="汉仪中宋简" w:eastAsia="汉仪中宋简" w:cs="汉仪中宋简"/>
                <w:b/>
                <w:bCs/>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20.41%</w:t>
            </w:r>
          </w:p>
        </w:tc>
      </w:tr>
    </w:tbl>
    <w:p ns2:paraId="4FB33A41">
      <w:pPr>
        <w:rPr>
          <w:rFonts w:hint="eastAsia" w:ascii="汉仪中宋简" w:hAnsi="汉仪中宋简" w:eastAsia="汉仪中宋简" w:cs="汉仪中宋简"/>
          <w:lang w:val="en-US" w:eastAsia="zh-CN"/>
        </w:rPr>
      </w:pPr>
    </w:p>
    <w:p ns2:paraId="4B5CE049">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药物相互作用是联合用药安全的核心关注点，咨询医生是规避该风险的关键途径。调研结果显示，仅25.64%的患者专门咨询过医生并确认无冲突，25.27%的患者简单询问过并大致了解，两者合计仅50.91%的患者对联合用药安全性进行过主动确认。而28.68%的患者未咨询过但主观认为无问题，20.41%的患者未咨询过且不清楚是否存在冲突，近半数患者对药物相互作用的关注度不足，存在潜在用药安全隐患，需通过强化用药指导予以纠正。</w:t>
      </w:r>
    </w:p>
    <w:p ns2:paraId="74646D95">
      <w:pPr>
        <w:pStyle w:val="4"/>
        <w:keepNext/>
        <w:keepLines/>
        <w:pageBreakBefore w:val="0"/>
        <w:widowControl w:val="0"/>
        <w:numPr>
          <w:ilvl w:val="0"/>
          <w:numId w:val="4"/>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血压监测频率分析</w:t>
      </w:r>
    </w:p>
    <w:tbl>
      <w:tblPr>
        <w:tblStyle w:val="10"/>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61"/>
        <w:gridCol w:w="1052"/>
        <w:gridCol w:w="1426"/>
        <w:gridCol w:w="1502"/>
        <w:gridCol w:w="1500"/>
        <w:gridCol w:w="1278"/>
      </w:tblGrid>
      <w:tr ns2:paraId="77D00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61"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1307BB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11.您服用厄贝沙坦氢氯噻嗪片期间，是否定期监测血压？</w:t>
            </w:r>
          </w:p>
        </w:tc>
        <w:tc>
          <w:tcPr>
            <w:tcW w:w="105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E53C28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26"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B8BCD8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A.每天监测，记录详细数据</w:t>
            </w:r>
          </w:p>
        </w:tc>
        <w:tc>
          <w:tcPr>
            <w:tcW w:w="150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DC44025">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B.每周监测 2-3 次，了解大致情况</w:t>
            </w:r>
          </w:p>
        </w:tc>
        <w:tc>
          <w:tcPr>
            <w:tcW w:w="150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4B91EB9">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C.偶尔监测，无固定频率</w:t>
            </w:r>
          </w:p>
        </w:tc>
        <w:tc>
          <w:tcPr>
            <w:tcW w:w="127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C6411A5">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D.从未监测</w:t>
            </w:r>
          </w:p>
        </w:tc>
      </w:tr>
      <w:tr ns2:paraId="613F64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61"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2191697">
            <w:pPr>
              <w:jc w:val="center"/>
              <w:rPr>
                <w:rFonts w:hint="eastAsia" w:ascii="汉仪中宋简" w:hAnsi="汉仪中宋简" w:eastAsia="汉仪中宋简" w:cs="汉仪中宋简"/>
                <w:b/>
                <w:bCs/>
                <w:i w:val="0"/>
                <w:iCs w:val="0"/>
                <w:color w:val="000000"/>
                <w:sz w:val="21"/>
                <w:szCs w:val="21"/>
                <w:u w:val="none"/>
              </w:rPr>
            </w:pPr>
          </w:p>
        </w:tc>
        <w:tc>
          <w:tcPr>
            <w:tcW w:w="105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36AE021">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样本量</w:t>
            </w:r>
          </w:p>
        </w:tc>
        <w:tc>
          <w:tcPr>
            <w:tcW w:w="1426"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169A652">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410</w:t>
            </w:r>
          </w:p>
        </w:tc>
        <w:tc>
          <w:tcPr>
            <w:tcW w:w="150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F609813">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607</w:t>
            </w:r>
          </w:p>
        </w:tc>
        <w:tc>
          <w:tcPr>
            <w:tcW w:w="150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481E65A">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246</w:t>
            </w:r>
          </w:p>
        </w:tc>
        <w:tc>
          <w:tcPr>
            <w:tcW w:w="127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094C872">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379</w:t>
            </w:r>
          </w:p>
        </w:tc>
      </w:tr>
      <w:tr ns2:paraId="73A17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61"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BEEE492">
            <w:pPr>
              <w:jc w:val="center"/>
              <w:rPr>
                <w:rFonts w:hint="eastAsia" w:ascii="汉仪中宋简" w:hAnsi="汉仪中宋简" w:eastAsia="汉仪中宋简" w:cs="汉仪中宋简"/>
                <w:b/>
                <w:bCs/>
                <w:i w:val="0"/>
                <w:iCs w:val="0"/>
                <w:color w:val="000000"/>
                <w:sz w:val="21"/>
                <w:szCs w:val="21"/>
                <w:u w:val="none"/>
              </w:rPr>
            </w:pPr>
          </w:p>
        </w:tc>
        <w:tc>
          <w:tcPr>
            <w:tcW w:w="105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387614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占比</w:t>
            </w:r>
          </w:p>
        </w:tc>
        <w:tc>
          <w:tcPr>
            <w:tcW w:w="1426"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CE3402D">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24.97%</w:t>
            </w:r>
          </w:p>
        </w:tc>
        <w:tc>
          <w:tcPr>
            <w:tcW w:w="150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79CC8D0">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36.97%</w:t>
            </w:r>
          </w:p>
        </w:tc>
        <w:tc>
          <w:tcPr>
            <w:tcW w:w="150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A518BDB">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14.98%</w:t>
            </w:r>
          </w:p>
        </w:tc>
        <w:tc>
          <w:tcPr>
            <w:tcW w:w="127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E1266FC">
            <w:pPr>
              <w:keepNext w:val="0"/>
              <w:keepLines w:val="0"/>
              <w:widowControl/>
              <w:suppressLineNumbers w:val="0"/>
              <w:jc w:val="center"/>
              <w:textAlignment w:val="center"/>
              <w:rPr>
                <w:rFonts w:hint="eastAsia" w:ascii="汉仪中宋简" w:hAnsi="汉仪中宋简" w:eastAsia="汉仪中宋简" w:cs="汉仪中宋简"/>
                <w:i w:val="0"/>
                <w:iCs w:val="0"/>
                <w:color w:val="auto"/>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23.08%</w:t>
            </w:r>
          </w:p>
        </w:tc>
      </w:tr>
    </w:tbl>
    <w:p ns2:paraId="131B88BA">
      <w:pPr>
        <w:rPr>
          <w:rFonts w:hint="eastAsia" w:ascii="汉仪中宋简" w:hAnsi="汉仪中宋简" w:eastAsia="汉仪中宋简" w:cs="汉仪中宋简"/>
          <w:lang w:val="en-US" w:eastAsia="zh-CN"/>
        </w:rPr>
      </w:pPr>
    </w:p>
    <w:p ns2:paraId="65C60A08">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定期监测血压是评估用药效果、及时调整治疗方案的重要依据。调研显示，24.97%的患者每天监测并记录详细数据，36.97%的患者每周监测2-3次以了解大致情况，两者合计61.94%的患者能够定期监测血压，为治疗方案优化提供了数据支撑。但仍有38.06%的患者监测频率不足，其中14.98%的患者偶尔监测、无固定频率，23.08%的患者从未监测，这类患者无法及时掌握血压控制情况，难以发现潜在的血压波动风险，不利于治疗方案的精准调整。</w:t>
      </w:r>
    </w:p>
    <w:p ns2:paraId="210ED651">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8" w:name="_Toc26585"/>
      <w:r>
        <w:rPr>
          <w:rFonts w:hint="eastAsia" w:ascii="汉仪中宋简" w:hAnsi="汉仪中宋简" w:eastAsia="汉仪中宋简" w:cs="汉仪中宋简"/>
          <w:lang w:val="en-US" w:eastAsia="zh-CN"/>
        </w:rPr>
        <w:t>4.4用药便利性</w:t>
      </w:r>
      <w:bookmarkEnd w:id="18"/>
    </w:p>
    <w:p ns2:paraId="590C4B7E">
      <w:pPr>
        <w:pStyle w:val="4"/>
        <w:keepNext/>
        <w:keepLines/>
        <w:pageBreakBefore w:val="0"/>
        <w:widowControl w:val="0"/>
        <w:numPr>
          <w:ilvl w:val="0"/>
          <w:numId w:val="5"/>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服药频率满意度分析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09"/>
        <w:gridCol w:w="929"/>
        <w:gridCol w:w="1519"/>
        <w:gridCol w:w="1519"/>
        <w:gridCol w:w="1519"/>
        <w:gridCol w:w="1522"/>
      </w:tblGrid>
      <w:tr ns2:paraId="2FF0F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0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3FA9A14">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7.您对厄贝沙坦氢氯噻嗪片的服药频率满意度如何？</w:t>
            </w:r>
          </w:p>
        </w:tc>
        <w:tc>
          <w:tcPr>
            <w:tcW w:w="92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AFFE84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5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E531A4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A.频率很合适，按要求吃很轻松</w:t>
            </w:r>
          </w:p>
        </w:tc>
        <w:tc>
          <w:tcPr>
            <w:tcW w:w="15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8DC7C7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B.频率还可以，没对生活造成困扰</w:t>
            </w:r>
          </w:p>
        </w:tc>
        <w:tc>
          <w:tcPr>
            <w:tcW w:w="151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0DA630F">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C.频率稍微有点高，偶尔会记不清</w:t>
            </w:r>
          </w:p>
        </w:tc>
        <w:tc>
          <w:tcPr>
            <w:tcW w:w="152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E426A09">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D.频率不太适应，想过调整一下</w:t>
            </w:r>
          </w:p>
        </w:tc>
      </w:tr>
      <w:tr ns2:paraId="5DD4E2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0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3DE3481">
            <w:pPr>
              <w:jc w:val="center"/>
              <w:rPr>
                <w:rFonts w:hint="eastAsia" w:ascii="汉仪中宋简" w:hAnsi="汉仪中宋简" w:eastAsia="汉仪中宋简" w:cs="汉仪中宋简"/>
                <w:i w:val="0"/>
                <w:iCs w:val="0"/>
                <w:color w:val="000000"/>
                <w:sz w:val="20"/>
                <w:szCs w:val="20"/>
                <w:u w:val="none"/>
              </w:rPr>
            </w:pPr>
          </w:p>
        </w:tc>
        <w:tc>
          <w:tcPr>
            <w:tcW w:w="92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C6A1E24">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5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6F5FE7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899</w:t>
            </w:r>
          </w:p>
        </w:tc>
        <w:tc>
          <w:tcPr>
            <w:tcW w:w="15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E334D9F">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643</w:t>
            </w:r>
          </w:p>
        </w:tc>
        <w:tc>
          <w:tcPr>
            <w:tcW w:w="151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2F4A9CB">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100</w:t>
            </w:r>
          </w:p>
        </w:tc>
        <w:tc>
          <w:tcPr>
            <w:tcW w:w="152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DDF4DB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0</w:t>
            </w:r>
          </w:p>
        </w:tc>
      </w:tr>
      <w:tr ns2:paraId="10C3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0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1B25B9A">
            <w:pPr>
              <w:jc w:val="center"/>
              <w:rPr>
                <w:rFonts w:hint="eastAsia" w:ascii="汉仪中宋简" w:hAnsi="汉仪中宋简" w:eastAsia="汉仪中宋简" w:cs="汉仪中宋简"/>
                <w:i w:val="0"/>
                <w:iCs w:val="0"/>
                <w:color w:val="000000"/>
                <w:sz w:val="20"/>
                <w:szCs w:val="20"/>
                <w:u w:val="none"/>
              </w:rPr>
            </w:pPr>
          </w:p>
        </w:tc>
        <w:tc>
          <w:tcPr>
            <w:tcW w:w="92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753A51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5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0B4167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54.75%</w:t>
            </w:r>
          </w:p>
        </w:tc>
        <w:tc>
          <w:tcPr>
            <w:tcW w:w="15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138937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39.16%</w:t>
            </w:r>
          </w:p>
        </w:tc>
        <w:tc>
          <w:tcPr>
            <w:tcW w:w="151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5F6A9CA">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52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7A8DA9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3A81E758">
      <w:pPr>
        <w:rPr>
          <w:rFonts w:hint="eastAsia" w:ascii="汉仪中宋简" w:hAnsi="汉仪中宋简" w:eastAsia="汉仪中宋简" w:cs="汉仪中宋简"/>
          <w:lang w:val="en-US" w:eastAsia="zh-CN"/>
        </w:rPr>
      </w:pPr>
    </w:p>
    <w:p ns2:paraId="379417FC">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服药频率直接影响患者用药依从性，尤其对于需长期用药的高血压患者，科学的服药频率应与患者生活节奏相契合。调研结果显示，54.75%的患者认为服药频率很合适，能够轻松按要求服药，反馈该频率与自身作息安排高度适配，不会因服药打乱日常规划；39.16%的患者认为频率还可以，未对生活造成困扰，说明即使部分患者对服药频率有轻微感知，但未形成实际负担。两者合计占比93.91%，仅6.09%的患者认为频率稍高、偶尔记不清，无患者反馈无法适应，充分说明该药物的服药频率设计科学合理，符合绝大多数患者的生活习惯，能够有效提升用药依从性。</w:t>
      </w:r>
    </w:p>
    <w:p ns2:paraId="75165838">
      <w:pPr>
        <w:pStyle w:val="4"/>
        <w:keepNext/>
        <w:keepLines/>
        <w:pageBreakBefore w:val="0"/>
        <w:widowControl w:val="0"/>
        <w:numPr>
          <w:ilvl w:val="0"/>
          <w:numId w:val="5"/>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药品包装便利性分析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92"/>
        <w:gridCol w:w="951"/>
        <w:gridCol w:w="1493"/>
        <w:gridCol w:w="1493"/>
        <w:gridCol w:w="1493"/>
        <w:gridCol w:w="1495"/>
      </w:tblGrid>
      <w:tr ns2:paraId="4DA3B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592"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DF85B5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12.您对厄贝沙坦氢氯噻嗪片药品包装的便利性评价如何？</w:t>
            </w:r>
          </w:p>
        </w:tc>
        <w:tc>
          <w:tcPr>
            <w:tcW w:w="951"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189332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9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57EB0F3">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A.储存、取用都方便</w:t>
            </w:r>
          </w:p>
        </w:tc>
        <w:tc>
          <w:tcPr>
            <w:tcW w:w="149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E1F826B">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B.基本满足需求</w:t>
            </w:r>
          </w:p>
        </w:tc>
        <w:tc>
          <w:tcPr>
            <w:tcW w:w="1493"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1E0D504">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C.存在取用麻烦等问题</w:t>
            </w:r>
          </w:p>
        </w:tc>
        <w:tc>
          <w:tcPr>
            <w:tcW w:w="149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3DA892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D.非常不便利，严重影响使用</w:t>
            </w:r>
          </w:p>
        </w:tc>
      </w:tr>
      <w:tr ns2:paraId="51478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592"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37585F5">
            <w:pPr>
              <w:jc w:val="center"/>
              <w:rPr>
                <w:rFonts w:hint="eastAsia" w:ascii="汉仪中宋简" w:hAnsi="汉仪中宋简" w:eastAsia="汉仪中宋简" w:cs="汉仪中宋简"/>
                <w:i w:val="0"/>
                <w:iCs w:val="0"/>
                <w:color w:val="000000"/>
                <w:sz w:val="20"/>
                <w:szCs w:val="20"/>
                <w:u w:val="none"/>
              </w:rPr>
            </w:pPr>
          </w:p>
        </w:tc>
        <w:tc>
          <w:tcPr>
            <w:tcW w:w="951"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5E23B66">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49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D56AE27">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748</w:t>
            </w:r>
          </w:p>
        </w:tc>
        <w:tc>
          <w:tcPr>
            <w:tcW w:w="149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998BC34">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794</w:t>
            </w:r>
          </w:p>
        </w:tc>
        <w:tc>
          <w:tcPr>
            <w:tcW w:w="1493"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48E083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100</w:t>
            </w:r>
          </w:p>
        </w:tc>
        <w:tc>
          <w:tcPr>
            <w:tcW w:w="149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196A03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0</w:t>
            </w:r>
          </w:p>
        </w:tc>
      </w:tr>
      <w:tr ns2:paraId="15767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592"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55A41D4">
            <w:pPr>
              <w:jc w:val="center"/>
              <w:rPr>
                <w:rFonts w:hint="eastAsia" w:ascii="汉仪中宋简" w:hAnsi="汉仪中宋简" w:eastAsia="汉仪中宋简" w:cs="汉仪中宋简"/>
                <w:i w:val="0"/>
                <w:iCs w:val="0"/>
                <w:color w:val="000000"/>
                <w:sz w:val="20"/>
                <w:szCs w:val="20"/>
                <w:u w:val="none"/>
              </w:rPr>
            </w:pPr>
          </w:p>
        </w:tc>
        <w:tc>
          <w:tcPr>
            <w:tcW w:w="951"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4FB4097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49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D697EA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45.55%</w:t>
            </w:r>
          </w:p>
        </w:tc>
        <w:tc>
          <w:tcPr>
            <w:tcW w:w="149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0B7D2F2">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48.36%</w:t>
            </w:r>
          </w:p>
        </w:tc>
        <w:tc>
          <w:tcPr>
            <w:tcW w:w="1493"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D985BB6">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49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3F6AAB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4095A103">
      <w:pPr>
        <w:rPr>
          <w:rFonts w:hint="eastAsia" w:ascii="汉仪中宋简" w:hAnsi="汉仪中宋简" w:eastAsia="汉仪中宋简" w:cs="汉仪中宋简"/>
          <w:sz w:val="24"/>
          <w:szCs w:val="32"/>
          <w:lang w:val="en-US" w:eastAsia="zh-CN"/>
        </w:rPr>
      </w:pPr>
    </w:p>
    <w:p ns2:paraId="55A08AEF">
      <w:pPr>
        <w:keepNext w:val="0"/>
        <w:keepLines w:val="0"/>
        <w:pageBreakBefore w:val="0"/>
        <w:widowControl w:val="0"/>
        <w:kinsoku/>
        <w:wordWrap/>
        <w:overflowPunct/>
        <w:topLinePunct w:val="0"/>
        <w:autoSpaceDE/>
        <w:autoSpaceDN/>
        <w:bidi w:val="0"/>
        <w:adjustRightInd/>
        <w:snapToGrid/>
        <w:spacing w:line="600" w:lineRule="auto"/>
        <w:ind w:firstLine="420"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sz w:val="24"/>
          <w:szCs w:val="32"/>
          <w:lang w:val="en-US" w:eastAsia="zh-CN"/>
        </w:rPr>
        <w:t>药品包装的便利性直接影响患者日常取用与外出携带体验，是用药便利性的重要组成部分。调研显示，45.55%的患者认为包装储存、取用都方便，反馈包装设计人性化，无论是居家储存还是外出携带都便捷高效，取用过程无需复杂操作；48.36%的患者认为包装基本满足需求，说明包装核心功能完备，能够覆盖日常用药的基础需求，虽无突出亮点，但未存在明显缺陷。两者合计占比93.91%，仅6.09%的患者认为存在取用麻烦问题，无患者反馈严重不便利，表明该药物包装设计符合大众使用习惯，为患者长期用药提供了便利保障。</w:t>
      </w:r>
    </w:p>
    <w:p ns2:paraId="597E3376">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19" w:name="_Toc24377"/>
      <w:r>
        <w:rPr>
          <w:rFonts w:hint="eastAsia" w:ascii="汉仪中宋简" w:hAnsi="汉仪中宋简" w:eastAsia="汉仪中宋简" w:cs="汉仪中宋简"/>
          <w:lang w:val="en-US" w:eastAsia="zh-CN"/>
        </w:rPr>
        <w:t>4.5药品经济性</w:t>
      </w:r>
      <w:bookmarkEnd w:id="19"/>
    </w:p>
    <w:p ns2:paraId="48960627">
      <w:pPr>
        <w:pStyle w:val="4"/>
        <w:keepNext/>
        <w:keepLines/>
        <w:pageBreakBefore w:val="0"/>
        <w:widowControl w:val="0"/>
        <w:numPr>
          <w:ilvl w:val="0"/>
          <w:numId w:val="6"/>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价格负担影响分析</w:t>
      </w:r>
    </w:p>
    <w:tbl>
      <w:tblPr>
        <w:tblStyle w:val="10"/>
        <w:tblW w:w="510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93"/>
        <w:gridCol w:w="1437"/>
        <w:gridCol w:w="1367"/>
        <w:gridCol w:w="1367"/>
        <w:gridCol w:w="1367"/>
        <w:gridCol w:w="1367"/>
      </w:tblGrid>
      <w:tr ns2:paraId="22DC0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93"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54C5ED3">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5.您认为厄贝沙坦氢氯噻嗪片的价格对您的用药负担影响如何？</w:t>
            </w:r>
          </w:p>
        </w:tc>
        <w:tc>
          <w:tcPr>
            <w:tcW w:w="143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5BB9BC0">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26E0E5E">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A.难以承受</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D73750A">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B.勉强承受</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2A196D7">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C.在可接受范围</w:t>
            </w:r>
          </w:p>
        </w:tc>
        <w:tc>
          <w:tcPr>
            <w:tcW w:w="136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837C00A">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D.无压力</w:t>
            </w:r>
          </w:p>
        </w:tc>
      </w:tr>
      <w:tr ns2:paraId="014E1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93"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85EA96B">
            <w:pPr>
              <w:jc w:val="center"/>
              <w:rPr>
                <w:rFonts w:hint="eastAsia" w:ascii="汉仪中宋简" w:hAnsi="汉仪中宋简" w:eastAsia="汉仪中宋简" w:cs="汉仪中宋简"/>
                <w:b/>
                <w:bCs/>
                <w:i w:val="0"/>
                <w:iCs w:val="0"/>
                <w:color w:val="000000"/>
                <w:sz w:val="21"/>
                <w:szCs w:val="21"/>
                <w:u w:val="none"/>
              </w:rPr>
            </w:pPr>
          </w:p>
        </w:tc>
        <w:tc>
          <w:tcPr>
            <w:tcW w:w="143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1321481">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样本量</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1194D37">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0</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3DAA08E">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56</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2DF4FE4">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819</w:t>
            </w:r>
          </w:p>
        </w:tc>
        <w:tc>
          <w:tcPr>
            <w:tcW w:w="136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03ADE77">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767</w:t>
            </w:r>
          </w:p>
        </w:tc>
      </w:tr>
      <w:tr ns2:paraId="36AFC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793"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B903C86">
            <w:pPr>
              <w:jc w:val="center"/>
              <w:rPr>
                <w:rFonts w:hint="eastAsia" w:ascii="汉仪中宋简" w:hAnsi="汉仪中宋简" w:eastAsia="汉仪中宋简" w:cs="汉仪中宋简"/>
                <w:b/>
                <w:bCs/>
                <w:i w:val="0"/>
                <w:iCs w:val="0"/>
                <w:color w:val="000000"/>
                <w:sz w:val="21"/>
                <w:szCs w:val="21"/>
                <w:u w:val="none"/>
              </w:rPr>
            </w:pPr>
          </w:p>
        </w:tc>
        <w:tc>
          <w:tcPr>
            <w:tcW w:w="143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DA5CDC3">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占比</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55047D8">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0.00%</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940DCE8">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3.41%</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87D2D33">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49.88%</w:t>
            </w:r>
          </w:p>
        </w:tc>
        <w:tc>
          <w:tcPr>
            <w:tcW w:w="136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104F419">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46.71%</w:t>
            </w:r>
          </w:p>
        </w:tc>
      </w:tr>
    </w:tbl>
    <w:p ns2:paraId="0D7C2D97">
      <w:pPr>
        <w:rPr>
          <w:rFonts w:hint="eastAsia" w:ascii="汉仪中宋简" w:hAnsi="汉仪中宋简" w:eastAsia="汉仪中宋简" w:cs="汉仪中宋简"/>
          <w:lang w:val="en-US" w:eastAsia="zh-CN"/>
        </w:rPr>
      </w:pPr>
    </w:p>
    <w:p ns2:paraId="4EA4F767">
      <w:pPr>
        <w:keepNext w:val="0"/>
        <w:keepLines w:val="0"/>
        <w:pageBreakBefore w:val="0"/>
        <w:widowControl w:val="0"/>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经济性是影响高血压患者长期用药依从性的核心因素之一，尤其对于需终身服药的患者，合理的药品价格是保障治疗连续性的关键。本次调研结果显示，患者对该药物价格的接受度极高，96.59%的患者认为价格在可承受范围内或无压力，充分印证了该药物价格定位的合理性与亲民性。其中，46.71%的患者明确表示价格无压力，该部分患者无论是经济收入水平较高，还是认可药物价格与治疗价值的匹配度，均未因价格产生用药顾虑，能够保障长期规律购药；49.88%的患者认为价格在可接受范围，说明该药物价格虽可能对其日常开支产生轻微影响，但影响程度完全在可承受边界内，不会因此中断治疗。值得注意的是，仅3.41%的患者认为价格勉强承受，无患者反馈难以承受，该部分患者大概率属于低收入群体或需同时承担多种慢性疾病用药费用，整体占比极低，说明药物价格未对多数患者的用药可及性造成阻碍。从长期治疗视角来看，合理的价格定位有效降低了患者的长期用药负担，为提升整体治疗依从性、实现血压长期控制提供了重要支撑，也为后续是否需要针对特殊困难群体推出医保倾斜政策提供了精准的数据参考。</w:t>
      </w:r>
    </w:p>
    <w:p ns2:paraId="07DCD09F">
      <w:pPr>
        <w:pStyle w:val="3"/>
        <w:pageBreakBefore w:val="0"/>
        <w:kinsoku/>
        <w:wordWrap/>
        <w:overflowPunct/>
        <w:topLinePunct w:val="0"/>
        <w:autoSpaceDE/>
        <w:autoSpaceDN/>
        <w:bidi w:val="0"/>
        <w:adjustRightInd/>
        <w:snapToGrid/>
        <w:spacing w:line="480" w:lineRule="auto"/>
        <w:rPr>
          <w:rFonts w:hint="eastAsia" w:ascii="汉仪中宋简" w:hAnsi="汉仪中宋简" w:eastAsia="汉仪中宋简" w:cs="汉仪中宋简"/>
          <w:lang w:val="en-US" w:eastAsia="zh-CN"/>
        </w:rPr>
      </w:pPr>
      <w:bookmarkStart w:id="20" w:name="_Toc8285"/>
      <w:r>
        <w:rPr>
          <w:rFonts w:hint="eastAsia" w:ascii="汉仪中宋简" w:hAnsi="汉仪中宋简" w:eastAsia="汉仪中宋简" w:cs="汉仪中宋简"/>
          <w:lang w:val="en-US" w:eastAsia="zh-CN"/>
        </w:rPr>
        <w:t>4.6药品可及性</w:t>
      </w:r>
      <w:bookmarkEnd w:id="20"/>
    </w:p>
    <w:p ns2:paraId="4705B5D2">
      <w:pPr>
        <w:pStyle w:val="4"/>
        <w:keepNext/>
        <w:keepLines/>
        <w:pageBreakBefore w:val="0"/>
        <w:widowControl w:val="0"/>
        <w:numPr>
          <w:ilvl w:val="0"/>
          <w:numId w:val="7"/>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药品供应稳定性分析</w:t>
      </w:r>
    </w:p>
    <w:tbl>
      <w:tblPr>
        <w:tblStyle w:val="10"/>
        <w:tblW w:w="510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34"/>
        <w:gridCol w:w="969"/>
        <w:gridCol w:w="1575"/>
        <w:gridCol w:w="1440"/>
        <w:gridCol w:w="1440"/>
        <w:gridCol w:w="1440"/>
      </w:tblGrid>
      <w:tr ns2:paraId="02A876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67" w:hRule="atLeast"/>
        </w:trPr>
        <w:tc>
          <w:tcPr>
            <w:tcW w:w="1834"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0D4155F">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10.您所在地区的厄贝沙坦氢氯噻嗪片供应是否稳定？</w:t>
            </w:r>
          </w:p>
        </w:tc>
        <w:tc>
          <w:tcPr>
            <w:tcW w:w="96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0247003">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57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2A29FED">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A.随时能买到</w:t>
            </w:r>
          </w:p>
        </w:tc>
        <w:tc>
          <w:tcPr>
            <w:tcW w:w="144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E8F41AB">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B.偶尔缺货但不影响用药</w:t>
            </w:r>
          </w:p>
        </w:tc>
        <w:tc>
          <w:tcPr>
            <w:tcW w:w="144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1610E6FB">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C.经常缺货</w:t>
            </w:r>
          </w:p>
        </w:tc>
        <w:tc>
          <w:tcPr>
            <w:tcW w:w="1440"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AF67FBB">
            <w:pPr>
              <w:keepNext w:val="0"/>
              <w:keepLines w:val="0"/>
              <w:widowControl/>
              <w:suppressLineNumbers w:val="0"/>
              <w:jc w:val="center"/>
              <w:textAlignment w:val="center"/>
              <w:rPr>
                <w:rFonts w:hint="eastAsia" w:ascii="汉仪中宋简" w:hAnsi="汉仪中宋简" w:eastAsia="汉仪中宋简" w:cs="汉仪中宋简"/>
                <w:b/>
                <w:bCs/>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D.严重影响用药</w:t>
            </w:r>
          </w:p>
        </w:tc>
      </w:tr>
      <w:tr ns2:paraId="60F99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34"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2DA3E33">
            <w:pPr>
              <w:jc w:val="center"/>
              <w:rPr>
                <w:rFonts w:hint="eastAsia" w:ascii="汉仪中宋简" w:hAnsi="汉仪中宋简" w:eastAsia="汉仪中宋简" w:cs="汉仪中宋简"/>
                <w:b/>
                <w:bCs/>
                <w:i w:val="0"/>
                <w:iCs w:val="0"/>
                <w:color w:val="000000"/>
                <w:sz w:val="21"/>
                <w:szCs w:val="21"/>
                <w:u w:val="none"/>
              </w:rPr>
            </w:pPr>
          </w:p>
        </w:tc>
        <w:tc>
          <w:tcPr>
            <w:tcW w:w="96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1D55144B">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样本量</w:t>
            </w:r>
          </w:p>
        </w:tc>
        <w:tc>
          <w:tcPr>
            <w:tcW w:w="157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F52E845">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1138</w:t>
            </w:r>
          </w:p>
        </w:tc>
        <w:tc>
          <w:tcPr>
            <w:tcW w:w="144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FEEC11B">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504</w:t>
            </w:r>
          </w:p>
        </w:tc>
        <w:tc>
          <w:tcPr>
            <w:tcW w:w="144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0501062">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c>
          <w:tcPr>
            <w:tcW w:w="1440"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5935DBDA">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w:t>
            </w:r>
          </w:p>
        </w:tc>
      </w:tr>
      <w:tr ns2:paraId="16862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834"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D765746">
            <w:pPr>
              <w:jc w:val="center"/>
              <w:rPr>
                <w:rFonts w:hint="eastAsia" w:ascii="汉仪中宋简" w:hAnsi="汉仪中宋简" w:eastAsia="汉仪中宋简" w:cs="汉仪中宋简"/>
                <w:b/>
                <w:bCs/>
                <w:i w:val="0"/>
                <w:iCs w:val="0"/>
                <w:color w:val="000000"/>
                <w:sz w:val="21"/>
                <w:szCs w:val="21"/>
                <w:u w:val="none"/>
              </w:rPr>
            </w:pPr>
          </w:p>
        </w:tc>
        <w:tc>
          <w:tcPr>
            <w:tcW w:w="96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5268F10">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占比</w:t>
            </w:r>
          </w:p>
        </w:tc>
        <w:tc>
          <w:tcPr>
            <w:tcW w:w="157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129FAC6">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69.31%</w:t>
            </w:r>
          </w:p>
        </w:tc>
        <w:tc>
          <w:tcPr>
            <w:tcW w:w="144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C29DBA3">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sz w:val="21"/>
                <w:szCs w:val="21"/>
                <w:u w:val="none"/>
              </w:rPr>
            </w:pPr>
            <w:r>
              <w:rPr>
                <w:rFonts w:hint="default" w:ascii="Calibri" w:hAnsi="Calibri" w:eastAsia="宋体" w:cs="Calibri"/>
                <w:i w:val="0"/>
                <w:iCs w:val="0"/>
                <w:color w:val="000000"/>
                <w:kern w:val="0"/>
                <w:sz w:val="20"/>
                <w:szCs w:val="20"/>
                <w:u w:val="none"/>
                <w:lang w:val="en-US" w:eastAsia="zh-CN" w:bidi="ar"/>
              </w:rPr>
              <w:t>30.69%</w:t>
            </w:r>
          </w:p>
        </w:tc>
        <w:tc>
          <w:tcPr>
            <w:tcW w:w="144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04AE41C">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c>
          <w:tcPr>
            <w:tcW w:w="1440"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760A086">
            <w:pPr>
              <w:keepNext w:val="0"/>
              <w:keepLines w:val="0"/>
              <w:widowControl/>
              <w:suppressLineNumbers w:val="0"/>
              <w:jc w:val="center"/>
              <w:textAlignment w:val="center"/>
              <w:rPr>
                <w:rFonts w:hint="eastAsia" w:ascii="汉仪中宋简" w:hAnsi="汉仪中宋简" w:eastAsia="汉仪中宋简" w:cs="汉仪中宋简"/>
                <w:b w:val="0"/>
                <w:bCs w:val="0"/>
                <w:i w:val="0"/>
                <w:iCs w:val="0"/>
                <w:color w:val="000000"/>
                <w:kern w:val="0"/>
                <w:sz w:val="21"/>
                <w:szCs w:val="21"/>
                <w:u w:val="none"/>
                <w:lang w:val="en-US" w:eastAsia="zh-CN" w:bidi="ar"/>
              </w:rPr>
            </w:pPr>
            <w:r>
              <w:rPr>
                <w:rFonts w:hint="default" w:ascii="Calibri" w:hAnsi="Calibri" w:eastAsia="宋体" w:cs="Calibri"/>
                <w:i w:val="0"/>
                <w:iCs w:val="0"/>
                <w:color w:val="000000"/>
                <w:kern w:val="0"/>
                <w:sz w:val="20"/>
                <w:szCs w:val="20"/>
                <w:u w:val="none"/>
                <w:lang w:val="en-US" w:eastAsia="zh-CN" w:bidi="ar"/>
              </w:rPr>
              <w:t>0.00%</w:t>
            </w:r>
          </w:p>
        </w:tc>
      </w:tr>
    </w:tbl>
    <w:p ns2:paraId="0453E8DB">
      <w:pPr>
        <w:rPr>
          <w:rFonts w:hint="eastAsia" w:ascii="汉仪中宋简" w:hAnsi="汉仪中宋简" w:eastAsia="汉仪中宋简" w:cs="汉仪中宋简"/>
          <w:lang w:val="en-US" w:eastAsia="zh-CN"/>
        </w:rPr>
      </w:pPr>
    </w:p>
    <w:p ns2:paraId="41CBA2BB">
      <w:pPr>
        <w:keepNext w:val="0"/>
        <w:keepLines w:val="0"/>
        <w:pageBreakBefore w:val="0"/>
        <w:widowControl w:val="0"/>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药品供应稳定性是保障高血压患者长期规律治疗的前提，断药可能导致血压反弹，增加心脑血管并发症风险。本次调研显示，100%的患者用药供应得到有效保障，无患者因缺货影响治疗。具体来看，69.31%的患者表示随时能买到该药物，反映出其所在地区药品流通渠道畅通，医院药房、连锁药店、线上平台等多渠道均能稳定供应，充分满足日常用药需求；30.69%的患者表示偶尔缺货但不影响用药，说明该部分地区可能存在短期的供应链波动，但患者可通过提前储备药品、更换购药渠道等方式规避影响，未对治疗连续性造成实质干扰。无患者反馈经常缺货或严重影响用药，充分体现了该药物的供应保障体系完善，制药企业生产产能规划合理，药品流通环节管理规范，能够精准匹配不同地区患者的用药需求。​</w:t>
      </w:r>
    </w:p>
    <w:p ns2:paraId="04889787">
      <w:pPr>
        <w:pStyle w:val="3"/>
        <w:pageBreakBefore w:val="0"/>
        <w:kinsoku/>
        <w:wordWrap/>
        <w:overflowPunct/>
        <w:topLinePunct w:val="0"/>
        <w:autoSpaceDE/>
        <w:autoSpaceDN/>
        <w:bidi w:val="0"/>
        <w:adjustRightInd/>
        <w:snapToGrid/>
        <w:spacing w:line="480" w:lineRule="auto"/>
        <w:rPr>
          <w:rFonts w:hint="eastAsia"/>
          <w:lang w:val="en-US" w:eastAsia="zh-CN"/>
        </w:rPr>
      </w:pPr>
      <w:bookmarkStart w:id="21" w:name="_Toc1050"/>
      <w:r>
        <w:rPr>
          <w:rFonts w:hint="eastAsia" w:ascii="汉仪中宋简" w:hAnsi="汉仪中宋简" w:eastAsia="汉仪中宋简" w:cs="汉仪中宋简"/>
          <w:lang w:val="en-US" w:eastAsia="zh-CN"/>
        </w:rPr>
        <w:t>4.7用药指导信息评价</w:t>
      </w:r>
      <w:bookmarkEnd w:id="21"/>
    </w:p>
    <w:p ns2:paraId="11EE232C">
      <w:pPr>
        <w:pStyle w:val="4"/>
        <w:keepNext/>
        <w:keepLines/>
        <w:pageBreakBefore w:val="0"/>
        <w:widowControl w:val="0"/>
        <w:numPr>
          <w:ilvl w:val="0"/>
          <w:numId w:val="8"/>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说明书信息清晰度分析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49"/>
        <w:gridCol w:w="979"/>
        <w:gridCol w:w="1397"/>
        <w:gridCol w:w="1397"/>
        <w:gridCol w:w="1397"/>
        <w:gridCol w:w="1398"/>
      </w:tblGrid>
      <w:tr ns2:paraId="24759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49"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DF43C8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13.您对厄贝沙坦氢氯噻嗪片说明书中 “用法用量”“不良反应” 的标注清晰度评价如何？</w:t>
            </w:r>
          </w:p>
        </w:tc>
        <w:tc>
          <w:tcPr>
            <w:tcW w:w="979"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EF8C92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8526412">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A.一目了然</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7720020D">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B.容易理解</w:t>
            </w:r>
          </w:p>
        </w:tc>
        <w:tc>
          <w:tcPr>
            <w:tcW w:w="1397"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53559B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C.部分内容不够明确</w:t>
            </w:r>
          </w:p>
        </w:tc>
        <w:tc>
          <w:tcPr>
            <w:tcW w:w="139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0748A8C0">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D.难以分辨</w:t>
            </w:r>
          </w:p>
        </w:tc>
      </w:tr>
      <w:tr ns2:paraId="109D96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49"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AB13150">
            <w:pPr>
              <w:jc w:val="center"/>
              <w:rPr>
                <w:rFonts w:hint="eastAsia" w:ascii="汉仪中宋简" w:hAnsi="汉仪中宋简" w:eastAsia="汉仪中宋简" w:cs="汉仪中宋简"/>
                <w:i w:val="0"/>
                <w:iCs w:val="0"/>
                <w:color w:val="000000"/>
                <w:sz w:val="20"/>
                <w:szCs w:val="20"/>
                <w:u w:val="none"/>
              </w:rPr>
            </w:pPr>
          </w:p>
        </w:tc>
        <w:tc>
          <w:tcPr>
            <w:tcW w:w="979"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77405A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9814BE8">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827</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06601A5">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715</w:t>
            </w:r>
          </w:p>
        </w:tc>
        <w:tc>
          <w:tcPr>
            <w:tcW w:w="1397"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D07C924">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100</w:t>
            </w:r>
          </w:p>
        </w:tc>
        <w:tc>
          <w:tcPr>
            <w:tcW w:w="139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383B57E7">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0</w:t>
            </w:r>
          </w:p>
        </w:tc>
      </w:tr>
      <w:tr ns2:paraId="05DD73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49"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FB7945C">
            <w:pPr>
              <w:jc w:val="center"/>
              <w:rPr>
                <w:rFonts w:hint="eastAsia" w:ascii="汉仪中宋简" w:hAnsi="汉仪中宋简" w:eastAsia="汉仪中宋简" w:cs="汉仪中宋简"/>
                <w:i w:val="0"/>
                <w:iCs w:val="0"/>
                <w:color w:val="000000"/>
                <w:sz w:val="20"/>
                <w:szCs w:val="20"/>
                <w:u w:val="none"/>
              </w:rPr>
            </w:pPr>
          </w:p>
        </w:tc>
        <w:tc>
          <w:tcPr>
            <w:tcW w:w="979"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5DFD98A8">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056B5B72">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50.37%</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2FBDC53">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43.54%</w:t>
            </w:r>
          </w:p>
        </w:tc>
        <w:tc>
          <w:tcPr>
            <w:tcW w:w="1397"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3195E85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39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DF50BEB">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04453DAE">
      <w:pPr>
        <w:rPr>
          <w:rFonts w:hint="eastAsia" w:ascii="汉仪中宋简" w:hAnsi="汉仪中宋简" w:eastAsia="汉仪中宋简" w:cs="汉仪中宋简"/>
          <w:lang w:val="en-US" w:eastAsia="zh-CN"/>
        </w:rPr>
      </w:pPr>
    </w:p>
    <w:p ns2:paraId="73E1EAED">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80" w:firstLineChars="200"/>
        <w:textAlignment w:val="auto"/>
        <w:rPr>
          <w:rFonts w:hint="eastAsia" w:ascii="汉仪中宋简" w:hAnsi="汉仪中宋简" w:eastAsia="汉仪中宋简" w:cs="汉仪中宋简"/>
          <w:sz w:val="24"/>
          <w:szCs w:val="32"/>
          <w:lang w:val="en-US" w:eastAsia="zh-CN"/>
        </w:rPr>
      </w:pPr>
      <w:r>
        <w:rPr>
          <w:rFonts w:hint="eastAsia" w:ascii="汉仪中宋简" w:hAnsi="汉仪中宋简" w:eastAsia="汉仪中宋简" w:cs="汉仪中宋简"/>
          <w:sz w:val="24"/>
          <w:szCs w:val="32"/>
          <w:lang w:val="en-US" w:eastAsia="zh-CN"/>
        </w:rPr>
        <w:t>药品说明书是患者获取用药信息的核心载体，其清晰度直接影响患者用药安全性。调研结果显示，50.37%的患者认为说明书中“用法用量”“不良反应”等关键信息一目了然，反馈说明书语言表述通俗易懂、排版逻辑清晰，能够快速定位并理解核心用药信息，无需借助专业知识；43.54%的患者认为容易理解，说明即使部分患者对少数专业术语存在轻微困惑，但结合上下文或简单思考后仍能准确把握核心内容。两者合计占比93.91%，仅6.09%的患者认为部分内容不够明确，无患者反馈难以分辨，表明说明书的信息呈现方式符合大众认知习惯，信息传递效率高，能够为患者安全用药提供基础指导。​</w:t>
      </w:r>
    </w:p>
    <w:p ns2:paraId="79F7EE2D">
      <w:pPr>
        <w:pStyle w:val="4"/>
        <w:keepNext/>
        <w:keepLines/>
        <w:pageBreakBefore w:val="0"/>
        <w:widowControl w:val="0"/>
        <w:numPr>
          <w:ilvl w:val="0"/>
          <w:numId w:val="8"/>
        </w:numPr>
        <w:kinsoku/>
        <w:wordWrap/>
        <w:overflowPunct/>
        <w:topLinePunct w:val="0"/>
        <w:autoSpaceDE/>
        <w:autoSpaceDN/>
        <w:bidi w:val="0"/>
        <w:adjustRightInd/>
        <w:snapToGrid/>
        <w:spacing w:line="600" w:lineRule="auto"/>
        <w:ind w:left="425" w:leftChars="0" w:hanging="425"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b w:val="0"/>
          <w:kern w:val="2"/>
          <w:sz w:val="24"/>
          <w:szCs w:val="32"/>
          <w:lang w:val="en-US" w:eastAsia="zh-CN" w:bidi="ar-SA"/>
        </w:rPr>
        <w:t>用药指导详细准确性分析</w:t>
      </w:r>
    </w:p>
    <w:tbl>
      <w:tblPr>
        <w:tblStyle w:val="10"/>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92"/>
        <w:gridCol w:w="982"/>
        <w:gridCol w:w="1485"/>
        <w:gridCol w:w="1485"/>
        <w:gridCol w:w="1485"/>
        <w:gridCol w:w="1488"/>
      </w:tblGrid>
      <w:tr ns2:paraId="48A9C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92" w:type="dxa"/>
            <w:vMerge w:val="restart"/>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A9A3C98">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14.您认为当前获取的用药指导是否足够详细准确？</w:t>
            </w:r>
          </w:p>
        </w:tc>
        <w:tc>
          <w:tcPr>
            <w:tcW w:w="982"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4377CDDE">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选项</w:t>
            </w:r>
          </w:p>
        </w:tc>
        <w:tc>
          <w:tcPr>
            <w:tcW w:w="148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5BB40ED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A.非常详细准确，能解决所有疑问</w:t>
            </w:r>
          </w:p>
        </w:tc>
        <w:tc>
          <w:tcPr>
            <w:tcW w:w="148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682938E7">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B.比较详细准确，能解决大部分疑问</w:t>
            </w:r>
          </w:p>
        </w:tc>
        <w:tc>
          <w:tcPr>
            <w:tcW w:w="1485"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3130A1DA">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C.一般，部分疑问无法解答</w:t>
            </w:r>
          </w:p>
        </w:tc>
        <w:tc>
          <w:tcPr>
            <w:tcW w:w="1488" w:type="dxa"/>
            <w:tcBorders>
              <w:top w:val="single" w:color="FEFEFE" w:sz="8" w:space="0"/>
              <w:left w:val="single" w:color="FEFEFE" w:sz="8" w:space="0"/>
              <w:bottom w:val="single" w:color="FEFEFE" w:sz="24" w:space="0"/>
              <w:right w:val="single" w:color="FEFEFE" w:sz="8" w:space="0"/>
            </w:tcBorders>
            <w:shd w:val="clear" w:color="auto" w:fill="4684D3"/>
            <w:noWrap/>
            <w:vAlign w:val="center"/>
          </w:tcPr>
          <w:p ns2:paraId="254CB17C">
            <w:pPr>
              <w:keepNext w:val="0"/>
              <w:keepLines w:val="0"/>
              <w:widowControl/>
              <w:suppressLineNumbers w:val="0"/>
              <w:jc w:val="center"/>
              <w:textAlignment w:val="center"/>
              <w:rPr>
                <w:rFonts w:hint="eastAsia" w:ascii="汉仪中宋简" w:hAnsi="汉仪中宋简" w:eastAsia="汉仪中宋简" w:cs="汉仪中宋简"/>
                <w:i w:val="0"/>
                <w:iCs w:val="0"/>
                <w:color w:val="000000"/>
                <w:kern w:val="0"/>
                <w:sz w:val="20"/>
                <w:szCs w:val="20"/>
                <w:u w:val="none"/>
                <w:lang w:val="en-US" w:eastAsia="zh-CN" w:bidi="ar"/>
              </w:rPr>
            </w:pPr>
            <w:r>
              <w:rPr>
                <w:rFonts w:hint="default" w:ascii="Calibri" w:hAnsi="Calibri" w:eastAsia="宋体" w:cs="Calibri"/>
                <w:i w:val="0"/>
                <w:iCs w:val="0"/>
                <w:color w:val="000000"/>
                <w:kern w:val="0"/>
                <w:sz w:val="20"/>
                <w:szCs w:val="20"/>
                <w:u w:val="none"/>
                <w:lang w:val="en-US" w:eastAsia="zh-CN" w:bidi="ar"/>
              </w:rPr>
              <w:t>D.不够详细准确，存在很多困惑</w:t>
            </w:r>
          </w:p>
        </w:tc>
      </w:tr>
      <w:tr ns2:paraId="2C27C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92" w:type="dxa"/>
            <w:vMerge w:val="continue"/>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35C9E8B">
            <w:pPr>
              <w:jc w:val="center"/>
              <w:rPr>
                <w:rFonts w:hint="eastAsia" w:ascii="汉仪中宋简" w:hAnsi="汉仪中宋简" w:eastAsia="汉仪中宋简" w:cs="汉仪中宋简"/>
                <w:i w:val="0"/>
                <w:iCs w:val="0"/>
                <w:color w:val="000000"/>
                <w:sz w:val="20"/>
                <w:szCs w:val="20"/>
                <w:u w:val="none"/>
              </w:rPr>
            </w:pPr>
          </w:p>
        </w:tc>
        <w:tc>
          <w:tcPr>
            <w:tcW w:w="982"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4679FA8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样本量</w:t>
            </w:r>
          </w:p>
        </w:tc>
        <w:tc>
          <w:tcPr>
            <w:tcW w:w="148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7515069A">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rPr>
            </w:pPr>
            <w:r>
              <w:rPr>
                <w:rFonts w:hint="default" w:ascii="Calibri" w:hAnsi="Calibri" w:eastAsia="宋体" w:cs="Calibri"/>
                <w:i w:val="0"/>
                <w:iCs w:val="0"/>
                <w:color w:val="000000"/>
                <w:kern w:val="0"/>
                <w:sz w:val="20"/>
                <w:szCs w:val="20"/>
                <w:u w:val="none"/>
                <w:lang w:val="en-US" w:eastAsia="zh-CN" w:bidi="ar"/>
              </w:rPr>
              <w:t>817</w:t>
            </w:r>
          </w:p>
        </w:tc>
        <w:tc>
          <w:tcPr>
            <w:tcW w:w="148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68EF1421">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725</w:t>
            </w:r>
          </w:p>
        </w:tc>
        <w:tc>
          <w:tcPr>
            <w:tcW w:w="1485"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2CD03ACD">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100</w:t>
            </w:r>
          </w:p>
        </w:tc>
        <w:tc>
          <w:tcPr>
            <w:tcW w:w="1488" w:type="dxa"/>
            <w:tcBorders>
              <w:top w:val="single" w:color="FEFEFE" w:sz="24" w:space="0"/>
              <w:left w:val="single" w:color="FEFEFE" w:sz="8" w:space="0"/>
              <w:bottom w:val="single" w:color="FEFEFE" w:sz="8" w:space="0"/>
              <w:right w:val="single" w:color="FEFEFE" w:sz="8" w:space="0"/>
            </w:tcBorders>
            <w:shd w:val="clear" w:color="auto" w:fill="D5E4F5"/>
            <w:noWrap/>
            <w:vAlign w:val="center"/>
          </w:tcPr>
          <w:p ns2:paraId="0FDC580E">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0"/>
                <w:szCs w:val="20"/>
                <w:u w:val="none"/>
                <w:lang w:val="en-US"/>
              </w:rPr>
            </w:pPr>
            <w:r>
              <w:rPr>
                <w:rFonts w:hint="default" w:ascii="Calibri" w:hAnsi="Calibri" w:eastAsia="宋体" w:cs="Calibri"/>
                <w:i w:val="0"/>
                <w:iCs w:val="0"/>
                <w:color w:val="000000"/>
                <w:kern w:val="0"/>
                <w:sz w:val="20"/>
                <w:szCs w:val="20"/>
                <w:u w:val="none"/>
                <w:lang w:val="en-US" w:eastAsia="zh-CN" w:bidi="ar"/>
              </w:rPr>
              <w:t>0</w:t>
            </w:r>
          </w:p>
        </w:tc>
      </w:tr>
      <w:tr ns2:paraId="16478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592" w:type="dxa"/>
            <w:vMerge w:val="continue"/>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FA9030D">
            <w:pPr>
              <w:jc w:val="center"/>
              <w:rPr>
                <w:rFonts w:hint="eastAsia" w:ascii="汉仪中宋简" w:hAnsi="汉仪中宋简" w:eastAsia="汉仪中宋简" w:cs="汉仪中宋简"/>
                <w:i w:val="0"/>
                <w:iCs w:val="0"/>
                <w:color w:val="000000"/>
                <w:sz w:val="20"/>
                <w:szCs w:val="20"/>
                <w:u w:val="none"/>
              </w:rPr>
            </w:pPr>
          </w:p>
        </w:tc>
        <w:tc>
          <w:tcPr>
            <w:tcW w:w="982"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FE33FF7">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占比</w:t>
            </w:r>
          </w:p>
        </w:tc>
        <w:tc>
          <w:tcPr>
            <w:tcW w:w="148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637BD82C">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49.76%</w:t>
            </w:r>
          </w:p>
        </w:tc>
        <w:tc>
          <w:tcPr>
            <w:tcW w:w="148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7A8F15A6">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44.15%</w:t>
            </w:r>
          </w:p>
        </w:tc>
        <w:tc>
          <w:tcPr>
            <w:tcW w:w="1485"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19F2ED03">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6.09%</w:t>
            </w:r>
          </w:p>
        </w:tc>
        <w:tc>
          <w:tcPr>
            <w:tcW w:w="1488" w:type="dxa"/>
            <w:tcBorders>
              <w:top w:val="single" w:color="FEFEFE" w:sz="8" w:space="0"/>
              <w:left w:val="single" w:color="FEFEFE" w:sz="8" w:space="0"/>
              <w:bottom w:val="single" w:color="FEFEFE" w:sz="8" w:space="0"/>
              <w:right w:val="single" w:color="FEFEFE" w:sz="8" w:space="0"/>
            </w:tcBorders>
            <w:shd w:val="clear" w:color="auto" w:fill="D5E4F5"/>
            <w:noWrap/>
            <w:vAlign w:val="center"/>
          </w:tcPr>
          <w:p ns2:paraId="23FE4450">
            <w:pPr>
              <w:keepNext w:val="0"/>
              <w:keepLines w:val="0"/>
              <w:widowControl/>
              <w:suppressLineNumbers w:val="0"/>
              <w:jc w:val="center"/>
              <w:textAlignment w:val="center"/>
              <w:rPr>
                <w:rFonts w:hint="eastAsia" w:ascii="汉仪中宋简" w:hAnsi="汉仪中宋简" w:eastAsia="汉仪中宋简" w:cs="汉仪中宋简"/>
                <w:i w:val="0"/>
                <w:iCs w:val="0"/>
                <w:color w:val="000000"/>
                <w:sz w:val="22"/>
                <w:szCs w:val="22"/>
                <w:u w:val="none"/>
              </w:rPr>
            </w:pPr>
            <w:r>
              <w:rPr>
                <w:rFonts w:hint="default" w:ascii="Calibri" w:hAnsi="Calibri" w:eastAsia="宋体" w:cs="Calibri"/>
                <w:i w:val="0"/>
                <w:iCs w:val="0"/>
                <w:color w:val="000000"/>
                <w:kern w:val="0"/>
                <w:sz w:val="20"/>
                <w:szCs w:val="20"/>
                <w:u w:val="none"/>
                <w:lang w:val="en-US" w:eastAsia="zh-CN" w:bidi="ar"/>
              </w:rPr>
              <w:t>0.00%</w:t>
            </w:r>
          </w:p>
        </w:tc>
      </w:tr>
    </w:tbl>
    <w:p ns2:paraId="63D4734D">
      <w:pPr>
        <w:rPr>
          <w:rFonts w:hint="eastAsia" w:ascii="汉仪中宋简" w:hAnsi="汉仪中宋简" w:eastAsia="汉仪中宋简" w:cs="汉仪中宋简"/>
          <w:sz w:val="24"/>
          <w:szCs w:val="32"/>
          <w:lang w:val="en-US" w:eastAsia="zh-CN"/>
        </w:rPr>
      </w:pPr>
    </w:p>
    <w:p ns2:paraId="71D7FAEB">
      <w:pPr>
        <w:keepNext w:val="0"/>
        <w:keepLines w:val="0"/>
        <w:pageBreakBefore w:val="0"/>
        <w:widowControl w:val="0"/>
        <w:kinsoku/>
        <w:wordWrap/>
        <w:overflowPunct/>
        <w:topLinePunct w:val="0"/>
        <w:autoSpaceDE/>
        <w:autoSpaceDN/>
        <w:bidi w:val="0"/>
        <w:adjustRightInd/>
        <w:snapToGrid/>
        <w:spacing w:line="600" w:lineRule="auto"/>
        <w:ind w:firstLine="420" w:firstLineChars="0"/>
        <w:textAlignment w:val="auto"/>
        <w:rPr>
          <w:rFonts w:hint="eastAsia" w:ascii="汉仪中宋简" w:hAnsi="汉仪中宋简" w:eastAsia="汉仪中宋简" w:cs="汉仪中宋简"/>
          <w:b w:val="0"/>
          <w:kern w:val="2"/>
          <w:sz w:val="24"/>
          <w:szCs w:val="32"/>
          <w:lang w:val="en-US" w:eastAsia="zh-CN" w:bidi="ar-SA"/>
        </w:rPr>
      </w:pPr>
      <w:r>
        <w:rPr>
          <w:rFonts w:hint="eastAsia" w:ascii="汉仪中宋简" w:hAnsi="汉仪中宋简" w:eastAsia="汉仪中宋简" w:cs="汉仪中宋简"/>
          <w:sz w:val="24"/>
          <w:szCs w:val="32"/>
          <w:lang w:val="en-US" w:eastAsia="zh-CN"/>
        </w:rPr>
        <w:t>专业的用药指导是保障患者安全用药的重要支撑，其详细准确性直接影响用药效果与安全性。调研显示，49.76%的患者认为当前获取的用药指导非常详细准确，能够解决所有用药疑问，说明医疗机构、药店等渠道提供的用药指导服务专业且全面，涵盖了服药时间、注意事项、不良反应应对措施等关键内容；44.15%的患者认为指导比较详细准确，能够解决大部分疑问，说明指导服务基本满足核心用药需求，仅存在少量细节问题未完全覆盖。两者合计占比93.91%，仅6.09%的患者认为部分疑问无法解答，整体反映出当前用药指导服务体系较为完善，能够为患者安全用药提供有效支撑。</w:t>
      </w:r>
    </w:p>
    <w:p ns2:paraId="4E07A1E7">
      <w:pPr>
        <w:pStyle w:val="3"/>
        <w:keepNext/>
        <w:keepLines/>
        <w:pageBreakBefore w:val="0"/>
        <w:widowControl w:val="0"/>
        <w:numPr>
          <w:ilvl w:val="0"/>
          <w:numId w:val="1"/>
        </w:numPr>
        <w:kinsoku/>
        <w:wordWrap/>
        <w:overflowPunct/>
        <w:topLinePunct w:val="0"/>
        <w:autoSpaceDE/>
        <w:autoSpaceDN/>
        <w:bidi w:val="0"/>
        <w:adjustRightInd/>
        <w:snapToGrid/>
        <w:spacing w:line="720" w:lineRule="auto"/>
        <w:textAlignment w:val="auto"/>
        <w:outlineLvl w:val="0"/>
        <w:rPr>
          <w:rFonts w:hint="eastAsia" w:ascii="汉仪中宋简" w:hAnsi="汉仪中宋简" w:eastAsia="汉仪中宋简" w:cs="汉仪中宋简"/>
          <w:b/>
          <w:lang w:val="en-US" w:eastAsia="zh-CN"/>
        </w:rPr>
      </w:pPr>
      <w:bookmarkStart w:id="22" w:name="_Toc19608"/>
      <w:bookmarkStart w:id="30" w:name="_GoBack"/>
      <w:bookmarkEnd w:id="30"/>
      <w:r>
        <w:rPr>
          <w:rFonts w:hint="eastAsia" w:ascii="汉仪中宋简" w:hAnsi="汉仪中宋简" w:eastAsia="汉仪中宋简" w:cs="汉仪中宋简"/>
          <w:b/>
          <w:lang w:val="en-US" w:eastAsia="zh-CN"/>
        </w:rPr>
        <w:t>调研结果</w:t>
      </w:r>
      <w:bookmarkEnd w:id="22"/>
    </w:p>
    <w:p ns2:paraId="038E1764">
      <w:pPr>
        <w:pStyle w:val="3"/>
        <w:bidi w:val="0"/>
        <w:rPr>
          <w:rFonts w:hint="eastAsia" w:ascii="汉仪中宋简" w:hAnsi="汉仪中宋简" w:eastAsia="汉仪中宋简" w:cs="汉仪中宋简"/>
          <w:lang w:val="en-US" w:eastAsia="zh-CN"/>
        </w:rPr>
      </w:pPr>
      <w:bookmarkStart w:id="23" w:name="_Toc7275"/>
      <w:r>
        <w:rPr>
          <w:rFonts w:hint="eastAsia" w:ascii="汉仪中宋简" w:hAnsi="汉仪中宋简" w:eastAsia="汉仪中宋简" w:cs="汉仪中宋简"/>
          <w:lang w:val="en-US" w:eastAsia="zh-CN"/>
        </w:rPr>
        <w:t>5.1问卷重点问题分析</w:t>
      </w:r>
      <w:bookmarkEnd w:id="23"/>
    </w:p>
    <w:p ns2:paraId="435FF72E">
      <w:pPr>
        <w:keepNext w:val="0"/>
        <w:keepLines w:val="0"/>
        <w:pageBreakBefore w:val="0"/>
        <w:widowControl w:val="0"/>
        <w:numPr>
          <w:ilvl w:val="0"/>
          <w:numId w:val="0"/>
        </w:numPr>
        <w:kinsoku/>
        <w:wordWrap/>
        <w:overflowPunct/>
        <w:topLinePunct w:val="0"/>
        <w:autoSpaceDE/>
        <w:autoSpaceDN/>
        <w:bidi w:val="0"/>
        <w:adjustRightInd/>
        <w:snapToGrid/>
        <w:spacing w:line="600" w:lineRule="auto"/>
        <w:ind w:left="0" w:leftChars="0" w:firstLine="480" w:firstLineChars="200"/>
        <w:jc w:val="left"/>
        <w:textAlignment w:val="auto"/>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r>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t>药品疗效与经济性是影响高血压患者长期治疗依从性和疾病控制效果的核心维度，两者并非孤立存在，而是存在显著的协同关联。结合本次调研核心数据，对两个维度开展交叉联合分析，结果如下：</w:t>
      </w:r>
    </w:p>
    <w:p ns2:paraId="02310A52">
      <w:pPr>
        <w:keepNext w:val="0"/>
        <w:keepLines w:val="0"/>
        <w:pageBreakBefore w:val="0"/>
        <w:widowControl w:val="0"/>
        <w:numPr>
          <w:ilvl w:val="0"/>
          <w:numId w:val="0"/>
        </w:numPr>
        <w:kinsoku/>
        <w:wordWrap/>
        <w:overflowPunct/>
        <w:topLinePunct w:val="0"/>
        <w:autoSpaceDE/>
        <w:autoSpaceDN/>
        <w:bidi w:val="0"/>
        <w:adjustRightInd/>
        <w:snapToGrid/>
        <w:spacing w:line="600" w:lineRule="auto"/>
        <w:ind w:left="0" w:leftChars="0" w:firstLine="480" w:firstLineChars="200"/>
        <w:jc w:val="left"/>
        <w:textAlignment w:val="auto"/>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r>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t>从数据交叉关联来看，在血压控制达标（即选择A“血压稳定在正常范围”+B“血压多数时间在正常范围”）的1542名患者中，96.82%（1493/1542）的患者同时认可药品价格合理性（选择C“在可接受范围”+D“无压力”），仅有3.18%（49/1542）的患者认为价格勉强承受；而在血压偶尔波动）的100名患者中，虽有92%（92/100）的患者认可价格合理性，但价格勉强承受的比例为8%（8/100），显著高于血压控制达标群体。这一数据差异清晰揭示了疗效与经济性的正向协同关系。</w:t>
      </w:r>
    </w:p>
    <w:p ns2:paraId="100136A4">
      <w:pPr>
        <w:keepNext w:val="0"/>
        <w:keepLines w:val="0"/>
        <w:pageBreakBefore w:val="0"/>
        <w:widowControl w:val="0"/>
        <w:numPr>
          <w:ilvl w:val="0"/>
          <w:numId w:val="0"/>
        </w:numPr>
        <w:kinsoku/>
        <w:wordWrap/>
        <w:overflowPunct/>
        <w:topLinePunct w:val="0"/>
        <w:autoSpaceDE/>
        <w:autoSpaceDN/>
        <w:bidi w:val="0"/>
        <w:adjustRightInd/>
        <w:snapToGrid/>
        <w:spacing w:line="600" w:lineRule="auto"/>
        <w:ind w:left="0" w:leftChars="0" w:firstLine="480" w:firstLineChars="200"/>
        <w:jc w:val="left"/>
        <w:textAlignment w:val="auto"/>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r>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t>从临床治疗逻辑来看，这种协同关系形成了“经济可及-规律用药-疗效稳固”的良性循环：一方面，该药物96.59%的高价格接受度，大幅降低了患者长期购药的经济压力，使其能够持续规律服药，避免因经济负担中断治疗，为药物疗效的充分发挥提供了前提保障；另一方面，93.91%的高血压控制达标率，让患者切实感知到药物的治疗价值，进一步强化了对“价格-治疗价值”匹配度的认可，反向提升了其长期用药的意愿。反之，血压偶尔波动群体中更高的价格勉强承受比例也提示，经济压力可能是影响该部分患者用药连续性的潜在因素，进而间接影响血压控制效果。</w:t>
      </w:r>
    </w:p>
    <w:p ns2:paraId="7E5CDE53">
      <w:pPr>
        <w:keepNext w:val="0"/>
        <w:keepLines w:val="0"/>
        <w:pageBreakBefore w:val="0"/>
        <w:widowControl w:val="0"/>
        <w:numPr>
          <w:ilvl w:val="0"/>
          <w:numId w:val="0"/>
        </w:numPr>
        <w:kinsoku/>
        <w:wordWrap/>
        <w:overflowPunct/>
        <w:topLinePunct w:val="0"/>
        <w:autoSpaceDE/>
        <w:autoSpaceDN/>
        <w:bidi w:val="0"/>
        <w:adjustRightInd/>
        <w:snapToGrid/>
        <w:spacing w:line="600" w:lineRule="auto"/>
        <w:ind w:left="0" w:leftChars="0" w:firstLine="480" w:firstLineChars="200"/>
        <w:jc w:val="left"/>
        <w:textAlignment w:val="auto"/>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r>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t>此外，无患者反馈血压持续失控，也无患者反馈价格难以承受，这一“双零”结果进一步印证了该药物在疗效可靠性与价格亲民性上的均衡优势，能够同时满足患者“能降压”的核心治疗需求和“用得起”的经济需求，为高血压长期规范管理提供了双重核心支撑。</w:t>
      </w:r>
    </w:p>
    <w:p ns2:paraId="472857A5">
      <w:pPr>
        <w:pStyle w:val="3"/>
        <w:bidi w:val="0"/>
        <w:rPr>
          <w:rFonts w:hint="eastAsia" w:ascii="汉仪中宋简" w:hAnsi="汉仪中宋简" w:eastAsia="汉仪中宋简" w:cs="汉仪中宋简"/>
          <w:b w:val="0"/>
          <w:bCs w:val="0"/>
          <w:color w:val="000000" w:themeColor="text1"/>
          <w:sz w:val="24"/>
          <w:szCs w:val="24"/>
          <w:highlight w:val="none"/>
          <w:lang w:val="en-US" w:eastAsia="zh-CN"/>
          <ns2:textFill>
            <ns2:solidFill>
              <ns2:schemeClr ns2:val="tx1"/>
            </ns2:solidFill>
          </ns2:textFill>
        </w:rPr>
      </w:pPr>
      <w:bookmarkStart w:id="24" w:name="_Toc25533"/>
      <w:r>
        <w:rPr>
          <w:rFonts w:hint="eastAsia" w:ascii="汉仪中宋简" w:hAnsi="汉仪中宋简" w:eastAsia="汉仪中宋简" w:cs="汉仪中宋简"/>
          <w:highlight w:val="none"/>
          <w:lang w:val="en-US" w:eastAsia="zh-CN"/>
        </w:rPr>
        <w:t>5.2调研结果分析</w:t>
      </w:r>
      <w:bookmarkEnd w:id="24"/>
    </w:p>
    <w:p ns2:paraId="40A1FD76">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20" w:firstLineChars="0"/>
        <w:jc w:val="left"/>
        <w:textAlignment w:val="auto"/>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pPr>
      <w:r>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t xml:space="preserve">{{block.summary.overall_analysis}}</w:t>
      </w:r>
    </w:p>
    <w:p ns2:paraId="352EFD12">
      <w:pPr>
        <w:pStyle w:val="3"/>
        <w:bidi w:val="0"/>
        <w:rPr>
          <w:rFonts w:hint="eastAsia" w:ascii="汉仪中宋简" w:hAnsi="汉仪中宋简" w:eastAsia="汉仪中宋简" w:cs="汉仪中宋简"/>
          <w:sz w:val="24"/>
          <w:szCs w:val="24"/>
          <w:highlight w:val="none"/>
          <w:lang w:val="en-US" w:eastAsia="zh-CN"/>
        </w:rPr>
      </w:pPr>
      <w:bookmarkStart w:id="25" w:name="_Toc4442"/>
      <w:r>
        <w:rPr>
          <w:rFonts w:hint="eastAsia" w:ascii="汉仪中宋简" w:hAnsi="汉仪中宋简" w:eastAsia="汉仪中宋简" w:cs="汉仪中宋简"/>
          <w:highlight w:val="none"/>
          <w:lang w:val="en-US" w:eastAsia="zh-CN"/>
        </w:rPr>
        <w:t>5.3建议</w:t>
      </w:r>
      <w:bookmarkEnd w:id="25"/>
    </w:p>
    <w:p ns2:paraId="1B2E2CF6">
      <w:pPr>
        <w:keepNext w:val="0"/>
        <w:keepLines w:val="0"/>
        <w:pageBreakBefore w:val="0"/>
        <w:widowControl w:val="0"/>
        <w:numPr>
          <w:ilvl w:val="0"/>
          <w:numId w:val="0"/>
        </w:numPr>
        <w:kinsoku/>
        <w:wordWrap/>
        <w:overflowPunct/>
        <w:topLinePunct w:val="0"/>
        <w:autoSpaceDE/>
        <w:autoSpaceDN/>
        <w:bidi w:val="0"/>
        <w:adjustRightInd/>
        <w:snapToGrid/>
        <w:spacing w:line="600" w:lineRule="auto"/>
        <w:ind w:firstLine="420" w:firstLineChars="0"/>
        <w:jc w:val="left"/>
        <w:textAlignment w:val="auto"/>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pPr>
      <w:r>
        <w:rPr>
          <w:rFonts w:hint="eastAsia" w:ascii="汉仪中宋简" w:hAnsi="汉仪中宋简" w:eastAsia="汉仪中宋简" w:cs="汉仪中宋简"/>
          <w:b w:val="0"/>
          <w:bCs w:val="0"/>
          <w:color w:val="000000" w:themeColor="text1"/>
          <w:kern w:val="2"/>
          <w:sz w:val="24"/>
          <w:szCs w:val="24"/>
          <w:highlight w:val="none"/>
          <w:lang w:val="en-US" w:eastAsia="zh-CN" w:bidi="ar-SA"/>
          <ns2:textFill>
            <ns2:solidFill>
              <ns2:schemeClr ns2:val="tx1"/>
            </ns2:solidFill>
          </ns2:textFill>
        </w:rPr>
        <w:t xml:space="preserve">{{block.summary.recommendations}}</w:t>
      </w:r>
    </w:p>
    <w:p ns2:paraId="4272D18C">
      <w:pPr>
        <w:pStyle w:val="2"/>
        <w:bidi w:val="0"/>
        <w:jc w:val="left"/>
        <w:rPr>
          <w:rFonts w:hint="eastAsia" w:ascii="汉仪中宋简" w:hAnsi="汉仪中宋简" w:eastAsia="汉仪中宋简" w:cs="汉仪中宋简"/>
          <w:lang w:val="en-US" w:eastAsia="zh-CN"/>
        </w:rPr>
      </w:pPr>
      <w:r>
        <w:rPr>
          <w:rFonts w:hint="eastAsia" w:ascii="汉仪中宋简" w:hAnsi="汉仪中宋简" w:eastAsia="汉仪中宋简" w:cs="汉仪中宋简"/>
          <w:lang w:val="en-US" w:eastAsia="zh-CN"/>
        </w:rPr>
        <w:t>附件1：厄贝沙坦氢氯噻嗪片用药体验与疗效反馈患者调查问卷</w:t>
      </w:r>
      <w:bookmarkEnd w:id="26"/>
    </w:p>
    <w:p ns2:paraId="1FEC2CC2">
      <w:pPr>
        <w:ind w:left="0" w:leftChars="0" w:firstLine="0" w:firstLineChars="0"/>
        <w:jc w:val="both"/>
        <w:rPr>
          <w:rFonts w:hint="eastAsia" w:ascii="汉仪中宋简" w:hAnsi="汉仪中宋简" w:eastAsia="汉仪中宋简" w:cs="汉仪中宋简"/>
          <w:lang w:val="en-US" w:eastAsia="zh-CN"/>
        </w:rPr>
      </w:pPr>
    </w:p>
    <w:p ns2:paraId="6CCA3D18">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您服用厄贝沙坦氢氯噻嗪片后，血压控制效果如何？</w:t>
      </w:r>
    </w:p>
    <w:p ns2:paraId="66C0D4C3">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血压稳定在正常范围</w:t>
      </w:r>
    </w:p>
    <w:p ns2:paraId="6CE1425B">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血压多数时间在正常范围</w:t>
      </w:r>
    </w:p>
    <w:p ns2:paraId="4B4D6147">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血压偶尔超出正常范围</w:t>
      </w:r>
    </w:p>
    <w:p ns2:paraId="2B1D7314">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血压持续超出正常范围</w:t>
      </w:r>
    </w:p>
    <w:p ns2:paraId="352AD0F7">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您服用厄贝沙坦氢氯噻嗪片期间，是否出现过头晕、头痛症状？</w:t>
      </w:r>
    </w:p>
    <w:p ns2:paraId="5AB3DCC9">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经常出现，症状严重</w:t>
      </w:r>
    </w:p>
    <w:p ns2:paraId="0DDB611B">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偶尔出现，症状轻微可忍受</w:t>
      </w:r>
    </w:p>
    <w:p ns2:paraId="29DD6DC3">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很少出现，几乎无感觉</w:t>
      </w:r>
    </w:p>
    <w:p ns2:paraId="78517D89">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从未出现过</w:t>
      </w:r>
    </w:p>
    <w:p ns2:paraId="3CD4510E">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您服用厄贝沙坦氢氯噻嗪片期间，是否出现过口渴、多尿情况？</w:t>
      </w:r>
    </w:p>
    <w:p ns2:paraId="044674F6">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经常出现，影响正常生活</w:t>
      </w:r>
    </w:p>
    <w:p ns2:paraId="5DD87521">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偶尔出现，无明显影响</w:t>
      </w:r>
    </w:p>
    <w:p ns2:paraId="407CF38D">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很少出现，几乎不察觉</w:t>
      </w:r>
    </w:p>
    <w:p ns2:paraId="2245D953">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从未出现过</w:t>
      </w:r>
    </w:p>
    <w:p ns2:paraId="1BB602CA">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您通常通过什么渠道购买厄贝沙坦氢氯噻嗪片？</w:t>
      </w:r>
    </w:p>
    <w:p ns2:paraId="1091005F">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医院药房</w:t>
      </w:r>
    </w:p>
    <w:p ns2:paraId="17BF188A">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线下连锁药店</w:t>
      </w:r>
    </w:p>
    <w:p ns2:paraId="1367894C">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正规网上药店</w:t>
      </w:r>
    </w:p>
    <w:p ns2:paraId="2E411F45">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其他渠道（请注明）</w:t>
      </w:r>
    </w:p>
    <w:p ns2:paraId="4A6E75C8">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您认为厄贝沙坦氢氯噻嗪片的价格对您的用药负担影响如何？</w:t>
      </w:r>
    </w:p>
    <w:p ns2:paraId="12BF58ED">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难以承受</w:t>
      </w:r>
    </w:p>
    <w:p ns2:paraId="7D855842">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勉强承受</w:t>
      </w:r>
    </w:p>
    <w:p ns2:paraId="6568AEB4">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在可接受范围</w:t>
      </w:r>
    </w:p>
    <w:p ns2:paraId="75966934">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无压力</w:t>
      </w:r>
    </w:p>
    <w:p ns2:paraId="5A4BE6E6">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您服用厄贝沙坦氢氯噻嗪片的剂量是否严格按照医嘱？</w:t>
      </w:r>
    </w:p>
    <w:p ns2:paraId="6F7208D9">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始终严格遵守</w:t>
      </w:r>
    </w:p>
    <w:p ns2:paraId="301BBCB2">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大部分时间遵守，偶尔微调</w:t>
      </w:r>
    </w:p>
    <w:p ns2:paraId="02514DCE">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经常根据自身感觉调整</w:t>
      </w:r>
    </w:p>
    <w:p ns2:paraId="2FDCE85C">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eastAsia"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从未按规定剂量服用</w:t>
      </w:r>
    </w:p>
    <w:p ns2:paraId="3C8B964E">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您对厄贝沙坦氢氯噻嗪片的服药频率满意度如何？</w:t>
      </w:r>
    </w:p>
    <w:p ns2:paraId="21EE6A01">
      <w:pPr>
        <w:keepNext w:val="0"/>
        <w:keepLines w:val="0"/>
        <w:pageBreakBefore w:val="0"/>
        <w:widowControl w:val="0"/>
        <w:numPr>
          <w:ilvl w:val="0"/>
          <w:numId w:val="1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频率很合适，按要求吃很轻松</w:t>
      </w:r>
    </w:p>
    <w:p ns2:paraId="6D967439">
      <w:pPr>
        <w:keepNext w:val="0"/>
        <w:keepLines w:val="0"/>
        <w:pageBreakBefore w:val="0"/>
        <w:widowControl w:val="0"/>
        <w:numPr>
          <w:ilvl w:val="0"/>
          <w:numId w:val="1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频率还可以，没对生活造成困扰</w:t>
      </w:r>
    </w:p>
    <w:p ns2:paraId="4411C818">
      <w:pPr>
        <w:keepNext w:val="0"/>
        <w:keepLines w:val="0"/>
        <w:pageBreakBefore w:val="0"/>
        <w:widowControl w:val="0"/>
        <w:numPr>
          <w:ilvl w:val="0"/>
          <w:numId w:val="1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频率稍微有点高，偶尔会记不清</w:t>
      </w:r>
    </w:p>
    <w:p ns2:paraId="35B610CD">
      <w:pPr>
        <w:keepNext w:val="0"/>
        <w:keepLines w:val="0"/>
        <w:pageBreakBefore w:val="0"/>
        <w:widowControl w:val="0"/>
        <w:numPr>
          <w:ilvl w:val="0"/>
          <w:numId w:val="1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频率不太适应，想过调整一下</w:t>
      </w:r>
    </w:p>
    <w:p ns2:paraId="6B0ADD53">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您服用厄贝沙坦氢氯噻嗪片期间，是否同时服用其他降压药物？</w:t>
      </w:r>
    </w:p>
    <w:p ns2:paraId="785C0DD9">
      <w:pPr>
        <w:keepNext w:val="0"/>
        <w:keepLines w:val="0"/>
        <w:pageBreakBefore w:val="0"/>
        <w:widowControl w:val="0"/>
        <w:numPr>
          <w:ilvl w:val="0"/>
          <w:numId w:val="11"/>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同时服用 1 种其他降压药</w:t>
      </w:r>
    </w:p>
    <w:p ns2:paraId="18BDF8E6">
      <w:pPr>
        <w:keepNext w:val="0"/>
        <w:keepLines w:val="0"/>
        <w:pageBreakBefore w:val="0"/>
        <w:widowControl w:val="0"/>
        <w:numPr>
          <w:ilvl w:val="0"/>
          <w:numId w:val="11"/>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同时服用 2 种及以上其他降压药</w:t>
      </w:r>
    </w:p>
    <w:p ns2:paraId="0E01FA29">
      <w:pPr>
        <w:keepNext w:val="0"/>
        <w:keepLines w:val="0"/>
        <w:pageBreakBefore w:val="0"/>
        <w:widowControl w:val="0"/>
        <w:numPr>
          <w:ilvl w:val="0"/>
          <w:numId w:val="11"/>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同时服用降压药及其他疾病治疗药物</w:t>
      </w:r>
    </w:p>
    <w:p ns2:paraId="3627E7B2">
      <w:pPr>
        <w:keepNext w:val="0"/>
        <w:keepLines w:val="0"/>
        <w:pageBreakBefore w:val="0"/>
        <w:widowControl w:val="0"/>
        <w:numPr>
          <w:ilvl w:val="0"/>
          <w:numId w:val="11"/>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仅服用该药物</w:t>
      </w:r>
    </w:p>
    <w:p ns2:paraId="24C53AFE">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您是否咨询过医生，确认厄贝沙坦氢氯噻嗪片与其他药物可同时服用？</w:t>
      </w:r>
    </w:p>
    <w:p ns2:paraId="2A751218">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专门咨询过，确认无冲突</w:t>
      </w:r>
    </w:p>
    <w:p ns2:paraId="2CA52B37">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简单询问过，大致了解</w:t>
      </w:r>
    </w:p>
    <w:p ns2:paraId="2FEC6149">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没咨询过，但认为无问题</w:t>
      </w:r>
    </w:p>
    <w:p ns2:paraId="6280C8A0">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没咨询过，不清楚是否有冲突</w:t>
      </w:r>
    </w:p>
    <w:p ns2:paraId="761D9CEC">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您所在地区的厄贝沙坦氢氯噻嗪片供应是否稳定？</w:t>
      </w:r>
    </w:p>
    <w:p ns2:paraId="285FB246">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随时能买到</w:t>
      </w:r>
    </w:p>
    <w:p ns2:paraId="5D6C5B9E">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偶尔缺货但不影响用药</w:t>
      </w:r>
    </w:p>
    <w:p ns2:paraId="33820A1F">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经常缺货</w:t>
      </w:r>
    </w:p>
    <w:p ns2:paraId="7C7F41D9">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eastAsia"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严重影响用药</w:t>
      </w:r>
    </w:p>
    <w:p ns2:paraId="429D0FCE">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您服用厄贝沙坦氢氯噻嗪片期间，是否定期监测血压？</w:t>
      </w:r>
    </w:p>
    <w:p ns2:paraId="0092B7AB">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每天监测，记录详细数据</w:t>
      </w:r>
    </w:p>
    <w:p ns2:paraId="290FDC11">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每周监测 2-3 次，了解大致情况</w:t>
      </w:r>
    </w:p>
    <w:p ns2:paraId="772CAEC4">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偶尔监测，无固定频率</w:t>
      </w:r>
    </w:p>
    <w:p ns2:paraId="095D4DE0">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从未监测</w:t>
      </w:r>
    </w:p>
    <w:p ns2:paraId="12C2374E">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您对厄贝沙坦氢氯噻嗪片药品包装的便利性评价如何？</w:t>
      </w:r>
    </w:p>
    <w:p ns2:paraId="3B9158A8">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储存、取用都方便</w:t>
      </w:r>
    </w:p>
    <w:p ns2:paraId="61A7E73D">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基本满足需求</w:t>
      </w:r>
    </w:p>
    <w:p ns2:paraId="0234AF46">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存在取用麻烦等问题</w:t>
      </w:r>
    </w:p>
    <w:p ns2:paraId="63775ECB">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非常不便利，严重影响使用</w:t>
      </w:r>
    </w:p>
    <w:p ns2:paraId="7C23499B">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您对厄贝沙坦氢氯噻嗪片说明书中</w:t>
      </w:r>
      <w:r>
        <w:rPr>
          <w:rFonts w:hint="eastAsia" w:ascii="汉仪中宋简" w:hAnsi="汉仪中宋简" w:eastAsia="汉仪中宋简" w:cs="汉仪中宋简"/>
          <w:snapToGrid/>
          <w:kern w:val="2"/>
          <w:sz w:val="24"/>
          <w:szCs w:val="24"/>
          <w:lang w:val="en-US" w:eastAsia="zh-CN"/>
        </w:rPr>
        <w:t>“</w:t>
      </w:r>
      <w:r>
        <w:rPr>
          <w:rFonts w:hint="default" w:ascii="汉仪中宋简" w:hAnsi="汉仪中宋简" w:eastAsia="汉仪中宋简" w:cs="汉仪中宋简"/>
          <w:snapToGrid/>
          <w:kern w:val="2"/>
          <w:sz w:val="24"/>
          <w:szCs w:val="24"/>
          <w:lang w:val="en-US" w:eastAsia="zh-CN"/>
        </w:rPr>
        <w:t>用法用量”“不良反应</w:t>
      </w:r>
      <w:r>
        <w:rPr>
          <w:rFonts w:hint="eastAsia" w:ascii="汉仪中宋简" w:hAnsi="汉仪中宋简" w:eastAsia="汉仪中宋简" w:cs="汉仪中宋简"/>
          <w:snapToGrid/>
          <w:kern w:val="2"/>
          <w:sz w:val="24"/>
          <w:szCs w:val="24"/>
          <w:lang w:val="en-US" w:eastAsia="zh-CN"/>
        </w:rPr>
        <w:t>”</w:t>
      </w:r>
      <w:r>
        <w:rPr>
          <w:rFonts w:hint="default" w:ascii="汉仪中宋简" w:hAnsi="汉仪中宋简" w:eastAsia="汉仪中宋简" w:cs="汉仪中宋简"/>
          <w:snapToGrid/>
          <w:kern w:val="2"/>
          <w:sz w:val="24"/>
          <w:szCs w:val="24"/>
          <w:lang w:val="en-US" w:eastAsia="zh-CN"/>
        </w:rPr>
        <w:t>的标注清晰度评价如何？</w:t>
      </w:r>
    </w:p>
    <w:p ns2:paraId="4EE70D2B">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一目了然</w:t>
      </w:r>
    </w:p>
    <w:p ns2:paraId="2D376978">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容易理解</w:t>
      </w:r>
    </w:p>
    <w:p ns2:paraId="7D0C4622">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部分内容不够明确</w:t>
      </w:r>
    </w:p>
    <w:p ns2:paraId="185B13AD">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eastAsia"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难以分辨</w:t>
      </w:r>
    </w:p>
    <w:p ns2:paraId="00B8B3B2">
      <w:pPr>
        <w:keepNext w:val="0"/>
        <w:keepLines w:val="0"/>
        <w:pageBreakBefore w:val="0"/>
        <w:widowControl w:val="0"/>
        <w:numPr>
          <w:ilvl w:val="0"/>
          <w:numId w:val="9"/>
        </w:numPr>
        <w:kinsoku/>
        <w:wordWrap/>
        <w:overflowPunct/>
        <w:topLinePunct w:val="0"/>
        <w:autoSpaceDE/>
        <w:autoSpaceDN/>
        <w:bidi w:val="0"/>
        <w:adjustRightInd/>
        <w:snapToGrid/>
        <w:spacing w:line="480" w:lineRule="auto"/>
        <w:ind w:left="425" w:leftChars="0" w:hanging="425" w:firstLineChars="0"/>
        <w:jc w:val="left"/>
        <w:textAlignment w:val="auto"/>
        <w:rPr>
          <w:rFonts w:hint="default" w:ascii="汉仪中宋简" w:hAnsi="汉仪中宋简" w:eastAsia="汉仪中宋简" w:cs="汉仪中宋简"/>
          <w:snapToGrid/>
          <w:kern w:val="2"/>
          <w:sz w:val="24"/>
          <w:szCs w:val="24"/>
          <w:lang w:val="en-US" w:eastAsia="zh-CN"/>
        </w:rPr>
      </w:pPr>
      <w:r>
        <w:rPr>
          <w:rFonts w:hint="default" w:ascii="汉仪中宋简" w:hAnsi="汉仪中宋简" w:eastAsia="汉仪中宋简" w:cs="汉仪中宋简"/>
          <w:snapToGrid/>
          <w:kern w:val="2"/>
          <w:sz w:val="24"/>
          <w:szCs w:val="24"/>
          <w:lang w:val="en-US" w:eastAsia="zh-CN"/>
        </w:rPr>
        <w:t>您认为当前获取的用药指导是否足够详细准确？</w:t>
      </w:r>
    </w:p>
    <w:p ns2:paraId="13782D53">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A. </w:t>
      </w:r>
      <w:r>
        <w:rPr>
          <w:rFonts w:hint="default" w:ascii="汉仪中宋简" w:hAnsi="汉仪中宋简" w:eastAsia="汉仪中宋简" w:cs="汉仪中宋简"/>
          <w:snapToGrid/>
          <w:kern w:val="2"/>
          <w:sz w:val="24"/>
          <w:szCs w:val="24"/>
          <w:lang w:val="en-US" w:eastAsia="zh-CN"/>
        </w:rPr>
        <w:t>非常详细准确，能解决所有疑问</w:t>
      </w:r>
    </w:p>
    <w:p ns2:paraId="2536600B">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B. </w:t>
      </w:r>
      <w:r>
        <w:rPr>
          <w:rFonts w:hint="default" w:ascii="汉仪中宋简" w:hAnsi="汉仪中宋简" w:eastAsia="汉仪中宋简" w:cs="汉仪中宋简"/>
          <w:snapToGrid/>
          <w:kern w:val="2"/>
          <w:sz w:val="24"/>
          <w:szCs w:val="24"/>
          <w:lang w:val="en-US" w:eastAsia="zh-CN"/>
        </w:rPr>
        <w:t>比较详细准确，能解决大部分疑问</w:t>
      </w:r>
    </w:p>
    <w:p ns2:paraId="5031355C">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C. </w:t>
      </w:r>
      <w:r>
        <w:rPr>
          <w:rFonts w:hint="default" w:ascii="汉仪中宋简" w:hAnsi="汉仪中宋简" w:eastAsia="汉仪中宋简" w:cs="汉仪中宋简"/>
          <w:snapToGrid/>
          <w:kern w:val="2"/>
          <w:sz w:val="24"/>
          <w:szCs w:val="24"/>
          <w:lang w:val="en-US" w:eastAsia="zh-CN"/>
        </w:rPr>
        <w:t>一般，部分疑问无法解答</w:t>
      </w:r>
    </w:p>
    <w:p ns2:paraId="6743342D">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218" w:firstLineChars="91"/>
        <w:jc w:val="left"/>
        <w:textAlignment w:val="auto"/>
        <w:rPr>
          <w:rFonts w:hint="default" w:ascii="汉仪中宋简" w:hAnsi="汉仪中宋简" w:eastAsia="汉仪中宋简" w:cs="汉仪中宋简"/>
          <w:snapToGrid/>
          <w:kern w:val="2"/>
          <w:sz w:val="24"/>
          <w:szCs w:val="24"/>
          <w:lang w:val="en-US" w:eastAsia="zh-CN"/>
        </w:rPr>
      </w:pPr>
      <w:r>
        <w:rPr>
          <w:rFonts w:hint="eastAsia" w:ascii="汉仪中宋简" w:hAnsi="汉仪中宋简" w:eastAsia="汉仪中宋简" w:cs="汉仪中宋简"/>
          <w:snapToGrid/>
          <w:kern w:val="2"/>
          <w:sz w:val="24"/>
          <w:szCs w:val="24"/>
          <w:lang w:val="en-US" w:eastAsia="zh-CN"/>
        </w:rPr>
        <w:t xml:space="preserve">D. </w:t>
      </w:r>
      <w:r>
        <w:rPr>
          <w:rFonts w:hint="default" w:ascii="汉仪中宋简" w:hAnsi="汉仪中宋简" w:eastAsia="汉仪中宋简" w:cs="汉仪中宋简"/>
          <w:snapToGrid/>
          <w:kern w:val="2"/>
          <w:sz w:val="24"/>
          <w:szCs w:val="24"/>
          <w:lang w:val="en-US" w:eastAsia="zh-CN"/>
        </w:rPr>
        <w:t>不够详细准确，存在很多困惑</w:t>
      </w:r>
    </w:p>
    <w:p ns2:paraId="2E498182">
      <w:pPr>
        <w:rPr>
          <w:rFonts w:hint="eastAsia" w:ascii="汉仪中宋简" w:hAnsi="汉仪中宋简" w:eastAsia="汉仪中宋简" w:cs="汉仪中宋简"/>
          <w:lang w:val="en-US" w:eastAsia="zh-CN"/>
        </w:rPr>
      </w:pPr>
    </w:p>
    <w:p ns2:paraId="769D578A">
      <w:pPr>
        <w:keepNext w:val="0"/>
        <w:keepLines w:val="0"/>
        <w:pageBreakBefore w:val="0"/>
        <w:widowControl w:val="0"/>
        <w:numPr>
          <w:ilvl w:val="0"/>
          <w:numId w:val="0"/>
        </w:numPr>
        <w:kinsoku/>
        <w:wordWrap/>
        <w:overflowPunct/>
        <w:topLinePunct w:val="0"/>
        <w:autoSpaceDE/>
        <w:autoSpaceDN/>
        <w:bidi w:val="0"/>
        <w:adjustRightInd/>
        <w:snapToGrid/>
        <w:spacing w:line="480" w:lineRule="auto"/>
        <w:ind w:left="0" w:leftChars="0" w:firstLine="420" w:firstLineChars="200"/>
        <w:jc w:val="left"/>
        <w:textAlignment w:val="auto"/>
        <w:rPr>
          <w:rFonts w:hint="eastAsia" w:ascii="汉仪中宋简" w:hAnsi="汉仪中宋简" w:eastAsia="汉仪中宋简" w:cs="汉仪中宋简"/>
          <w:lang w:val="en-US" w:eastAsia="zh-CN"/>
        </w:rPr>
      </w:pPr>
      <w:r>
        <w:rPr>
          <w:rFonts w:hint="eastAsia" w:ascii="汉仪中宋简" w:hAnsi="汉仪中宋简" w:eastAsia="汉仪中宋简" w:cs="汉仪中宋简"/>
          <w:lang w:val="en-US" w:eastAsia="zh-CN"/>
        </w:rPr>
        <w:br w:type="page"/>
      </w:r>
    </w:p>
    <w:p ns2:paraId="683C6AC0">
      <w:pPr>
        <w:pStyle w:val="2"/>
        <w:bidi w:val="0"/>
        <w:rPr>
          <w:rFonts w:hint="eastAsia" w:ascii="汉仪中宋简" w:hAnsi="汉仪中宋简" w:eastAsia="汉仪中宋简" w:cs="汉仪中宋简"/>
          <w:highlight w:val="none"/>
          <w:lang w:val="en-US" w:eastAsia="zh-CN"/>
        </w:rPr>
      </w:pPr>
      <w:bookmarkStart w:id="27" w:name="_Toc22330"/>
      <w:r>
        <w:rPr>
          <w:rFonts w:hint="eastAsia" w:ascii="汉仪中宋简" w:hAnsi="汉仪中宋简" w:eastAsia="汉仪中宋简" w:cs="汉仪中宋简"/>
          <w:highlight w:val="none"/>
          <w:lang w:val="en-US" w:eastAsia="zh-CN"/>
        </w:rPr>
        <w:t>附件2：问卷调查明细表</w:t>
      </w:r>
      <w:bookmarkEnd w:id="27"/>
    </w:p>
    <w:p ns2:paraId="6CD34407">
      <w:pPr>
        <w:bidi w:val="0"/>
        <w:rPr>
          <w:rFonts w:hint="eastAsia" w:ascii="汉仪中宋简" w:hAnsi="汉仪中宋简" w:eastAsia="汉仪中宋简" w:cs="汉仪中宋简"/>
          <w:highlight w:val="none"/>
        </w:rPr>
      </w:pPr>
      <w:r>
        <w:rPr>
          <w:rFonts w:hint="eastAsia" w:ascii="汉仪中宋简" w:hAnsi="汉仪中宋简" w:eastAsia="汉仪中宋简" w:cs="汉仪中宋简"/>
          <w:sz w:val="24"/>
          <w:szCs w:val="32"/>
          <w:highlight w:val="none"/>
          <w:lang w:val="en-US" w:eastAsia="zh-CN"/>
        </w:rPr>
        <w:t>01-1. 团队问卷调查明细-厄贝沙坦氢氯噻嗪片用药体验与疗效反馈-患者调查问卷(广东省)</w:t>
      </w:r>
    </w:p>
    <w:p ns2:paraId="6A33FBAA">
      <w:pPr>
        <w:rPr>
          <w:rFonts w:hint="eastAsia" w:ascii="汉仪中宋简" w:hAnsi="汉仪中宋简" w:eastAsia="汉仪中宋简" w:cs="汉仪中宋简"/>
        </w:rPr>
      </w:pPr>
    </w:p>
    <w:p ns2:paraId="61B638CE">
      <w:pPr>
        <w:rPr>
          <w:rFonts w:hint="eastAsia" w:ascii="汉仪中宋简" w:hAnsi="汉仪中宋简" w:eastAsia="汉仪中宋简" w:cs="汉仪中宋简"/>
        </w:rPr>
      </w:pPr>
    </w:p>
    <w:p ns2:paraId="544422C2">
      <w:pPr>
        <w:rPr>
          <w:rFonts w:hint="eastAsia" w:ascii="汉仪中宋简" w:hAnsi="汉仪中宋简" w:eastAsia="汉仪中宋简" w:cs="汉仪中宋简"/>
        </w:rPr>
      </w:pPr>
      <w:r>
        <w:rPr>
          <w:rFonts w:hint="eastAsia" w:ascii="汉仪中宋简" w:hAnsi="汉仪中宋简" w:eastAsia="汉仪中宋简" w:cs="汉仪中宋简"/>
        </w:rPr>
        <w:br w:type="page"/>
      </w:r>
    </w:p>
    <w:p ns2:paraId="6101B089">
      <w:pPr>
        <w:pStyle w:val="2"/>
        <w:bidi w:val="0"/>
        <w:jc w:val="center"/>
        <w:rPr>
          <w:rFonts w:hint="eastAsia" w:ascii="汉仪中宋简" w:hAnsi="汉仪中宋简" w:eastAsia="汉仪中宋简" w:cs="汉仪中宋简"/>
        </w:rPr>
      </w:pPr>
      <w:bookmarkStart w:id="28" w:name="_Toc30276"/>
      <w:bookmarkStart w:id="29" w:name="_Toc8154"/>
      <w:r>
        <w:rPr>
          <w:rFonts w:hint="eastAsia" w:ascii="汉仪中宋简" w:hAnsi="汉仪中宋简" w:eastAsia="汉仪中宋简" w:cs="汉仪中宋简"/>
        </w:rPr>
        <w:t>免责申明</w:t>
      </w:r>
      <w:bookmarkEnd w:id="28"/>
      <w:bookmarkEnd w:id="29"/>
    </w:p>
    <w:p ns2:paraId="5D943D93">
      <w:pPr>
        <w:keepNext w:val="0"/>
        <w:keepLines w:val="0"/>
        <w:pageBreakBefore w:val="0"/>
        <w:widowControl w:val="0"/>
        <w:kinsoku/>
        <w:wordWrap/>
        <w:overflowPunct/>
        <w:topLinePunct w:val="0"/>
        <w:autoSpaceDE/>
        <w:autoSpaceDN/>
        <w:bidi w:val="0"/>
        <w:adjustRightInd/>
        <w:snapToGrid/>
        <w:spacing w:line="480" w:lineRule="auto"/>
        <w:textAlignment w:val="auto"/>
        <w:rPr>
          <w:rFonts w:hint="eastAsia" w:ascii="汉仪中宋简" w:hAnsi="汉仪中宋简" w:eastAsia="汉仪中宋简" w:cs="汉仪中宋简"/>
          <w:sz w:val="24"/>
          <w:szCs w:val="24"/>
        </w:rPr>
      </w:pPr>
      <w:r>
        <w:rPr>
          <w:rFonts w:hint="eastAsia" w:ascii="汉仪中宋简" w:hAnsi="汉仪中宋简" w:eastAsia="汉仪中宋简" w:cs="汉仪中宋简"/>
          <w:sz w:val="24"/>
          <w:szCs w:val="24"/>
        </w:rPr>
        <w:t xml:space="preserve">{{block.disclaimer.items}}</w:t>
      </w:r>
    </w:p>
    <w:p ns2:paraId="2B71D7B4">
      <w:pPr>
        <w:keepNext w:val="0"/>
        <w:keepLines w:val="0"/>
        <w:pageBreakBefore w:val="0"/>
        <w:widowControl w:val="0"/>
        <w:kinsoku/>
        <w:wordWrap/>
        <w:overflowPunct/>
        <w:topLinePunct w:val="0"/>
        <w:autoSpaceDE/>
        <w:autoSpaceDN/>
        <w:bidi w:val="0"/>
        <w:adjustRightInd/>
        <w:snapToGrid/>
        <w:spacing w:line="480" w:lineRule="auto"/>
        <w:jc w:val="right"/>
        <w:textAlignment w:val="auto"/>
        <w:rPr>
          <w:rFonts w:hint="eastAsia" w:ascii="汉仪中宋简" w:hAnsi="汉仪中宋简" w:eastAsia="汉仪中宋简" w:cs="汉仪中宋简"/>
          <w:sz w:val="24"/>
          <w:szCs w:val="24"/>
        </w:rPr>
      </w:pPr>
      <w:r>
        <w:rPr>
          <w:rFonts w:hint="eastAsia" w:ascii="汉仪中宋简" w:hAnsi="汉仪中宋简" w:eastAsia="汉仪中宋简" w:cs="汉仪中宋简"/>
          <w:sz w:val="24"/>
          <w:szCs w:val="24"/>
        </w:rPr>
        <w:t xml:space="preserve">服务提供单位:{{field.service.unit}}</w:t>
      </w:r>
      <w:r>
        <w:rPr>
          <w:rFonts w:hint="eastAsia" w:ascii="汉仪中宋简" w:hAnsi="汉仪中宋简" w:eastAsia="汉仪中宋简" w:cs="汉仪中宋简"/>
          <w:sz w:val="24"/>
          <w:szCs w:val="24"/>
          <w:lang w:val="en-US" w:eastAsia="zh-CN"/>
        </w:rPr>
        <w:t/>
      </w:r>
    </w:p>
    <w:p ns2:paraId="1D60D8EB">
      <w:pPr>
        <w:keepNext w:val="0"/>
        <w:keepLines w:val="0"/>
        <w:pageBreakBefore w:val="0"/>
        <w:widowControl w:val="0"/>
        <w:kinsoku/>
        <w:wordWrap/>
        <w:overflowPunct/>
        <w:topLinePunct w:val="0"/>
        <w:autoSpaceDE/>
        <w:autoSpaceDN/>
        <w:bidi w:val="0"/>
        <w:adjustRightInd/>
        <w:snapToGrid/>
        <w:spacing w:line="480" w:lineRule="auto"/>
        <w:jc w:val="right"/>
        <w:textAlignment w:val="auto"/>
        <w:rPr>
          <w:rFonts w:hint="eastAsia" w:ascii="汉仪中宋简" w:hAnsi="汉仪中宋简" w:eastAsia="汉仪中宋简" w:cs="汉仪中宋简"/>
          <w:lang w:val="en-US" w:eastAsia="zh-CN"/>
        </w:rPr>
      </w:pPr>
      <w:r>
        <w:rPr>
          <w:rFonts w:hint="eastAsia" w:ascii="汉仪中宋简" w:hAnsi="汉仪中宋简" w:eastAsia="汉仪中宋简" w:cs="汉仪中宋简"/>
          <w:sz w:val="24"/>
          <w:szCs w:val="24"/>
          <w:lang w:eastAsia="zh-CN"/>
        </w:rPr>
        <w:t xml:space="preserve">{{field.service.date}}</w:t>
      </w:r>
      <w:r>
        <w:rPr>
          <w:rFonts w:hint="eastAsia" w:ascii="汉仪中宋简" w:hAnsi="汉仪中宋简" w:eastAsia="汉仪中宋简" w:cs="汉仪中宋简"/>
          <w:sz w:val="24"/>
          <w:szCs w:val="24"/>
        </w:rPr>
        <w:t/>
      </w:r>
      <w:r>
        <w:rPr>
          <w:rFonts w:hint="eastAsia" w:ascii="汉仪中宋简" w:hAnsi="汉仪中宋简" w:eastAsia="汉仪中宋简" w:cs="汉仪中宋简"/>
          <w:sz w:val="24"/>
          <w:szCs w:val="24"/>
          <w:lang w:val="en-US" w:eastAsia="zh-CN"/>
        </w:rPr>
        <w:t/>
      </w:r>
      <w:r>
        <w:rPr>
          <w:rFonts w:hint="eastAsia" w:ascii="汉仪中宋简" w:hAnsi="汉仪中宋简" w:eastAsia="汉仪中宋简" w:cs="汉仪中宋简"/>
          <w:sz w:val="24"/>
          <w:szCs w:val="24"/>
        </w:rPr>
        <w:t/>
      </w:r>
      <w:r>
        <w:rPr>
          <w:rFonts w:hint="eastAsia" w:ascii="汉仪中宋简" w:hAnsi="汉仪中宋简" w:eastAsia="汉仪中宋简" w:cs="汉仪中宋简"/>
          <w:sz w:val="24"/>
          <w:szCs w:val="24"/>
          <w:lang w:val="en-US" w:eastAsia="zh-CN"/>
        </w:rPr>
        <w:t/>
      </w:r>
      <w:r>
        <w:rPr>
          <w:rFonts w:hint="eastAsia" w:ascii="汉仪中宋简" w:hAnsi="汉仪中宋简" w:eastAsia="汉仪中宋简" w:cs="汉仪中宋简"/>
          <w:sz w:val="24"/>
          <w:szCs w:val="24"/>
        </w:rPr>
        <w:t/>
      </w:r>
    </w:p>
    <w:sectPr>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decorative"/>
    <w:pitch w:val="default"/>
    <w:sig w:usb0="E0002EFF" w:usb1="C000785B" w:usb2="00000009" w:usb3="00000000" w:csb0="400001FF" w:csb1="FFFF0000"/>
  </w:font>
  <w:font w:name="宋体">
    <w:panose1 w:val="02010600030101010101"/>
    <w:charset w:val="80"/>
    <w:family w:val="roma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1" w:fontKey="{916C5615-01DB-4827-BD4E-F8610F5BD1FE}"/>
  </w:font>
  <w:font w:name="汉仪粗黑简">
    <w:panose1 w:val="02010600000101010101"/>
    <w:charset w:val="86"/>
    <w:family w:val="auto"/>
    <w:pitch w:val="default"/>
    <w:sig w:usb0="00000001" w:usb1="080E0800" w:usb2="00000002" w:usb3="00000000" w:csb0="00040000" w:csb1="00000000"/>
    <w:embedRegular r:id="rId2" w:fontKey="{D3E379EE-1C2C-4E0F-A61E-0A5D4F1DDB05}"/>
  </w:font>
  <w:font w:name="汉仪中宋简">
    <w:panose1 w:val="02010600000101010101"/>
    <w:charset w:val="80"/>
    <w:family w:val="auto"/>
    <w:pitch w:val="default"/>
    <w:sig w:usb0="800002BF" w:usb1="184F6CF8" w:usb2="00000012" w:usb3="00000000" w:csb0="00020001" w:csb1="00000000"/>
    <w:embedRegular r:id="rId3" w:fontKey="{E49E4BB4-9C54-44F1-84D6-2CCB9BE61129}"/>
  </w:font>
  <w:font w:name="汉仪元隆黑-105简">
    <w:panose1 w:val="00020600040101010101"/>
    <w:charset w:val="86"/>
    <w:family w:val="auto"/>
    <w:pitch w:val="default"/>
    <w:sig w:usb0="8000003F" w:usb1="1AC17CFA" w:usb2="00000016" w:usb3="00000000" w:csb0="0004009F" w:csb1="00000000"/>
    <w:embedRegular r:id="rId4" w:fontKey="{40560A2B-C648-4B1B-B617-701B83EC873A}"/>
  </w:font>
  <w:font w:name="WPSEMBED14">
    <w:panose1 w:val="02010600000101010101"/>
    <w:charset w:val="86"/>
    <w:family w:val="auto"/>
    <w:pitch w:val="default"/>
    <w:sig w:usb0="00000001" w:usb1="080E0800" w:usb2="00000002" w:usb3="00000000" w:csb0="00040000" w:csb1="00000000"/>
  </w:font>
  <w:font w:name="WPSEMBED15">
    <w:panose1 w:val="00020600040101010101"/>
    <w:charset w:val="86"/>
    <w:family w:val="auto"/>
    <w:pitch w:val="default"/>
    <w:sig w:usb0="8000003F" w:usb1="1AC17CFA" w:usb2="00000016" w:usb3="00000000" w:csb0="0004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A88EBE">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ACE882">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5A4DAF">
    <w:pPr>
      <w:pStyle w:val="5"/>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5D9F86">
                          <w:pPr>
                            <w:pStyle w:val="5"/>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55D9F86">
                    <w:pPr>
                      <w:pStyle w:val="5"/>
                    </w:pPr>
                    <w:r>
                      <w:fldChar w:fldCharType="begin"/>
                    </w:r>
                    <w:r>
                      <w:instrText xml:space="preserve"> PAGE  \* MERGEFORMAT </w:instrText>
                    </w:r>
                    <w:r>
                      <w:fldChar w:fldCharType="separate"/>
                    </w:r>
                    <w:r>
                      <w:t>2</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CBE0B2">
    <w:pPr>
      <w:pStyle w:val="6"/>
      <w:pBdr>
        <w:bottom w:val="single" w:color="auto" w:sz="4" w:space="1"/>
      </w:pBdr>
      <w:rPr>
        <w:rFonts w:hint="default"/>
        <w:lang w:val="en-US" w:eastAsia="zh-CN"/>
      </w:rPr>
    </w:pPr>
    <w:r>
      <w:rPr>
        <w:rFonts w:hint="eastAsia"/>
        <w:lang w:val="en-US" w:eastAsia="zh-CN"/>
      </w:rPr>
      <w:t>厄贝沙坦氢氯噻嗪片用药体验与疗效反馈患者调查问卷分析报告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A128A2"/>
    <w:multiLevelType w:val="singleLevel"/>
    <w:tmpl w:val="BAA128A2"/>
    <w:lvl w:ilvl="0" w:tentative="0">
      <w:start w:val="1"/>
      <w:numFmt w:val="decimal"/>
      <w:lvlText w:val="(%1)"/>
      <w:lvlJc w:val="left"/>
      <w:pPr>
        <w:ind w:left="425" w:hanging="425"/>
      </w:pPr>
      <w:rPr>
        <w:rFonts w:hint="default"/>
      </w:rPr>
    </w:lvl>
  </w:abstractNum>
  <w:abstractNum w:abstractNumId="1">
    <w:nsid w:val="C8B9116B"/>
    <w:multiLevelType w:val="singleLevel"/>
    <w:tmpl w:val="C8B9116B"/>
    <w:lvl w:ilvl="0" w:tentative="0">
      <w:start w:val="1"/>
      <w:numFmt w:val="decimal"/>
      <w:lvlText w:val="(%1)"/>
      <w:lvlJc w:val="left"/>
      <w:pPr>
        <w:ind w:left="425" w:hanging="425"/>
      </w:pPr>
      <w:rPr>
        <w:rFonts w:hint="default"/>
      </w:rPr>
    </w:lvl>
  </w:abstractNum>
  <w:abstractNum w:abstractNumId="2">
    <w:nsid w:val="036A05D1"/>
    <w:multiLevelType w:val="singleLevel"/>
    <w:tmpl w:val="036A05D1"/>
    <w:lvl w:ilvl="0" w:tentative="0">
      <w:start w:val="1"/>
      <w:numFmt w:val="upperLetter"/>
      <w:suff w:val="space"/>
      <w:lvlText w:val="%1."/>
      <w:lvlJc w:val="left"/>
    </w:lvl>
  </w:abstractNum>
  <w:abstractNum w:abstractNumId="3">
    <w:nsid w:val="072B0078"/>
    <w:multiLevelType w:val="singleLevel"/>
    <w:tmpl w:val="072B0078"/>
    <w:lvl w:ilvl="0" w:tentative="0">
      <w:start w:val="1"/>
      <w:numFmt w:val="decimal"/>
      <w:lvlText w:val="(%1)"/>
      <w:lvlJc w:val="left"/>
      <w:pPr>
        <w:ind w:left="425" w:hanging="425"/>
      </w:pPr>
      <w:rPr>
        <w:rFonts w:hint="default"/>
      </w:rPr>
    </w:lvl>
  </w:abstractNum>
  <w:abstractNum w:abstractNumId="4">
    <w:nsid w:val="1108D3A0"/>
    <w:multiLevelType w:val="singleLevel"/>
    <w:tmpl w:val="1108D3A0"/>
    <w:lvl w:ilvl="0" w:tentative="0">
      <w:start w:val="1"/>
      <w:numFmt w:val="decimal"/>
      <w:lvlText w:val="(%1)"/>
      <w:lvlJc w:val="left"/>
      <w:pPr>
        <w:ind w:left="425" w:hanging="425"/>
      </w:pPr>
      <w:rPr>
        <w:rFonts w:hint="default"/>
      </w:rPr>
    </w:lvl>
  </w:abstractNum>
  <w:abstractNum w:abstractNumId="5">
    <w:nsid w:val="2D9BC5AA"/>
    <w:multiLevelType w:val="singleLevel"/>
    <w:tmpl w:val="2D9BC5AA"/>
    <w:lvl w:ilvl="0" w:tentative="0">
      <w:start w:val="1"/>
      <w:numFmt w:val="chineseCounting"/>
      <w:suff w:val="nothing"/>
      <w:lvlText w:val="%1、"/>
      <w:lvlJc w:val="left"/>
      <w:rPr>
        <w:rFonts w:hint="eastAsia"/>
      </w:rPr>
    </w:lvl>
  </w:abstractNum>
  <w:abstractNum w:abstractNumId="6">
    <w:nsid w:val="30E93D70"/>
    <w:multiLevelType w:val="singleLevel"/>
    <w:tmpl w:val="30E93D70"/>
    <w:lvl w:ilvl="0" w:tentative="0">
      <w:start w:val="1"/>
      <w:numFmt w:val="decimal"/>
      <w:lvlText w:val="(%1)"/>
      <w:lvlJc w:val="left"/>
      <w:pPr>
        <w:ind w:left="425" w:hanging="425"/>
      </w:pPr>
      <w:rPr>
        <w:rFonts w:hint="default"/>
      </w:rPr>
    </w:lvl>
  </w:abstractNum>
  <w:abstractNum w:abstractNumId="7">
    <w:nsid w:val="364EF7CF"/>
    <w:multiLevelType w:val="singleLevel"/>
    <w:tmpl w:val="364EF7CF"/>
    <w:lvl w:ilvl="0" w:tentative="0">
      <w:start w:val="1"/>
      <w:numFmt w:val="decimal"/>
      <w:lvlText w:val="(%1)"/>
      <w:lvlJc w:val="left"/>
      <w:pPr>
        <w:ind w:left="425" w:hanging="425"/>
      </w:pPr>
      <w:rPr>
        <w:rFonts w:hint="default"/>
      </w:rPr>
    </w:lvl>
  </w:abstractNum>
  <w:abstractNum w:abstractNumId="8">
    <w:nsid w:val="4CC8A90B"/>
    <w:multiLevelType w:val="singleLevel"/>
    <w:tmpl w:val="4CC8A90B"/>
    <w:lvl w:ilvl="0" w:tentative="0">
      <w:start w:val="1"/>
      <w:numFmt w:val="decimal"/>
      <w:lvlText w:val="(%1)"/>
      <w:lvlJc w:val="left"/>
      <w:pPr>
        <w:ind w:left="425" w:hanging="425"/>
      </w:pPr>
      <w:rPr>
        <w:rFonts w:hint="default"/>
      </w:rPr>
    </w:lvl>
  </w:abstractNum>
  <w:abstractNum w:abstractNumId="9">
    <w:nsid w:val="514C377C"/>
    <w:multiLevelType w:val="singleLevel"/>
    <w:tmpl w:val="514C377C"/>
    <w:lvl w:ilvl="0" w:tentative="0">
      <w:start w:val="1"/>
      <w:numFmt w:val="upperLetter"/>
      <w:suff w:val="space"/>
      <w:lvlText w:val="%1."/>
      <w:lvlJc w:val="left"/>
    </w:lvl>
  </w:abstractNum>
  <w:abstractNum w:abstractNumId="10">
    <w:nsid w:val="76A2585A"/>
    <w:multiLevelType w:val="singleLevel"/>
    <w:tmpl w:val="76A2585A"/>
    <w:lvl w:ilvl="0" w:tentative="0">
      <w:start w:val="1"/>
      <w:numFmt w:val="decimal"/>
      <w:lvlText w:val="(%1)"/>
      <w:lvlJc w:val="left"/>
      <w:pPr>
        <w:ind w:left="425" w:hanging="425"/>
      </w:pPr>
      <w:rPr>
        <w:rFonts w:hint="default"/>
      </w:rPr>
    </w:lvl>
  </w:abstractNum>
  <w:num w:numId="1">
    <w:abstractNumId w:val="5"/>
  </w:num>
  <w:num w:numId="2">
    <w:abstractNumId w:val="7"/>
  </w:num>
  <w:num w:numId="3">
    <w:abstractNumId w:val="0"/>
  </w:num>
  <w:num w:numId="4">
    <w:abstractNumId w:val="10"/>
  </w:num>
  <w:num w:numId="5">
    <w:abstractNumId w:val="1"/>
  </w:num>
  <w:num w:numId="6">
    <w:abstractNumId w:val="8"/>
  </w:num>
  <w:num w:numId="7">
    <w:abstractNumId w:val="4"/>
  </w:num>
  <w:num w:numId="8">
    <w:abstractNumId w:val="6"/>
  </w:num>
  <w:num w:numId="9">
    <w:abstractNumId w:val="3"/>
  </w:num>
  <w:num w:numId="10">
    <w:abstractNumId w:val="2"/>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5ZGQ5ZWQ1MmJhMGZkNmYwMjg3MjM4MGI4MGE3YjQifQ=="/>
  </w:docVars>
  <w:rsids>
    <w:rsidRoot w:val="00172A27"/>
    <w:rsid w:val="00115AC3"/>
    <w:rsid w:val="003A6B66"/>
    <w:rsid w:val="006E0802"/>
    <w:rsid w:val="00870763"/>
    <w:rsid w:val="00A566D5"/>
    <w:rsid w:val="00A80AAC"/>
    <w:rsid w:val="00B87A8B"/>
    <w:rsid w:val="00D5688F"/>
    <w:rsid w:val="00DF3269"/>
    <w:rsid w:val="00F143F4"/>
    <w:rsid w:val="011473B7"/>
    <w:rsid w:val="014E5AB0"/>
    <w:rsid w:val="015D278A"/>
    <w:rsid w:val="01761E20"/>
    <w:rsid w:val="01921BA8"/>
    <w:rsid w:val="01B071AF"/>
    <w:rsid w:val="01F9628B"/>
    <w:rsid w:val="0224362A"/>
    <w:rsid w:val="022D1E3A"/>
    <w:rsid w:val="023451DC"/>
    <w:rsid w:val="028D7F54"/>
    <w:rsid w:val="02A1111E"/>
    <w:rsid w:val="02A14C7A"/>
    <w:rsid w:val="02A66735"/>
    <w:rsid w:val="02C44BAF"/>
    <w:rsid w:val="034E3B00"/>
    <w:rsid w:val="03A91663"/>
    <w:rsid w:val="04511E3D"/>
    <w:rsid w:val="04DF7CDC"/>
    <w:rsid w:val="04E92909"/>
    <w:rsid w:val="04F068B8"/>
    <w:rsid w:val="050339CA"/>
    <w:rsid w:val="051C1B5A"/>
    <w:rsid w:val="05322502"/>
    <w:rsid w:val="0559183C"/>
    <w:rsid w:val="055F2BCB"/>
    <w:rsid w:val="056B3129"/>
    <w:rsid w:val="058F34B0"/>
    <w:rsid w:val="05C018BB"/>
    <w:rsid w:val="05E90CD0"/>
    <w:rsid w:val="05EA06E6"/>
    <w:rsid w:val="0616772D"/>
    <w:rsid w:val="06484524"/>
    <w:rsid w:val="06512D33"/>
    <w:rsid w:val="067A14B5"/>
    <w:rsid w:val="0680104B"/>
    <w:rsid w:val="06A37841"/>
    <w:rsid w:val="07234289"/>
    <w:rsid w:val="0768220B"/>
    <w:rsid w:val="07D94EB6"/>
    <w:rsid w:val="081E2791"/>
    <w:rsid w:val="08455529"/>
    <w:rsid w:val="08471B07"/>
    <w:rsid w:val="0893471C"/>
    <w:rsid w:val="08A019CA"/>
    <w:rsid w:val="08A116F6"/>
    <w:rsid w:val="08C81683"/>
    <w:rsid w:val="08D97F17"/>
    <w:rsid w:val="08F71A98"/>
    <w:rsid w:val="09185D37"/>
    <w:rsid w:val="091E6200"/>
    <w:rsid w:val="09291197"/>
    <w:rsid w:val="09772BD9"/>
    <w:rsid w:val="09DC6722"/>
    <w:rsid w:val="0A0F696E"/>
    <w:rsid w:val="0A576E8B"/>
    <w:rsid w:val="0A5B0B52"/>
    <w:rsid w:val="0AB63A17"/>
    <w:rsid w:val="0B1F33EE"/>
    <w:rsid w:val="0B494101"/>
    <w:rsid w:val="0B500BE0"/>
    <w:rsid w:val="0B767ABF"/>
    <w:rsid w:val="0B8F622A"/>
    <w:rsid w:val="0B9124F0"/>
    <w:rsid w:val="0BA17A09"/>
    <w:rsid w:val="0C0A7D34"/>
    <w:rsid w:val="0C3B4EC0"/>
    <w:rsid w:val="0C4C20FB"/>
    <w:rsid w:val="0C6831D4"/>
    <w:rsid w:val="0C935725"/>
    <w:rsid w:val="0CB06EE6"/>
    <w:rsid w:val="0CB84064"/>
    <w:rsid w:val="0CE05F94"/>
    <w:rsid w:val="0CE642FD"/>
    <w:rsid w:val="0D305579"/>
    <w:rsid w:val="0D642486"/>
    <w:rsid w:val="0D8B6C53"/>
    <w:rsid w:val="0D9E5A21"/>
    <w:rsid w:val="0DE60CCA"/>
    <w:rsid w:val="0E1327A4"/>
    <w:rsid w:val="0E2A1FC8"/>
    <w:rsid w:val="0E353822"/>
    <w:rsid w:val="0E7B6CC7"/>
    <w:rsid w:val="0E937761"/>
    <w:rsid w:val="0EA855E3"/>
    <w:rsid w:val="0EBB1744"/>
    <w:rsid w:val="0EC37DD2"/>
    <w:rsid w:val="0F120ABD"/>
    <w:rsid w:val="0F1D3EC4"/>
    <w:rsid w:val="0F24110D"/>
    <w:rsid w:val="0F7F00F1"/>
    <w:rsid w:val="0FCB3337"/>
    <w:rsid w:val="0FDD21EC"/>
    <w:rsid w:val="0FDF6DE2"/>
    <w:rsid w:val="10366FB9"/>
    <w:rsid w:val="103C5FE2"/>
    <w:rsid w:val="107F04D7"/>
    <w:rsid w:val="10B36F25"/>
    <w:rsid w:val="10BD5D42"/>
    <w:rsid w:val="10CB381A"/>
    <w:rsid w:val="10E0013B"/>
    <w:rsid w:val="115577AF"/>
    <w:rsid w:val="116636F0"/>
    <w:rsid w:val="116C28F7"/>
    <w:rsid w:val="11765524"/>
    <w:rsid w:val="118F39F0"/>
    <w:rsid w:val="11923F5B"/>
    <w:rsid w:val="11FD79F3"/>
    <w:rsid w:val="12217B86"/>
    <w:rsid w:val="12A7643B"/>
    <w:rsid w:val="12E865C3"/>
    <w:rsid w:val="12F9379A"/>
    <w:rsid w:val="130A686C"/>
    <w:rsid w:val="132F1E2E"/>
    <w:rsid w:val="139A199E"/>
    <w:rsid w:val="13AB5686"/>
    <w:rsid w:val="13F24D75"/>
    <w:rsid w:val="14184FB8"/>
    <w:rsid w:val="1495298C"/>
    <w:rsid w:val="14B71CD0"/>
    <w:rsid w:val="14C376F9"/>
    <w:rsid w:val="14F450DE"/>
    <w:rsid w:val="150F1F18"/>
    <w:rsid w:val="15183504"/>
    <w:rsid w:val="1574621E"/>
    <w:rsid w:val="15BC31A1"/>
    <w:rsid w:val="15C50828"/>
    <w:rsid w:val="15CF16A7"/>
    <w:rsid w:val="15D46CBD"/>
    <w:rsid w:val="15F10C2F"/>
    <w:rsid w:val="160F1869"/>
    <w:rsid w:val="165C118C"/>
    <w:rsid w:val="165D2B8A"/>
    <w:rsid w:val="16751C00"/>
    <w:rsid w:val="16CA259A"/>
    <w:rsid w:val="16D90A2F"/>
    <w:rsid w:val="16E3365C"/>
    <w:rsid w:val="1731510D"/>
    <w:rsid w:val="177E552D"/>
    <w:rsid w:val="17852965"/>
    <w:rsid w:val="17930E82"/>
    <w:rsid w:val="17E56F60"/>
    <w:rsid w:val="17F15FAE"/>
    <w:rsid w:val="1816180F"/>
    <w:rsid w:val="18165BC0"/>
    <w:rsid w:val="181F19E3"/>
    <w:rsid w:val="18277578"/>
    <w:rsid w:val="18512847"/>
    <w:rsid w:val="185A0482"/>
    <w:rsid w:val="186C7681"/>
    <w:rsid w:val="187A7FF0"/>
    <w:rsid w:val="188A386F"/>
    <w:rsid w:val="18A87A9A"/>
    <w:rsid w:val="18DA45EA"/>
    <w:rsid w:val="18F17B89"/>
    <w:rsid w:val="190175E5"/>
    <w:rsid w:val="194B7296"/>
    <w:rsid w:val="195920A9"/>
    <w:rsid w:val="19B906A4"/>
    <w:rsid w:val="19F94F44"/>
    <w:rsid w:val="1A813C91"/>
    <w:rsid w:val="1ACC5A4B"/>
    <w:rsid w:val="1AFB72AE"/>
    <w:rsid w:val="1B0D514B"/>
    <w:rsid w:val="1B281F85"/>
    <w:rsid w:val="1B652C55"/>
    <w:rsid w:val="1B8847D2"/>
    <w:rsid w:val="1BDE4794"/>
    <w:rsid w:val="1BE13EE2"/>
    <w:rsid w:val="1BE67E80"/>
    <w:rsid w:val="1BF26033"/>
    <w:rsid w:val="1C1F7144"/>
    <w:rsid w:val="1C2002B7"/>
    <w:rsid w:val="1C33298F"/>
    <w:rsid w:val="1C636C39"/>
    <w:rsid w:val="1C7106F0"/>
    <w:rsid w:val="1CA53161"/>
    <w:rsid w:val="1CB533A4"/>
    <w:rsid w:val="1CEF446B"/>
    <w:rsid w:val="1CF531D1"/>
    <w:rsid w:val="1D3544E5"/>
    <w:rsid w:val="1D945A3B"/>
    <w:rsid w:val="1DAB29F9"/>
    <w:rsid w:val="1DBA5174"/>
    <w:rsid w:val="1DC046F7"/>
    <w:rsid w:val="1DF61EC7"/>
    <w:rsid w:val="1E116D00"/>
    <w:rsid w:val="1E124D0F"/>
    <w:rsid w:val="1E15334A"/>
    <w:rsid w:val="1E6E1383"/>
    <w:rsid w:val="1E6E272B"/>
    <w:rsid w:val="1E814709"/>
    <w:rsid w:val="1EA01E32"/>
    <w:rsid w:val="1EAC5247"/>
    <w:rsid w:val="1EDC730E"/>
    <w:rsid w:val="1F370A48"/>
    <w:rsid w:val="1F4367BC"/>
    <w:rsid w:val="1FBA3134"/>
    <w:rsid w:val="1FE951F7"/>
    <w:rsid w:val="203A6774"/>
    <w:rsid w:val="208A1A2D"/>
    <w:rsid w:val="208F215E"/>
    <w:rsid w:val="209C2AB0"/>
    <w:rsid w:val="20A83220"/>
    <w:rsid w:val="20E57FD0"/>
    <w:rsid w:val="215E4EE8"/>
    <w:rsid w:val="21B463FC"/>
    <w:rsid w:val="21DD6EFA"/>
    <w:rsid w:val="21DF298D"/>
    <w:rsid w:val="21E45038"/>
    <w:rsid w:val="225418B2"/>
    <w:rsid w:val="225F0C79"/>
    <w:rsid w:val="22761828"/>
    <w:rsid w:val="229E48DB"/>
    <w:rsid w:val="22B97967"/>
    <w:rsid w:val="22D36C7A"/>
    <w:rsid w:val="22FD5AA5"/>
    <w:rsid w:val="232272BA"/>
    <w:rsid w:val="233B6F8E"/>
    <w:rsid w:val="236D16F9"/>
    <w:rsid w:val="23767606"/>
    <w:rsid w:val="23A70B19"/>
    <w:rsid w:val="23B4085A"/>
    <w:rsid w:val="23CD191B"/>
    <w:rsid w:val="23DE7F31"/>
    <w:rsid w:val="23E80503"/>
    <w:rsid w:val="23EB1DA2"/>
    <w:rsid w:val="24343749"/>
    <w:rsid w:val="243451F1"/>
    <w:rsid w:val="24637B8A"/>
    <w:rsid w:val="247D37DD"/>
    <w:rsid w:val="24816262"/>
    <w:rsid w:val="24AD5661"/>
    <w:rsid w:val="24BB1774"/>
    <w:rsid w:val="24FF3D57"/>
    <w:rsid w:val="25501043"/>
    <w:rsid w:val="2572277A"/>
    <w:rsid w:val="259E22CD"/>
    <w:rsid w:val="25C32FD6"/>
    <w:rsid w:val="25F61A23"/>
    <w:rsid w:val="264B4D7A"/>
    <w:rsid w:val="267F0A80"/>
    <w:rsid w:val="267F462A"/>
    <w:rsid w:val="26914DED"/>
    <w:rsid w:val="26D60AE7"/>
    <w:rsid w:val="26FE3B9A"/>
    <w:rsid w:val="27BF157B"/>
    <w:rsid w:val="28100433"/>
    <w:rsid w:val="281236EF"/>
    <w:rsid w:val="2818512F"/>
    <w:rsid w:val="284B1152"/>
    <w:rsid w:val="28547D0B"/>
    <w:rsid w:val="285642D5"/>
    <w:rsid w:val="286F399E"/>
    <w:rsid w:val="28956780"/>
    <w:rsid w:val="289A78F2"/>
    <w:rsid w:val="28B9246E"/>
    <w:rsid w:val="28E42C08"/>
    <w:rsid w:val="2901038D"/>
    <w:rsid w:val="29115675"/>
    <w:rsid w:val="299762DC"/>
    <w:rsid w:val="29CB0601"/>
    <w:rsid w:val="2A14048F"/>
    <w:rsid w:val="2A2B5E5C"/>
    <w:rsid w:val="2A3049B2"/>
    <w:rsid w:val="2A451994"/>
    <w:rsid w:val="2A522B7B"/>
    <w:rsid w:val="2A6E1037"/>
    <w:rsid w:val="2A8B3997"/>
    <w:rsid w:val="2AAB7789"/>
    <w:rsid w:val="2ABE3D6C"/>
    <w:rsid w:val="2ADA00F5"/>
    <w:rsid w:val="2AEC6B2B"/>
    <w:rsid w:val="2B1E7CFB"/>
    <w:rsid w:val="2B282108"/>
    <w:rsid w:val="2B2B291F"/>
    <w:rsid w:val="2B413AB8"/>
    <w:rsid w:val="2B6052C0"/>
    <w:rsid w:val="2B65243A"/>
    <w:rsid w:val="2BA54F2C"/>
    <w:rsid w:val="2BC1575F"/>
    <w:rsid w:val="2BF04D49"/>
    <w:rsid w:val="2C277C1E"/>
    <w:rsid w:val="2C2E0A7D"/>
    <w:rsid w:val="2C686611"/>
    <w:rsid w:val="2C691F08"/>
    <w:rsid w:val="2C752B50"/>
    <w:rsid w:val="2CBC6463"/>
    <w:rsid w:val="2CC11743"/>
    <w:rsid w:val="2CD2650A"/>
    <w:rsid w:val="2CD51B1F"/>
    <w:rsid w:val="2D1F65F8"/>
    <w:rsid w:val="2D5E1836"/>
    <w:rsid w:val="2D67693D"/>
    <w:rsid w:val="2D821BBD"/>
    <w:rsid w:val="2D8F19F0"/>
    <w:rsid w:val="2DBA2F11"/>
    <w:rsid w:val="2DD218DC"/>
    <w:rsid w:val="2DD647D7"/>
    <w:rsid w:val="2DF4043C"/>
    <w:rsid w:val="2E2204B6"/>
    <w:rsid w:val="2E4E18AB"/>
    <w:rsid w:val="2E7A61FC"/>
    <w:rsid w:val="2E8762A6"/>
    <w:rsid w:val="2E882855"/>
    <w:rsid w:val="2E9F64F2"/>
    <w:rsid w:val="2EC102CF"/>
    <w:rsid w:val="2EC90F31"/>
    <w:rsid w:val="2ED3341D"/>
    <w:rsid w:val="2ED3590C"/>
    <w:rsid w:val="2EED10C4"/>
    <w:rsid w:val="2F0361F1"/>
    <w:rsid w:val="2F4F58DB"/>
    <w:rsid w:val="2FA15A0A"/>
    <w:rsid w:val="2FAA1469"/>
    <w:rsid w:val="301A16BC"/>
    <w:rsid w:val="3034105F"/>
    <w:rsid w:val="303F76FD"/>
    <w:rsid w:val="308A4FF7"/>
    <w:rsid w:val="30A27C8C"/>
    <w:rsid w:val="30EC0F07"/>
    <w:rsid w:val="3135465C"/>
    <w:rsid w:val="315E4CA9"/>
    <w:rsid w:val="31692558"/>
    <w:rsid w:val="31807FCD"/>
    <w:rsid w:val="318501E2"/>
    <w:rsid w:val="31945827"/>
    <w:rsid w:val="31D64091"/>
    <w:rsid w:val="31EA69B8"/>
    <w:rsid w:val="32220A03"/>
    <w:rsid w:val="3244724D"/>
    <w:rsid w:val="3281224F"/>
    <w:rsid w:val="32B029E9"/>
    <w:rsid w:val="32DA2ABE"/>
    <w:rsid w:val="32E93950"/>
    <w:rsid w:val="32FD11AA"/>
    <w:rsid w:val="33114C55"/>
    <w:rsid w:val="33153347"/>
    <w:rsid w:val="332E1CAB"/>
    <w:rsid w:val="33963E2B"/>
    <w:rsid w:val="33A04957"/>
    <w:rsid w:val="33A1247D"/>
    <w:rsid w:val="33AB32FB"/>
    <w:rsid w:val="33F14D68"/>
    <w:rsid w:val="33FE78CF"/>
    <w:rsid w:val="34362F96"/>
    <w:rsid w:val="346A2C09"/>
    <w:rsid w:val="346D235F"/>
    <w:rsid w:val="346F60D7"/>
    <w:rsid w:val="34B260C8"/>
    <w:rsid w:val="34BF705E"/>
    <w:rsid w:val="34D523DE"/>
    <w:rsid w:val="34D80120"/>
    <w:rsid w:val="34E22D4D"/>
    <w:rsid w:val="354B26A0"/>
    <w:rsid w:val="359A460D"/>
    <w:rsid w:val="35BF4E3C"/>
    <w:rsid w:val="35E84393"/>
    <w:rsid w:val="363B2715"/>
    <w:rsid w:val="36606EC6"/>
    <w:rsid w:val="368247AC"/>
    <w:rsid w:val="37184804"/>
    <w:rsid w:val="371E0070"/>
    <w:rsid w:val="372E4027"/>
    <w:rsid w:val="376734F4"/>
    <w:rsid w:val="379921C2"/>
    <w:rsid w:val="37EA4306"/>
    <w:rsid w:val="384D672F"/>
    <w:rsid w:val="39002FB3"/>
    <w:rsid w:val="390C0398"/>
    <w:rsid w:val="390E2362"/>
    <w:rsid w:val="390E2462"/>
    <w:rsid w:val="39170C92"/>
    <w:rsid w:val="391D4354"/>
    <w:rsid w:val="392E47B3"/>
    <w:rsid w:val="395466E3"/>
    <w:rsid w:val="39921705"/>
    <w:rsid w:val="39A678B1"/>
    <w:rsid w:val="39DC77C9"/>
    <w:rsid w:val="39EC1AC0"/>
    <w:rsid w:val="3A0F5F29"/>
    <w:rsid w:val="3A1F5EA9"/>
    <w:rsid w:val="3A295F9B"/>
    <w:rsid w:val="3A2C3979"/>
    <w:rsid w:val="3A4B6C9E"/>
    <w:rsid w:val="3A5C70FE"/>
    <w:rsid w:val="3A7D5381"/>
    <w:rsid w:val="3ACA5A0A"/>
    <w:rsid w:val="3AEC66D3"/>
    <w:rsid w:val="3AFA0DF0"/>
    <w:rsid w:val="3B4D0803"/>
    <w:rsid w:val="3B64626A"/>
    <w:rsid w:val="3BDE6803"/>
    <w:rsid w:val="3C08753D"/>
    <w:rsid w:val="3C495460"/>
    <w:rsid w:val="3C5502A8"/>
    <w:rsid w:val="3C5E2583"/>
    <w:rsid w:val="3C687FDC"/>
    <w:rsid w:val="3C6E6982"/>
    <w:rsid w:val="3C862FBA"/>
    <w:rsid w:val="3C991F43"/>
    <w:rsid w:val="3D381350"/>
    <w:rsid w:val="3D780336"/>
    <w:rsid w:val="3D803103"/>
    <w:rsid w:val="3D8A5D30"/>
    <w:rsid w:val="3DA825AF"/>
    <w:rsid w:val="3DC47C3F"/>
    <w:rsid w:val="3DEB4A20"/>
    <w:rsid w:val="3DF257B2"/>
    <w:rsid w:val="3DF77869"/>
    <w:rsid w:val="3E086884"/>
    <w:rsid w:val="3E734A16"/>
    <w:rsid w:val="3EA82911"/>
    <w:rsid w:val="3F0965F9"/>
    <w:rsid w:val="3F0E5A67"/>
    <w:rsid w:val="3F2C09B1"/>
    <w:rsid w:val="3F740A45"/>
    <w:rsid w:val="3F8B219C"/>
    <w:rsid w:val="3FB456CB"/>
    <w:rsid w:val="407C4056"/>
    <w:rsid w:val="40D02F9B"/>
    <w:rsid w:val="40EE08A2"/>
    <w:rsid w:val="40EF4858"/>
    <w:rsid w:val="40F1696F"/>
    <w:rsid w:val="40F2256A"/>
    <w:rsid w:val="40FE0993"/>
    <w:rsid w:val="412224FD"/>
    <w:rsid w:val="41362456"/>
    <w:rsid w:val="41384420"/>
    <w:rsid w:val="41A53138"/>
    <w:rsid w:val="41B132F0"/>
    <w:rsid w:val="41F540C0"/>
    <w:rsid w:val="41F8593B"/>
    <w:rsid w:val="4230130C"/>
    <w:rsid w:val="424F183F"/>
    <w:rsid w:val="42636F27"/>
    <w:rsid w:val="42664FBD"/>
    <w:rsid w:val="426B5FFB"/>
    <w:rsid w:val="42772A73"/>
    <w:rsid w:val="42A65516"/>
    <w:rsid w:val="42C910A8"/>
    <w:rsid w:val="42F9198D"/>
    <w:rsid w:val="42FC167C"/>
    <w:rsid w:val="43217136"/>
    <w:rsid w:val="433F7758"/>
    <w:rsid w:val="439B2A45"/>
    <w:rsid w:val="43A54F96"/>
    <w:rsid w:val="43CC0E50"/>
    <w:rsid w:val="44590106"/>
    <w:rsid w:val="44625310"/>
    <w:rsid w:val="44831180"/>
    <w:rsid w:val="44C8711D"/>
    <w:rsid w:val="45151F83"/>
    <w:rsid w:val="453E18DA"/>
    <w:rsid w:val="455235D7"/>
    <w:rsid w:val="460743C1"/>
    <w:rsid w:val="46380A1F"/>
    <w:rsid w:val="463827CD"/>
    <w:rsid w:val="469228C4"/>
    <w:rsid w:val="46965745"/>
    <w:rsid w:val="46EA1201"/>
    <w:rsid w:val="471274C2"/>
    <w:rsid w:val="47AD0F98"/>
    <w:rsid w:val="47B0504B"/>
    <w:rsid w:val="47EF74AA"/>
    <w:rsid w:val="48233009"/>
    <w:rsid w:val="486309CF"/>
    <w:rsid w:val="48735D3E"/>
    <w:rsid w:val="488B0FC5"/>
    <w:rsid w:val="488C6E00"/>
    <w:rsid w:val="48950BDB"/>
    <w:rsid w:val="48A92658"/>
    <w:rsid w:val="48CB154A"/>
    <w:rsid w:val="48E82B89"/>
    <w:rsid w:val="48F350D1"/>
    <w:rsid w:val="49115557"/>
    <w:rsid w:val="49155047"/>
    <w:rsid w:val="49254325"/>
    <w:rsid w:val="49675177"/>
    <w:rsid w:val="49A01D61"/>
    <w:rsid w:val="49EB2377"/>
    <w:rsid w:val="4A1277D9"/>
    <w:rsid w:val="4A26699A"/>
    <w:rsid w:val="4A8A4B54"/>
    <w:rsid w:val="4ACC3E2B"/>
    <w:rsid w:val="4ACC47A3"/>
    <w:rsid w:val="4B052E99"/>
    <w:rsid w:val="4B1E132F"/>
    <w:rsid w:val="4B27776C"/>
    <w:rsid w:val="4B3519D1"/>
    <w:rsid w:val="4B35552D"/>
    <w:rsid w:val="4B9A5CD8"/>
    <w:rsid w:val="4BA64CEC"/>
    <w:rsid w:val="4BBB5B68"/>
    <w:rsid w:val="4BBE6EC5"/>
    <w:rsid w:val="4BC25D7D"/>
    <w:rsid w:val="4BC74433"/>
    <w:rsid w:val="4BDE7972"/>
    <w:rsid w:val="4BE8259F"/>
    <w:rsid w:val="4C0516D1"/>
    <w:rsid w:val="4C194E4E"/>
    <w:rsid w:val="4C2757BD"/>
    <w:rsid w:val="4C4F3C91"/>
    <w:rsid w:val="4C5A2FDC"/>
    <w:rsid w:val="4C680B4F"/>
    <w:rsid w:val="4C7347DE"/>
    <w:rsid w:val="4C8F6EBF"/>
    <w:rsid w:val="4CA30308"/>
    <w:rsid w:val="4CB67BF1"/>
    <w:rsid w:val="4CE622C3"/>
    <w:rsid w:val="4D1A2C2C"/>
    <w:rsid w:val="4D2C6110"/>
    <w:rsid w:val="4D357A66"/>
    <w:rsid w:val="4D7560B4"/>
    <w:rsid w:val="4D8E53C8"/>
    <w:rsid w:val="4DA92202"/>
    <w:rsid w:val="4DD51249"/>
    <w:rsid w:val="4E6E7AAD"/>
    <w:rsid w:val="4E946A0E"/>
    <w:rsid w:val="4EB81536"/>
    <w:rsid w:val="4EBB2485"/>
    <w:rsid w:val="4ECA19FE"/>
    <w:rsid w:val="4EE21425"/>
    <w:rsid w:val="4EEF1E97"/>
    <w:rsid w:val="4F1870FF"/>
    <w:rsid w:val="4F801EFF"/>
    <w:rsid w:val="4FAE58AE"/>
    <w:rsid w:val="4FC77E70"/>
    <w:rsid w:val="5019366F"/>
    <w:rsid w:val="5019541D"/>
    <w:rsid w:val="50266224"/>
    <w:rsid w:val="5031074C"/>
    <w:rsid w:val="504E6532"/>
    <w:rsid w:val="506A793C"/>
    <w:rsid w:val="50AC6075"/>
    <w:rsid w:val="50FD0F68"/>
    <w:rsid w:val="511B6F73"/>
    <w:rsid w:val="512E185C"/>
    <w:rsid w:val="514C730E"/>
    <w:rsid w:val="518670D6"/>
    <w:rsid w:val="51A46F68"/>
    <w:rsid w:val="51D535C6"/>
    <w:rsid w:val="51EA18B0"/>
    <w:rsid w:val="52197E96"/>
    <w:rsid w:val="52224331"/>
    <w:rsid w:val="522B7478"/>
    <w:rsid w:val="523A78CD"/>
    <w:rsid w:val="52616BAE"/>
    <w:rsid w:val="52A01E26"/>
    <w:rsid w:val="52AF16AD"/>
    <w:rsid w:val="52B72CCB"/>
    <w:rsid w:val="52B9474D"/>
    <w:rsid w:val="52FB3500"/>
    <w:rsid w:val="530879CB"/>
    <w:rsid w:val="53702DD7"/>
    <w:rsid w:val="538C6936"/>
    <w:rsid w:val="53A6376C"/>
    <w:rsid w:val="543C16DA"/>
    <w:rsid w:val="54BD27CE"/>
    <w:rsid w:val="54D943F6"/>
    <w:rsid w:val="55452810"/>
    <w:rsid w:val="55FC3817"/>
    <w:rsid w:val="562C1C22"/>
    <w:rsid w:val="56777156"/>
    <w:rsid w:val="568F4D4F"/>
    <w:rsid w:val="56927CD7"/>
    <w:rsid w:val="56AB0D99"/>
    <w:rsid w:val="56B75990"/>
    <w:rsid w:val="56C105BC"/>
    <w:rsid w:val="56C43C09"/>
    <w:rsid w:val="56D02B61"/>
    <w:rsid w:val="56D6406E"/>
    <w:rsid w:val="570A1F63"/>
    <w:rsid w:val="571C7539"/>
    <w:rsid w:val="572B1EDA"/>
    <w:rsid w:val="578A6C00"/>
    <w:rsid w:val="5797131D"/>
    <w:rsid w:val="57997088"/>
    <w:rsid w:val="57B819BF"/>
    <w:rsid w:val="57EA3B43"/>
    <w:rsid w:val="58022C3B"/>
    <w:rsid w:val="58490869"/>
    <w:rsid w:val="58690AF4"/>
    <w:rsid w:val="58920462"/>
    <w:rsid w:val="589917F1"/>
    <w:rsid w:val="58D63E23"/>
    <w:rsid w:val="59082C0D"/>
    <w:rsid w:val="59142C25"/>
    <w:rsid w:val="59367D0E"/>
    <w:rsid w:val="596E218B"/>
    <w:rsid w:val="59BB284B"/>
    <w:rsid w:val="59D03FE9"/>
    <w:rsid w:val="5A0802B0"/>
    <w:rsid w:val="5A647BDD"/>
    <w:rsid w:val="5A820063"/>
    <w:rsid w:val="5AAC3332"/>
    <w:rsid w:val="5AB242ED"/>
    <w:rsid w:val="5AD3266C"/>
    <w:rsid w:val="5AD84127"/>
    <w:rsid w:val="5AF01470"/>
    <w:rsid w:val="5B0E7B48"/>
    <w:rsid w:val="5B172023"/>
    <w:rsid w:val="5BCA2D15"/>
    <w:rsid w:val="5BD60CC0"/>
    <w:rsid w:val="5C1019F3"/>
    <w:rsid w:val="5C1A6503"/>
    <w:rsid w:val="5C3F41AF"/>
    <w:rsid w:val="5CB12E81"/>
    <w:rsid w:val="5CB62246"/>
    <w:rsid w:val="5CF547EA"/>
    <w:rsid w:val="5CF8285E"/>
    <w:rsid w:val="5D37510F"/>
    <w:rsid w:val="5DD111E4"/>
    <w:rsid w:val="5E0E058B"/>
    <w:rsid w:val="5E17280A"/>
    <w:rsid w:val="5E4F2952"/>
    <w:rsid w:val="5E7B54F5"/>
    <w:rsid w:val="5EA80B24"/>
    <w:rsid w:val="5F5D4BFA"/>
    <w:rsid w:val="5F97635E"/>
    <w:rsid w:val="5FA06419"/>
    <w:rsid w:val="5FCC55B0"/>
    <w:rsid w:val="5FD72BFF"/>
    <w:rsid w:val="5FE74F09"/>
    <w:rsid w:val="5FF3766A"/>
    <w:rsid w:val="601C5F42"/>
    <w:rsid w:val="60363DC9"/>
    <w:rsid w:val="60483AFC"/>
    <w:rsid w:val="60966616"/>
    <w:rsid w:val="60A254D6"/>
    <w:rsid w:val="60A50A50"/>
    <w:rsid w:val="60D158A0"/>
    <w:rsid w:val="60D66C28"/>
    <w:rsid w:val="611413BC"/>
    <w:rsid w:val="61706E67"/>
    <w:rsid w:val="61717761"/>
    <w:rsid w:val="619E09FC"/>
    <w:rsid w:val="61BE4076"/>
    <w:rsid w:val="61EA5B50"/>
    <w:rsid w:val="623460E6"/>
    <w:rsid w:val="62DA46B0"/>
    <w:rsid w:val="62F87114"/>
    <w:rsid w:val="630006BE"/>
    <w:rsid w:val="634E142A"/>
    <w:rsid w:val="636522D0"/>
    <w:rsid w:val="636C365E"/>
    <w:rsid w:val="637349EC"/>
    <w:rsid w:val="63814E23"/>
    <w:rsid w:val="63846BFA"/>
    <w:rsid w:val="638E7A78"/>
    <w:rsid w:val="63B868A3"/>
    <w:rsid w:val="63CE0DB5"/>
    <w:rsid w:val="63D80CF3"/>
    <w:rsid w:val="63DD630A"/>
    <w:rsid w:val="63DE39EA"/>
    <w:rsid w:val="63F278A5"/>
    <w:rsid w:val="64656A2B"/>
    <w:rsid w:val="64A70DF2"/>
    <w:rsid w:val="651D5558"/>
    <w:rsid w:val="65646CE3"/>
    <w:rsid w:val="65E34872"/>
    <w:rsid w:val="65E73470"/>
    <w:rsid w:val="65ED067A"/>
    <w:rsid w:val="662621EA"/>
    <w:rsid w:val="66383CCB"/>
    <w:rsid w:val="669E0B88"/>
    <w:rsid w:val="670F6369"/>
    <w:rsid w:val="674072DB"/>
    <w:rsid w:val="674E7C4A"/>
    <w:rsid w:val="675039C2"/>
    <w:rsid w:val="676239C8"/>
    <w:rsid w:val="681349F0"/>
    <w:rsid w:val="681C5653"/>
    <w:rsid w:val="68AA0BDE"/>
    <w:rsid w:val="68D91796"/>
    <w:rsid w:val="68ED3493"/>
    <w:rsid w:val="68F04A29"/>
    <w:rsid w:val="690031C6"/>
    <w:rsid w:val="6904760A"/>
    <w:rsid w:val="69146D78"/>
    <w:rsid w:val="6984366B"/>
    <w:rsid w:val="69A71894"/>
    <w:rsid w:val="69CE6E20"/>
    <w:rsid w:val="69D361E5"/>
    <w:rsid w:val="69E72CD3"/>
    <w:rsid w:val="69F10D61"/>
    <w:rsid w:val="6A186A78"/>
    <w:rsid w:val="6A253BE6"/>
    <w:rsid w:val="6A2931E3"/>
    <w:rsid w:val="6A505A87"/>
    <w:rsid w:val="6A660130"/>
    <w:rsid w:val="6A891E90"/>
    <w:rsid w:val="6A9E228F"/>
    <w:rsid w:val="6B2F7D93"/>
    <w:rsid w:val="6B347157"/>
    <w:rsid w:val="6B6317EA"/>
    <w:rsid w:val="6B637901"/>
    <w:rsid w:val="6B8C0A69"/>
    <w:rsid w:val="6B8E1A00"/>
    <w:rsid w:val="6BE7241B"/>
    <w:rsid w:val="6C18484A"/>
    <w:rsid w:val="6C5555D7"/>
    <w:rsid w:val="6C72358B"/>
    <w:rsid w:val="6CA566B8"/>
    <w:rsid w:val="6CC4275D"/>
    <w:rsid w:val="6CDE2113"/>
    <w:rsid w:val="6CF941B4"/>
    <w:rsid w:val="6D0A2D4D"/>
    <w:rsid w:val="6D490B0E"/>
    <w:rsid w:val="6D633D24"/>
    <w:rsid w:val="6D934572"/>
    <w:rsid w:val="6DEC3D19"/>
    <w:rsid w:val="6DF36E56"/>
    <w:rsid w:val="6E0472B5"/>
    <w:rsid w:val="6E206F36"/>
    <w:rsid w:val="6E531FEA"/>
    <w:rsid w:val="6E7C07ED"/>
    <w:rsid w:val="6EAC0452"/>
    <w:rsid w:val="6ECD3B4B"/>
    <w:rsid w:val="6ECD58F9"/>
    <w:rsid w:val="6F343BCA"/>
    <w:rsid w:val="6FE3114C"/>
    <w:rsid w:val="70195673"/>
    <w:rsid w:val="702A0B29"/>
    <w:rsid w:val="703A6FBE"/>
    <w:rsid w:val="706202C3"/>
    <w:rsid w:val="70742EB9"/>
    <w:rsid w:val="70A97C9F"/>
    <w:rsid w:val="70AB1C6A"/>
    <w:rsid w:val="70B84386"/>
    <w:rsid w:val="70DC13F2"/>
    <w:rsid w:val="712612F0"/>
    <w:rsid w:val="712A2783"/>
    <w:rsid w:val="71687B5B"/>
    <w:rsid w:val="717C1858"/>
    <w:rsid w:val="719C3171"/>
    <w:rsid w:val="71C56D5B"/>
    <w:rsid w:val="71CB12E6"/>
    <w:rsid w:val="71E01DE7"/>
    <w:rsid w:val="71EF192C"/>
    <w:rsid w:val="72226E67"/>
    <w:rsid w:val="723D0FE7"/>
    <w:rsid w:val="72926649"/>
    <w:rsid w:val="72C00BD6"/>
    <w:rsid w:val="72C07522"/>
    <w:rsid w:val="737347AD"/>
    <w:rsid w:val="73B46F4E"/>
    <w:rsid w:val="73C92407"/>
    <w:rsid w:val="73D370C8"/>
    <w:rsid w:val="74510D7A"/>
    <w:rsid w:val="7479207F"/>
    <w:rsid w:val="748A7EA3"/>
    <w:rsid w:val="74F13F7F"/>
    <w:rsid w:val="754937FF"/>
    <w:rsid w:val="755B7C06"/>
    <w:rsid w:val="758533AB"/>
    <w:rsid w:val="75A82C1C"/>
    <w:rsid w:val="75C760F4"/>
    <w:rsid w:val="76636A51"/>
    <w:rsid w:val="76A51D5C"/>
    <w:rsid w:val="76C92E49"/>
    <w:rsid w:val="76EE5DC1"/>
    <w:rsid w:val="771F16B2"/>
    <w:rsid w:val="7726029C"/>
    <w:rsid w:val="77366005"/>
    <w:rsid w:val="773E13B6"/>
    <w:rsid w:val="779F3BAA"/>
    <w:rsid w:val="77C935C3"/>
    <w:rsid w:val="77E12415"/>
    <w:rsid w:val="77F35CA4"/>
    <w:rsid w:val="78006D3F"/>
    <w:rsid w:val="78223F07"/>
    <w:rsid w:val="784B788E"/>
    <w:rsid w:val="785D684A"/>
    <w:rsid w:val="78CE219D"/>
    <w:rsid w:val="78DF4BA6"/>
    <w:rsid w:val="79037CBC"/>
    <w:rsid w:val="79116D2A"/>
    <w:rsid w:val="791441C7"/>
    <w:rsid w:val="795B557D"/>
    <w:rsid w:val="79681B1A"/>
    <w:rsid w:val="79B4687C"/>
    <w:rsid w:val="79D833A4"/>
    <w:rsid w:val="7A596CDF"/>
    <w:rsid w:val="7B226FCC"/>
    <w:rsid w:val="7BA563C1"/>
    <w:rsid w:val="7BED0F1C"/>
    <w:rsid w:val="7C16029D"/>
    <w:rsid w:val="7C421F6C"/>
    <w:rsid w:val="7C7840F4"/>
    <w:rsid w:val="7C943EFA"/>
    <w:rsid w:val="7CB41EA6"/>
    <w:rsid w:val="7CBB44DD"/>
    <w:rsid w:val="7D5A0C9F"/>
    <w:rsid w:val="7D5D078F"/>
    <w:rsid w:val="7D6436AF"/>
    <w:rsid w:val="7D851A94"/>
    <w:rsid w:val="7D895DFA"/>
    <w:rsid w:val="7DBB1900"/>
    <w:rsid w:val="7DBD5782"/>
    <w:rsid w:val="7E645B88"/>
    <w:rsid w:val="7E857F9E"/>
    <w:rsid w:val="7E861620"/>
    <w:rsid w:val="7EE12CFA"/>
    <w:rsid w:val="7F4172A6"/>
    <w:rsid w:val="7F437511"/>
    <w:rsid w:val="7F4C286A"/>
    <w:rsid w:val="7FA103A4"/>
    <w:rsid w:val="7FC05B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autoRedefine/>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autoRedefine/>
    <w:semiHidden/>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autoRedefine/>
    <w:semiHidden/>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11">
    <w:name w:val="Default Paragraph Font"/>
    <w:autoRedefine/>
    <w:semiHidden/>
    <w:qFormat/>
    <w:uiPriority w:val="0"/>
  </w:style>
  <w:style w:type="table" w:default="1" w:styleId="10">
    <w:name w:val="Normal Table"/>
    <w:autoRedefine/>
    <w:semiHidden/>
    <w:qFormat/>
    <w:uiPriority w:val="0"/>
    <w:tblPr>
      <w:tblCellMar>
        <w:top w:w="0" w:type="dxa"/>
        <w:left w:w="108" w:type="dxa"/>
        <w:bottom w:w="0" w:type="dxa"/>
        <w:right w:w="108" w:type="dxa"/>
      </w:tblCellMar>
    </w:tblPr>
  </w:style>
  <w:style w:type="paragraph" w:styleId="5">
    <w:name w:val="footer"/>
    <w:basedOn w:val="1"/>
    <w:autoRedefine/>
    <w:qFormat/>
    <w:uiPriority w:val="0"/>
    <w:pPr>
      <w:tabs>
        <w:tab w:val="center" w:pos="4153"/>
        <w:tab w:val="right" w:pos="8306"/>
      </w:tabs>
      <w:snapToGrid w:val="0"/>
      <w:jc w:val="left"/>
    </w:pPr>
    <w:rPr>
      <w:sz w:val="18"/>
    </w:rPr>
  </w:style>
  <w:style w:type="paragraph" w:styleId="6">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autoRedefine/>
    <w:qFormat/>
    <w:uiPriority w:val="0"/>
  </w:style>
  <w:style w:type="paragraph" w:styleId="8">
    <w:name w:val="toc 2"/>
    <w:basedOn w:val="1"/>
    <w:next w:val="1"/>
    <w:qFormat/>
    <w:uiPriority w:val="0"/>
    <w:pPr>
      <w:ind w:left="420" w:leftChars="200"/>
    </w:pPr>
  </w:style>
  <w:style w:type="paragraph" w:styleId="9">
    <w:name w:val="Normal (Web)"/>
    <w:basedOn w:val="1"/>
    <w:autoRedefine/>
    <w:qFormat/>
    <w:uiPriority w:val="0"/>
    <w:pPr>
      <w:spacing w:before="0" w:beforeAutospacing="1" w:after="0" w:afterAutospacing="1"/>
      <w:ind w:left="0" w:right="0"/>
      <w:jc w:val="left"/>
    </w:pPr>
    <w:rPr>
      <w:kern w:val="0"/>
      <w:sz w:val="24"/>
      <w:lang w:val="en-US" w:eastAsia="zh-CN" w:bidi="ar"/>
    </w:rPr>
  </w:style>
  <w:style w:type="character" w:styleId="12">
    <w:name w:val="Strong"/>
    <w:basedOn w:val="11"/>
    <w:autoRedefine/>
    <w:qFormat/>
    <w:uiPriority w:val="0"/>
    <w:rPr>
      <w:b/>
    </w:rPr>
  </w:style>
  <w:style w:type="character" w:styleId="13">
    <w:name w:val="Emphasis"/>
    <w:basedOn w:val="11"/>
    <w:autoRedefine/>
    <w:qFormat/>
    <w:uiPriority w:val="0"/>
    <w:rPr>
      <w:i/>
    </w:rPr>
  </w:style>
  <w:style w:type="paragraph" w:customStyle="1" w:styleId="14">
    <w:name w:val="WPSOffice手动目录 1"/>
    <w:autoRedefine/>
    <w:qFormat/>
    <w:uiPriority w:val="0"/>
    <w:pPr>
      <w:ind w:leftChars="0"/>
    </w:pPr>
    <w:rPr>
      <w:rFonts w:ascii="Times New Roman" w:hAnsi="Times New Roman" w:eastAsia="宋体" w:cs="Times New Roman"/>
      <w:sz w:val="20"/>
      <w:szCs w:val="20"/>
    </w:rPr>
  </w:style>
  <w:style w:type="character" w:customStyle="1" w:styleId="15">
    <w:name w:val="font01"/>
    <w:basedOn w:val="11"/>
    <w:autoRedefine/>
    <w:qFormat/>
    <w:uiPriority w:val="0"/>
    <w:rPr>
      <w:rFonts w:hint="default" w:ascii="Arial" w:hAnsi="Arial" w:cs="Arial"/>
      <w:color w:val="000000"/>
      <w:sz w:val="20"/>
      <w:szCs w:val="20"/>
      <w:u w:val="none"/>
    </w:rPr>
  </w:style>
  <w:style w:type="character" w:customStyle="1" w:styleId="16">
    <w:name w:val="font11"/>
    <w:basedOn w:val="11"/>
    <w:autoRedefine/>
    <w:qFormat/>
    <w:uiPriority w:val="0"/>
    <w:rPr>
      <w:rFonts w:hint="eastAsia" w:ascii="宋体" w:hAnsi="宋体" w:eastAsia="宋体" w:cs="宋体"/>
      <w:color w:val="000000"/>
      <w:sz w:val="20"/>
      <w:szCs w:val="20"/>
      <w:u w:val="none"/>
    </w:rPr>
  </w:style>
  <w:style w:type="character" w:customStyle="1" w:styleId="17">
    <w:name w:val="font31"/>
    <w:basedOn w:val="11"/>
    <w:autoRedefine/>
    <w:qFormat/>
    <w:uiPriority w:val="0"/>
    <w:rPr>
      <w:rFonts w:hint="eastAsia" w:ascii="宋体" w:hAnsi="宋体" w:eastAsia="宋体" w:cs="宋体"/>
      <w:color w:val="000000"/>
      <w:sz w:val="20"/>
      <w:szCs w:val="20"/>
      <w:u w:val="none"/>
    </w:rPr>
  </w:style>
  <w:style w:type="character" w:customStyle="1" w:styleId="18">
    <w:name w:val="font41"/>
    <w:basedOn w:val="11"/>
    <w:autoRedefine/>
    <w:qFormat/>
    <w:uiPriority w:val="0"/>
    <w:rPr>
      <w:rFonts w:hint="eastAsia" w:ascii="宋体" w:hAnsi="宋体" w:eastAsia="宋体" w:cs="宋体"/>
      <w:b/>
      <w:bCs/>
      <w:color w:val="000000"/>
      <w:sz w:val="18"/>
      <w:szCs w:val="18"/>
      <w:u w:val="none"/>
    </w:rPr>
  </w:style>
</w:styles>
</file>

<file path=word/_rels/document.xml.rels><?xml version='1.0' encoding='UTF-8' standalone='yes'?>
<Relationships xmlns="http://schemas.openxmlformats.org/package/2006/relationships"><Relationship Id="rId9" Type="http://www.wps.cn/officeDocument/2018/webExtension" Target="webExtensions/webExtension1.xml"/><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chart" Target="charts/chart2.xml"/><Relationship Id="rId11" Type="http://schemas.openxmlformats.org/officeDocument/2006/relationships/chart" Target="charts/chart1.xml"/><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2" Type="http://schemas.openxmlformats.org/officeDocument/2006/relationships/themeOverride" Target="../theme/themeOverride2.xml"/><Relationship Id="rId1" Type="http://schemas.openxmlformats.org/officeDocument/2006/relationships/package" Target="../embeddings/Workbook2.xlsx"/></Relationships>
</file>

<file path=word/charts/_rels/chart2.xml.rels><?xml version='1.0' encoding='UTF-8' standalone='yes'?>
<Relationships xmlns="http://schemas.openxmlformats.org/package/2006/relationships"><Relationship Id="rId2" Type="http://schemas.openxmlformats.org/officeDocument/2006/relationships/themeOverride" Target="../theme/themeOverrid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spc="0" baseline="0">
                <a:solidFill>
                  <a:schemeClr val="tx1"/>
                </a:solidFill>
                <a:latin typeface="+mn-lt"/>
                <a:ea typeface="+mn-ea"/>
                <a:cs typeface="+mn-cs"/>
              </a:defRPr>
            </a:pPr>
            <a:r>
              <a:t>患者血压控制效果</a:t>
            </a:r>
          </a:p>
        </c:rich>
      </c:tx>
      <c:layout/>
      <c:overlay val="0"/>
      <c:spPr>
        <a:noFill/>
        <a:ln>
          <a:noFill/>
        </a:ln>
        <a:effectLst/>
      </c:spPr>
    </c:title>
    <c:autoTitleDeleted val="0"/>
    <c:view3D>
      <c:rotX val="40"/>
      <c:rotY val="0"/>
      <c:depthPercent val="100"/>
      <c:rAngAx val="0"/>
    </c:view3D>
    <c:floor>
      <c:thickness val="0"/>
    </c:floor>
    <c:sideWall>
      <c:thickness val="0"/>
    </c:sideWall>
    <c:backWall>
      <c:thickness val="0"/>
    </c:backWall>
    <c:plotArea>
      <c:layout>
        <c:manualLayout>
          <c:layoutTarget val="inner"/>
          <c:xMode val="edge"/>
          <c:yMode val="edge"/>
          <c:x val="0.0840713332524566"/>
          <c:y val="0.207381002306563"/>
          <c:w val="0.540094625743055"/>
          <c:h val="0.69930803103376"/>
        </c:manualLayout>
      </c:layout>
      <c:pie3DChart>
        <c:varyColors val="1"/>
        <c:ser>
          <c:idx val="0"/>
          <c:order val="0"/>
          <c:tx>
            <c:strRef>
              <c:f>Sheet1!$B$1</c:f>
              <c:strCache>
                <c:ptCount val="1"/>
                <c:pt idx="0">
                  <c:v>占比</c:v>
                </c:pt>
              </c:strCache>
            </c:strRef>
          </c:tx>
          <c:spPr>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explosion val="0"/>
          <c:dPt>
            <c:idx val="0"/>
            <c:bubble3D val="0"/>
            <c:spPr>
              <a:gradFill>
                <a:gsLst>
                  <a:gs pos="0">
                    <a:schemeClr val="accent1">
                      <a:lumMod val="60000"/>
                      <a:lumOff val="40000"/>
                    </a:schemeClr>
                  </a:gs>
                  <a:gs pos="50000">
                    <a:schemeClr val="accent1"/>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1"/>
            <c:bubble3D val="0"/>
            <c:spPr>
              <a:gradFill>
                <a:gsLst>
                  <a:gs pos="0">
                    <a:schemeClr val="accent3">
                      <a:lumMod val="60000"/>
                      <a:lumOff val="40000"/>
                    </a:schemeClr>
                  </a:gs>
                  <a:gs pos="60000">
                    <a:schemeClr val="accent3"/>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2"/>
            <c:bubble3D val="0"/>
            <c:spPr>
              <a:gradFill>
                <a:gsLst>
                  <a:gs pos="0">
                    <a:schemeClr val="accent2">
                      <a:lumMod val="60000"/>
                      <a:lumOff val="40000"/>
                    </a:schemeClr>
                  </a:gs>
                  <a:gs pos="60000">
                    <a:schemeClr val="accent2">
                      <a:alpha val="100000"/>
                    </a:schemeClr>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3"/>
            <c:bubble3D val="0"/>
            <c:spPr>
              <a:gradFill>
                <a:gsLst>
                  <a:gs pos="0">
                    <a:schemeClr val="accent4">
                      <a:lumMod val="60000"/>
                      <a:lumOff val="40000"/>
                    </a:schemeClr>
                  </a:gs>
                  <a:gs pos="60000">
                    <a:schemeClr val="accent4"/>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Lbls>
            <c:dLbl>
              <c:idx val="0"/>
              <c:layout/>
              <c:numFmt formatCode="General" sourceLinked="1"/>
              <c:spPr>
                <a:solidFill>
                  <a:schemeClr val="accent1"/>
                </a:solidFill>
                <a:ln>
                  <a:solidFill>
                    <a:schemeClr val="accent1">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xmlns:c15="http://schemas.microsoft.com/office/drawing/2012/chart" uri="{CE6537A1-D6FC-4f65-9D91-7224C49458BB}"/>
              </c:extLst>
            </c:dLbl>
            <c:dLbl>
              <c:idx val="1"/>
              <c:layout>
                <c:manualLayout>
                  <c:x val="-0.00783903841128821"/>
                  <c:y val="-0.0826901874310915"/>
                </c:manualLayout>
              </c:layout>
              <c:numFmt formatCode="General" sourceLinked="1"/>
              <c:spPr>
                <a:solidFill>
                  <a:schemeClr val="accent3"/>
                </a:solidFill>
                <a:ln>
                  <a:solidFill>
                    <a:schemeClr val="accent3">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bestFit"/>
              <c:showLegendKey val="0"/>
              <c:showVal val="0"/>
              <c:showCatName val="0"/>
              <c:showSerName val="0"/>
              <c:showPercent val="1"/>
              <c:showBubbleSize val="0"/>
              <c:extLst>
                <c:ext xmlns:c15="http://schemas.microsoft.com/office/drawing/2012/chart" uri="{CE6537A1-D6FC-4f65-9D91-7224C49458BB}">
                  <c15:layout/>
                </c:ext>
              </c:extLst>
            </c:dLbl>
            <c:dLbl>
              <c:idx val="2"/>
              <c:layout/>
              <c:numFmt formatCode="General" sourceLinked="1"/>
              <c:spPr>
                <a:solidFill>
                  <a:schemeClr val="accent2"/>
                </a:solidFill>
                <a:ln>
                  <a:solidFill>
                    <a:schemeClr val="accent2">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xmlns:c15="http://schemas.microsoft.com/office/drawing/2012/chart" uri="{CE6537A1-D6FC-4f65-9D91-7224C49458BB}"/>
              </c:extLst>
            </c:dLbl>
            <c:dLbl>
              <c:idx val="3"/>
              <c:layout/>
              <c:numFmt formatCode="General" sourceLinked="1"/>
              <c:spPr>
                <a:solidFill>
                  <a:schemeClr val="accent4"/>
                </a:solidFill>
                <a:ln>
                  <a:solidFill>
                    <a:schemeClr val="accent4">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xmlns:c15="http://schemas.microsoft.com/office/drawing/2012/chart" uri="{CE6537A1-D6FC-4f65-9D91-7224C49458BB}"/>
              </c:extLst>
            </c:dLbl>
            <c:numFmt formatCode="General" sourceLinked="1"/>
            <c:spPr>
              <a:solidFill>
                <a:srgbClr val="FFFFFF"/>
              </a:solidFill>
              <a:ln>
                <a:solidFill>
                  <a:srgbClr val="000000">
                    <a:lumMod val="65000"/>
                    <a:lumOff val="35000"/>
                  </a:srgb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solidFill>
                    <a:latin typeface="+mn-lt"/>
                    <a:ea typeface="+mn-ea"/>
                    <a:cs typeface="+mn-cs"/>
                  </a:defRPr>
                </a:pPr>
              </a:p>
            </c:txPr>
            <c:dLblPos val="outEnd"/>
            <c:showLegendKey val="0"/>
            <c:showVal val="0"/>
            <c:showCatName val="0"/>
            <c:showSerName val="0"/>
            <c:showPercent val="1"/>
            <c:showBubbleSize val="0"/>
            <c:showLeaderLines val="1"/>
            <c:extLst>
              <c:ext xmlns:c15="http://schemas.microsoft.com/office/drawing/2012/chart" uri="{CE6537A1-D6FC-4f65-9D91-7224C49458BB}">
                <c15:spPr xmlns:c15="http://schemas.microsoft.com/office/drawing/2012/chart">
                  <a:prstGeom prst="wedgeEllipseCallout">
                    <a:avLst/>
                  </a:prstGeom>
                  <a:noFill/>
                  <a:ln>
                    <a:noFill/>
                  </a:ln>
                </c15:spPr>
                <c15:layout/>
                <c15:showLeaderLines val="1"/>
                <c15:leaderLines>
                  <c:spPr>
                    <a:ln w="9525" cap="flat" cmpd="sng" algn="ctr">
                      <a:solidFill>
                        <a:schemeClr val="tx1">
                          <a:lumMod val="35000"/>
                          <a:lumOff val="65000"/>
                        </a:schemeClr>
                      </a:solidFill>
                      <a:prstDash val="solid"/>
                      <a:round/>
                    </a:ln>
                    <a:effectLst/>
                  </c:spPr>
                </c15:leaderLines>
              </c:ext>
            </c:extLst>
          </c:dLbls>
          <c:cat>
            <c:strRef>
              <c:f>Sheet1!$A$2:$A$5</c:f>
              <c:strCache>
                <c:ptCount val="4"/>
                <c:pt idx="0">
                  <c:v>A.血压稳定在正常范围</c:v>
                </c:pt>
                <c:pt idx="1">
                  <c:v>B.血压多数时间在正常范围</c:v>
                </c:pt>
                <c:pt idx="2">
                  <c:v>C.血压偶尔超出正常范围</c:v>
                </c:pt>
                <c:pt idx="3">
                  <c:v>D.血压持续超出正常范围</c:v>
                </c:pt>
              </c:strCache>
            </c:strRef>
          </c:cat>
          <c:val>
            <c:numRef>
              <c:f>Sheet1!$B$2:$B$5</c:f>
              <c:numCache>
                <c:formatCode>0.00%</c:formatCode>
                <c:ptCount val="4"/>
                <c:pt idx="0">
                  <c:v>0.4495</c:v>
                </c:pt>
                <c:pt idx="1">
                  <c:v>0.4896</c:v>
                </c:pt>
                <c:pt idx="2">
                  <c:v>0.0609</c:v>
                </c:pt>
                <c:pt idx="3">
                  <c:v>0</c:v>
                </c:pt>
              </c:numCache>
            </c:numRef>
          </c:val>
        </c:ser>
        <c:dLbls>
          <c:showLegendKey val="0"/>
          <c:showVal val="0"/>
          <c:showCatName val="0"/>
          <c:showSerName val="0"/>
          <c:showPercent val="1"/>
          <c:showBubbleSize val="0"/>
        </c:dLbls>
      </c:pie3DChart>
      <c:spPr>
        <a:noFill/>
        <a:ln>
          <a:noFill/>
        </a:ln>
        <a:effectLst/>
      </c:spPr>
    </c:plotArea>
    <c:legend>
      <c:legendPos val="r"/>
      <c:layout>
        <c:manualLayout>
          <c:xMode val="edge"/>
          <c:yMode val="edge"/>
          <c:x val="0.686885842533058"/>
          <c:y val="0.314928425357873"/>
          <c:w val="0.29855635084314"/>
          <c:h val="0.403771870029539"/>
        </c:manualLayout>
      </c:layout>
      <c:overlay val="0"/>
      <c:spPr>
        <a:noFill/>
        <a:ln>
          <a:noFill/>
        </a:ln>
        <a:effectLst/>
      </c:spPr>
      <c:txPr>
        <a:bodyPr rot="0" spcFirstLastPara="0" vertOverflow="ellipsis" vert="horz" wrap="square" anchor="ctr" anchorCtr="1" forceAA="0"/>
        <a:lstStyle/>
        <a:p>
          <a:pPr>
            <a:defRPr lang="zh-CN" sz="900" b="0" i="0" u="none" strike="noStrike" kern="1200" baseline="0">
              <a:solidFill>
                <a:schemeClr val="tx1">
                  <a:lumMod val="50000"/>
                  <a:lumOff val="50000"/>
                </a:schemeClr>
              </a:solidFill>
              <a:latin typeface="+mn-lt"/>
              <a:ea typeface="+mn-ea"/>
              <a:cs typeface="+mn-cs"/>
            </a:defRPr>
          </a:pPr>
        </a:p>
      </c:txPr>
    </c:legend>
    <c:plotVisOnly val="1"/>
    <c:dispBlanksAs val="gap"/>
    <c:showDLblsOverMax val="0"/>
    <c:extLst>
      <c:ext uri="{0b15fc19-7d7d-44ad-8c2d-2c3a37ce22c3}">
        <chartProps xmlns="https://web.wps.cn/et/2018/main" chartId="{d3ec2183-c593-4541-acad-541fbd05b2cb}"/>
      </c:ext>
    </c:extLst>
  </c:chart>
  <c:spPr>
    <a:solidFill>
      <a:schemeClr val="bg1"/>
    </a:solidFill>
    <a:ln w="9525" cap="flat" cmpd="sng" algn="ctr">
      <a:solidFill>
        <a:schemeClr val="bg1">
          <a:lumMod val="85000"/>
        </a:schemeClr>
      </a:solidFill>
      <a:prstDash val="solid"/>
      <a:round/>
    </a:ln>
    <a:effectLst>
      <a:outerShdw blurRad="63500" dist="37357" dir="2700000" sx="0" sy="0" rotWithShape="0">
        <a:scrgbClr r="0" g="0" b="0"/>
      </a:outerShdw>
    </a:effectLst>
  </c:spPr>
  <c:txPr>
    <a:bodyPr/>
    <a:lstStyle/>
    <a:p>
      <a:pPr>
        <a:defRPr lang="zh-CN"/>
      </a:pPr>
    </a:p>
  </c:txPr>
  <c:externalData r:id="rId1">
    <c:autoUpdate val="0"/>
  </c:externalData>
</c:chartSpace>
</file>

<file path=word/charts/chart2.xml><?xml version="1.0" encoding="utf-8"?>
<c:chartSpace xmlns:a="http://schemas.openxmlformats.org/drawingml/2006/main" xmlns:c="http://schemas.openxmlformats.org/drawingml/2006/chart" xmlns:c14="http://schemas.microsoft.com/office/drawing/2007/8/2/chart" xmlns:mc="http://schemas.openxmlformats.org/markup-compatibility/2006" xmlns:ns4="http://schemas.microsoft.com/office/drawing/2012/chart" xmlns:ns5="https://web.wps.cn/et/2018/main" xmlns:r="http://schemas.openxmlformats.org/officeDocument/2006/relationships">
  <c:date1904 val="0"/>
  <c:lang val="zh-CN"/>
  <c:roundedCorners val="0"/>
  <mc:AlternateContent>
    <mc:Choice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spc="0" baseline="0">
                <a:solidFill>
                  <a:schemeClr val="tx1"/>
                </a:solidFill>
                <a:latin typeface="+mn-lt"/>
                <a:ea typeface="+mn-ea"/>
                <a:cs typeface="+mn-cs"/>
              </a:defRPr>
            </a:pPr>
            <a:r>
              <a:t>药品价格接受度情况</a:t>
            </a:r>
            <a:endParaRPr lang="en-US" altLang="zh-CN"/>
          </a:p>
        </c:rich>
      </c:tx>
      <c:layout>
        <c:manualLayout>
          <c:xMode val="edge"/>
          <c:yMode val="edge"/>
          <c:x val="0.413354338342221"/>
          <c:y val="0.0272806364231808"/>
        </c:manualLayout>
      </c:layout>
      <c:overlay val="0"/>
      <c:spPr>
        <a:noFill/>
        <a:ln>
          <a:noFill/>
        </a:ln>
        <a:effectLst/>
      </c:spPr>
    </c:title>
    <c:autoTitleDeleted val="0"/>
    <c:view3D>
      <c:rotX val="40"/>
      <c:rotY val="0"/>
      <c:depthPercent val="100"/>
      <c:rAngAx val="0"/>
    </c:view3D>
    <c:floor>
      <c:thickness val="0"/>
    </c:floor>
    <c:sideWall>
      <c:thickness val="0"/>
    </c:sideWall>
    <c:backWall>
      <c:thickness val="0"/>
    </c:backWall>
    <c:plotArea>
      <c:layout>
        <c:manualLayout>
          <c:layoutTarget val="inner"/>
          <c:xMode val="edge"/>
          <c:yMode val="edge"/>
          <c:x val="0.0683470673776054"/>
          <c:y val="0.210447441661314"/>
          <c:w val="0.555138148327678"/>
          <c:h val="0.694926140012845"/>
        </c:manualLayout>
      </c:layout>
      <c:barChart>
        <c:barDir val="bar"/>
        <c:grouping val="clustered"/>
        <c:ser>
          <c:idx val="0"/>
          <c:order val="0"/>
          <c:tx>
            <c:strRef>
              <c:f>Sheet1!$B$1</c:f>
              <c:strCache>
                <c:ptCount val="1"/>
                <c:pt idx="0">
                  <c:v>销售额</c:v>
                </c:pt>
              </c:strCache>
            </c:strRef>
          </c:tx>
          <c:spPr>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idx val="0"/>
            <c:bubble3D val="0"/>
            <c:spPr>
              <a:gradFill>
                <a:gsLst>
                  <a:gs pos="0">
                    <a:schemeClr val="accent1">
                      <a:lumMod val="60000"/>
                      <a:lumOff val="40000"/>
                    </a:schemeClr>
                  </a:gs>
                  <a:gs pos="50000">
                    <a:schemeClr val="accent1"/>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1"/>
            <c:bubble3D val="0"/>
            <c:spPr>
              <a:gradFill>
                <a:gsLst>
                  <a:gs pos="0">
                    <a:schemeClr val="accent3">
                      <a:lumMod val="60000"/>
                      <a:lumOff val="40000"/>
                    </a:schemeClr>
                  </a:gs>
                  <a:gs pos="60000">
                    <a:schemeClr val="accent3"/>
                  </a:gs>
                </a:gsLst>
                <a:lin ang="27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2"/>
            <c:bubble3D val="0"/>
            <c:spPr>
              <a:gradFill>
                <a:gsLst>
                  <a:gs pos="0">
                    <a:schemeClr val="accent2">
                      <a:lumMod val="60000"/>
                      <a:lumOff val="40000"/>
                    </a:schemeClr>
                  </a:gs>
                  <a:gs pos="60000">
                    <a:schemeClr val="accent2">
                      <a:alpha val="100000"/>
                    </a:schemeClr>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Pt>
            <c:idx val="3"/>
            <c:bubble3D val="0"/>
            <c:spPr>
              <a:gradFill>
                <a:gsLst>
                  <a:gs pos="0">
                    <a:schemeClr val="accent4">
                      <a:lumMod val="60000"/>
                      <a:lumOff val="40000"/>
                    </a:schemeClr>
                  </a:gs>
                  <a:gs pos="60000">
                    <a:schemeClr val="accent4"/>
                  </a:gs>
                </a:gsLst>
                <a:lin ang="5400000" scaled="0"/>
              </a:gradFill>
              <a:ln w="12700" cmpd="sng">
                <a:solidFill>
                  <a:schemeClr val="bg1"/>
                </a:solidFill>
                <a:prstDash val="solid"/>
              </a:ln>
              <a:effectLst>
                <a:outerShdw blurRad="50800" dist="38100" dir="2700000" algn="tl" rotWithShape="0">
                  <a:prstClr val="black">
                    <a:alpha val="40000"/>
                  </a:prstClr>
                </a:outerShdw>
              </a:effectLst>
              <a:scene3d>
                <a:camera prst="orthographicFront"/>
                <a:lightRig rig="threePt" dir="t"/>
              </a:scene3d>
              <a:sp3d contourW="12700"/>
            </c:spPr>
          </c:dPt>
          <c:dLbls>
            <c:dLbl>
              <c:idx val="0"/>
              <c:layout/>
              <c:numFmt formatCode="General" sourceLinked="1"/>
              <c:spPr>
                <a:solidFill>
                  <a:schemeClr val="accent1"/>
                </a:solidFill>
                <a:ln>
                  <a:solidFill>
                    <a:schemeClr val="accent1">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uri="{CE6537A1-D6FC-4f65-9D91-7224C49458BB}"/>
              </c:extLst>
            </c:dLbl>
            <c:dLbl>
              <c:idx val="1"/>
              <c:layout>
                <c:manualLayout>
                  <c:x val="-0.00783903841128821"/>
                  <c:y val="-0.0826901874310915"/>
                </c:manualLayout>
              </c:layout>
              <c:numFmt formatCode="General" sourceLinked="1"/>
              <c:spPr>
                <a:solidFill>
                  <a:schemeClr val="accent3"/>
                </a:solidFill>
                <a:ln>
                  <a:solidFill>
                    <a:schemeClr val="accent3">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bestFit"/>
              <c:showLegendKey val="0"/>
              <c:showVal val="0"/>
              <c:showCatName val="0"/>
              <c:showSerName val="0"/>
              <c:showPercent val="1"/>
              <c:showBubbleSize val="0"/>
              <c:extLst>
                <c:ext uri="{CE6537A1-D6FC-4f65-9D91-7224C49458BB}">
                  <ns4:layout/>
                </c:ext>
              </c:extLst>
            </c:dLbl>
            <c:dLbl>
              <c:idx val="2"/>
              <c:layout/>
              <c:numFmt formatCode="General" sourceLinked="1"/>
              <c:spPr>
                <a:solidFill>
                  <a:schemeClr val="accent2"/>
                </a:solidFill>
                <a:ln>
                  <a:solidFill>
                    <a:schemeClr val="accent2">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uri="{CE6537A1-D6FC-4f65-9D91-7224C49458BB}"/>
              </c:extLst>
            </c:dLbl>
            <c:dLbl>
              <c:idx val="3"/>
              <c:layout/>
              <c:numFmt formatCode="General" sourceLinked="1"/>
              <c:spPr>
                <a:solidFill>
                  <a:schemeClr val="accent4"/>
                </a:solidFill>
                <a:ln>
                  <a:solidFill>
                    <a:schemeClr val="accent4">
                      <a:lumMod val="75000"/>
                    </a:scheme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bg1"/>
                      </a:solidFill>
                      <a:latin typeface="+mn-lt"/>
                      <a:ea typeface="+mn-ea"/>
                      <a:cs typeface="+mn-cs"/>
                    </a:defRPr>
                  </a:pPr>
                </a:p>
              </c:txPr>
              <c:dLblPos val="outEnd"/>
              <c:showLegendKey val="0"/>
              <c:showVal val="0"/>
              <c:showCatName val="0"/>
              <c:showSerName val="0"/>
              <c:showPercent val="1"/>
              <c:showBubbleSize val="0"/>
              <c:extLst>
                <c:ext uri="{CE6537A1-D6FC-4f65-9D91-7224C49458BB}"/>
              </c:extLst>
            </c:dLbl>
            <c:numFmt formatCode="General" sourceLinked="1"/>
            <c:spPr>
              <a:solidFill>
                <a:srgbClr val="FFFFFF"/>
              </a:solidFill>
              <a:ln>
                <a:solidFill>
                  <a:srgbClr val="000000">
                    <a:lumMod val="65000"/>
                    <a:lumOff val="35000"/>
                  </a:srgbClr>
                </a:solid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solidFill>
                    <a:latin typeface="+mn-lt"/>
                    <a:ea typeface="+mn-ea"/>
                    <a:cs typeface="+mn-cs"/>
                  </a:defRPr>
                </a:pPr>
              </a:p>
            </c:txPr>
            <c:dLblPos val="outEnd"/>
            <c:showLegendKey val="0"/>
            <c:showVal val="0"/>
            <c:showCatName val="0"/>
            <c:showSerName val="0"/>
            <c:showPercent val="1"/>
            <c:showBubbleSize val="0"/>
            <c:showLeaderLines val="1"/>
            <c:extLst>
              <c:ext uri="{CE6537A1-D6FC-4f65-9D91-7224C49458BB}">
                <ns4:spPr>
                  <a:prstGeom prst="wedgeEllipseCallout">
                    <a:avLst/>
                  </a:prstGeom>
                  <a:noFill/>
                  <a:ln>
                    <a:noFill/>
                  </a:ln>
                </ns4:spPr>
                <ns4:layout/>
                <ns4:showLeaderLines val="1"/>
                <ns4:leaderLines>
                  <c:spPr>
                    <a:ln w="9525" cap="flat" cmpd="sng" algn="ctr">
                      <a:solidFill>
                        <a:schemeClr val="tx1">
                          <a:lumMod val="35000"/>
                          <a:lumOff val="65000"/>
                        </a:schemeClr>
                      </a:solidFill>
                      <a:prstDash val="solid"/>
                      <a:round/>
                    </a:ln>
                    <a:effectLst/>
                  </c:spPr>
                </ns4:leaderLines>
              </c:ext>
            </c:extLst>
          </c:dLbls>
          <c:cat>
            <c:strRef>
              <c:f>Sheet1!$A$2:$A$5</c:f>
              <c:strCache>
                <c:ptCount val="4"/>
                <c:pt idx="0">
                  <c:v>难以承受</c:v>
                </c:pt>
                <c:pt idx="1">
                  <c:v>勉强承受</c:v>
                </c:pt>
                <c:pt idx="2">
                  <c:v>在可接受范围</c:v>
                </c:pt>
                <c:pt idx="3">
                  <c:v>无压力</c:v>
                </c:pt>
              </c:strCache>
            </c:strRef>
          </c:cat>
          <c:val>
            <c:numRef>
              <c:f>Sheet1!$B$2:$B$5</c:f>
              <c:numCache>
                <c:formatCode>General</c:formatCode>
                <c:ptCount val="4"/>
                <c:pt idx="0">
                  <c:v>0</c:v>
                </c:pt>
                <c:pt idx="1">
                  <c:v>0</c:v>
                </c:pt>
                <c:pt idx="2">
                  <c:v>0</c:v>
                </c:pt>
                <c:pt idx="3">
                  <c:v>0</c:v>
                </c:pt>
              </c:numCache>
            </c:numRef>
          </c:val>
        </c:ser>
        <c:dLbls>
          <c:showLegendKey val="0"/>
          <c:showVal val="1"/>
          <c:showCatName val="0"/>
          <c:showSerName val="0"/>
          <c:showPercent val="0"/>
          <c:showBubbleSize val="0"/>
        </c:dLbls>
        <c:gapWidth val="120"/>
        <c:axId val="10"/>
        <c:axId val="100"/>
      </c:barChart>
      <c:catAx>
        <c:axId val="10"/>
        <c:scaling>
          <c:orientation val="minMax"/>
        </c:scaling>
        <c:delete val="0"/>
        <c:axPos val="l"/>
        <c:majorTickMark val="none"/>
        <c:minorTickMark val="none"/>
        <c:tickLblPos val="nextTo"/>
        <c:crossAx val="100"/>
        <c:crosses val="autoZero"/>
        <c:lblOffset val="100"/>
      </c:catAx>
      <c:valAx>
        <c:axId val="100"/>
        <c:scaling>
          <c:orientation val="minMax"/>
        </c:scaling>
        <c:delete val="0"/>
        <c:axPos val="b"/>
        <c:majorGridlines/>
        <c:numFmt formatCode="General" sourceLinked="1"/>
        <c:majorTickMark val="none"/>
        <c:minorTickMark val="none"/>
        <c:tickLblPos val="nextTo"/>
        <c:crossAx val="10"/>
        <c:crosses val="autoZero"/>
        <c:crossBetween val="between"/>
      </c:valAx>
      <c:spPr>
        <a:noFill/>
        <a:ln>
          <a:noFill/>
        </a:ln>
        <a:effectLst/>
      </c:spPr>
    </c:plotArea>
    <c:legend>
      <c:legendPos val="r"/>
      <c:layout>
        <c:manualLayout>
          <c:xMode val="edge"/>
          <c:yMode val="edge"/>
          <c:x val="0.667474551623849"/>
          <c:y val="0.370156283451081"/>
          <c:w val="0.317983519146874"/>
          <c:h val="0.37871976022265"/>
        </c:manualLayout>
      </c:layout>
      <c:overlay val="0"/>
      <c:spPr>
        <a:noFill/>
        <a:ln>
          <a:noFill/>
        </a:ln>
        <a:effectLst/>
      </c:spPr>
      <c:txPr>
        <a:bodyPr rot="0" spcFirstLastPara="0" vertOverflow="ellipsis" vert="horz" wrap="square" anchor="ctr" anchorCtr="1" forceAA="0"/>
        <a:lstStyle/>
        <a:p>
          <a:pPr>
            <a:defRPr lang="zh-CN" sz="900" b="0" i="0" u="none" strike="noStrike" kern="1200" baseline="0">
              <a:solidFill>
                <a:schemeClr val="tx1">
                  <a:lumMod val="50000"/>
                  <a:lumOff val="50000"/>
                </a:schemeClr>
              </a:solidFill>
              <a:latin typeface="+mn-lt"/>
              <a:ea typeface="+mn-ea"/>
              <a:cs typeface="+mn-cs"/>
            </a:defRPr>
          </a:pPr>
        </a:p>
      </c:txPr>
    </c:legend>
    <c:plotVisOnly val="1"/>
    <c:dispBlanksAs val="gap"/>
    <c:showDLblsOverMax val="0"/>
    <c:extLst>
      <c:ext uri="{0b15fc19-7d7d-44ad-8c2d-2c3a37ce22c3}">
        <ns5:chartProps chartId="{d3ec2183-c593-4541-acad-541fbd05b2cb}"/>
      </c:ext>
    </c:extLst>
  </c:chart>
  <c:spPr>
    <a:solidFill>
      <a:schemeClr val="bg1"/>
    </a:solidFill>
    <a:ln w="9525" cap="flat" cmpd="sng" algn="ctr">
      <a:solidFill>
        <a:schemeClr val="bg1">
          <a:lumMod val="85000"/>
        </a:schemeClr>
      </a:solidFill>
      <a:prstDash val="solid"/>
      <a:round/>
    </a:ln>
    <a:effectLst>
      <a:outerShdw blurRad="63500" dist="37357" dir="2700000" sx="0" sy="0" rotWithShape="0">
        <a:scrgbClr r="0" g="0" b="0"/>
      </a:outerShdw>
    </a:effectLst>
  </c:spPr>
  <c:txPr>
    <a:bodyPr/>
    <a:lstStyle/>
    <a:p>
      <a:pPr>
        <a:defRPr lang="zh-CN"/>
      </a:pPr>
    </a:p>
  </c:txPr>
  <c:externalData r:id="rId1">
    <c:autoUpdate val="0"/>
  </c:externalData>
</c:chartSpac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16.1">
    <a:dk1>
      <a:srgbClr val="000000"/>
    </a:dk1>
    <a:lt1>
      <a:srgbClr val="FFFFFF"/>
    </a:lt1>
    <a:dk2>
      <a:srgbClr val="0F1423"/>
    </a:dk2>
    <a:lt2>
      <a:srgbClr val="FFFFFF"/>
    </a:lt2>
    <a:accent1>
      <a:srgbClr val="7262FD"/>
    </a:accent1>
    <a:accent2>
      <a:srgbClr val="FF6637"/>
    </a:accent2>
    <a:accent3>
      <a:srgbClr val="FF860F"/>
    </a:accent3>
    <a:accent4>
      <a:srgbClr val="FFB607"/>
    </a:accent4>
    <a:accent5>
      <a:srgbClr val="45CBF1"/>
    </a:accent5>
    <a:accent6>
      <a:srgbClr val="41DDAC"/>
    </a:accent6>
    <a:hlink>
      <a:srgbClr val="0563C1"/>
    </a:hlink>
    <a:folHlink>
      <a:srgbClr val="954D72"/>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16.1">
    <a:dk1>
      <a:srgbClr val="000000"/>
    </a:dk1>
    <a:lt1>
      <a:srgbClr val="FFFFFF"/>
    </a:lt1>
    <a:dk2>
      <a:srgbClr val="0F1423"/>
    </a:dk2>
    <a:lt2>
      <a:srgbClr val="FFFFFF"/>
    </a:lt2>
    <a:accent1>
      <a:srgbClr val="7262FD"/>
    </a:accent1>
    <a:accent2>
      <a:srgbClr val="FF6637"/>
    </a:accent2>
    <a:accent3>
      <a:srgbClr val="FF860F"/>
    </a:accent3>
    <a:accent4>
      <a:srgbClr val="FFB607"/>
    </a:accent4>
    <a:accent5>
      <a:srgbClr val="45CBF1"/>
    </a:accent5>
    <a:accent6>
      <a:srgbClr val="41DDAC"/>
    </a:accent6>
    <a:hlink>
      <a:srgbClr val="0563C1"/>
    </a:hlink>
    <a:folHlink>
      <a:srgbClr val="954D72"/>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webExtensions/_rels/webExtension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package" Target="../embeddings/Workbook3.xlsx"/></Relationships>
</file>

<file path=word/webExtensions/webExtension1.xml><?xml version="1.0" encoding="utf-8"?>
<wpswe:webExtension xmlns:wpswe="http://www.wps.cn/officeDocument/2018/webExtension" xmlns:webet="https://web.wps.cn/et/2018/main" webet:type="Normal" type="0" webet:id="">
  <wpswe:extSource id="dschart" version="1.0"/>
  <wpswe:properties>
    <wpswe:property key="DiscardFirstCodeChange" value="0"/>
    <wpswe:property key="autoSnapshot" value="0"/>
    <wpswe:property key="dschart" value="{&quot;dschart_data&quot;:{&quot;blockId&quot;:&quot;161243067158731941&quot;,&quot;chart_type&quot;:&quot;饼图&quot;,&quot;classifty_type&quot;:[&quot;占比类&quot;],&quot;dataSrc&quot;:{&quot;data&quot;:[[[&quot;属性&quot;,&quot;值&quot;],[&quot;药品疗效&quot;,&quot;7%&quot;],[&quot;药品安全性&quot;,&quot;14%&quot;],[&quot;用药行为与习惯&quot;,&quot;37%&quot;],[&quot;用药便利性&quot;,&quot;14%&quot;],[&quot;药品经济性&quot;,&quot;7%&quot;],[&quot;药品可及性&quot;,&quot;7%&quot;],[&quot;用药指导信息评价&quot;,&quot;14%&quot;]]],&quot;dataType&quot;:&quot;obejct-table&quot;,&quot;download&quot;:false,&quot;srcType&quot;:&quot;local&quot;,&quot;url&quot;:&quot;&quot;},&quot;function_type&quot;:[&quot;饼图&quot;],&quot;gif&quot;:&quot;//web.docer.wpscdn.cn/docer/ds-page/images/444746070325460997.gif?imageView2/2/w/500/quality/90&quot;,&quot;index&quot;:1,&quot;isFree&quot;:&quot;0&quot;,&quot;label&quot;:&quot;&lt;e-piebasic-chart&gt;&quot;,&quot;projectId&quot;:&quot;444746070325460997&quot;,&quot;props&quot;:{&quot;animation&quot;:{&quot;duration&quot;:&quot;1.5&quot;,&quot;easeStyle&quot;:&quot;&quot;,&quot;endPause&quot;:&quot;1&quot;,&quot;moveOptions&quot;:[&quot;轮子&quot;,&quot;百叶窗&quot;,&quot;折扇&quot;,&quot;径向展开&quot;],&quot;moveStyle&quot;:&quot;轮子&quot;,&quot;startDelay&quot;:&quot;0&quot;,&quot;transition&quot;:true},&quot;axis&quot;:&quot;&quot;,&quot;backgroundColor&quot;:&quot;&quot;,&quot;colors&quot;:{&quot;colorControlers&quot;:[&quot;multiple&quot;,&quot;linear&quot;],&quot;list&quot;:[&quot;#5956F4ff&quot;,&quot;#53e09eff&quot;,&quot;#ffdc4cff&quot;,&quot;#ff9c46ff&quot;,0,1,2],&quot;type&quot;:&quot;multiple&quot;},&quot;display&quot;:{&quot;borderColor&quot;:&quot;#FFFFFF&quot;,&quot;borderWidth&quot;:&quot;1&quot;,&quot;cornerRadius&quot;:&quot;0&quot;,&quot;fillOpacity&quot;:&quot;1&quot;,&quot;gapPercentage&quot;:&quot;0&quot;,&quot;innerRadiusRatio&quot;:&quot;0&quot;},&quot;label&quot;:{&quot;contentChoice&quot;:[&quot;百分比&quot;],&quot;contentOption&quot;:[&quot;名称&quot;,&quot;百分比&quot;,&quot;数值&quot;],&quot;display&quot;:true,&quot;positionChoice&quot;:&quot;外部&quot;,&quot;positionOptions&quot;:[&quot;内部周向&quot;,&quot;内部水平&quot;,&quot;外部&quot;],&quot;suffix&quot;:&quot;&quot;,&quot;textLabel&quot;:{&quot;color&quot;:&quot;#545454&quot;,&quot;fontFamily&quot;:&quot;微软雅黑&quot;,&quot;fontSize&quot;:&quot;14&quot;}},&quot;legend&quot;:{&quot;color&quot;:[&quot;#545454&quot;],&quot;fontFamily&quot;:[&quot;阿里巴巴普惠体常规&quot;],&quot;fontSize&quot;:&quot;12&quot;,&quot;lineHeight&quot;:&quot;15&quot;,&quot;show&quot;:true,&quot;style&quot;:&quot;&quot;,&quot;styleOptions&quot;:[],&quot;xPosition&quot;:&quot;center&quot;,&quot;yPosition&quot;:&quot;bottom&quot;},&quot;logoDisplay&quot;:{&quot;bottomLineHeight&quot;:&quot;15&quot;,&quot;imgHeight&quot;:&quot;32&quot;,&quot;imgUrl&quot;:&quot;https://ss1.dydata.io/newchartLogo.png&quot;,&quot;show&quot;:true,&quot;topLineHeight&quot;:&quot;11&quot;},&quot;map&quot;:[[{&quot;allowType&quot;:[&quot;string&quot;],&quot;configurable&quot;:false,&quot;function&quot;:&quot;objCol&quot;,&quot;index&quot;:0,&quot;isLegend&quot;:true,&quot;name&quot;:&quot;名称&quot;},{&quot;allowType&quot;:[&quot;number&quot;],&quot;configurable&quot;:false,&quot;function&quot;:&quot;vCol&quot;,&quot;index&quot;:1,&quot;isLegend&quot;:false,&quot;name&quot;:&quot;值&quot;}]],&quot;numberFormat&quot;:{&quot;decimalPlaces&quot;:&quot;&quot;,&quot;style&quot;:&quot;1000.00&quot;},&quot;paddings&quot;:{&quot;bottom&quot;:&quot;33&quot;,&quot;chartBottom&quot;:&quot;5&quot;,&quot;left&quot;:&quot;24&quot;,&quot;right&quot;:&quot;24&quot;,&quot;top&quot;:&quot;24&quot;},&quot;publishDisplay&quot;:{&quot;color&quot;:&quot;#878787&quot;,&quot;fontFamily&quot;:&quot;黑体&quot;,&quot;fontSize&quot;:&quot;14&quot;,&quot;show&quot;:true,&quot;text&quot;:&quot;镝数出品&quot;},&quot;shadow&quot;:{&quot;display&quot;:false,&quot;shadowAngle&quot;:&quot;45&quot;,&quot;shadowBlur&quot;:&quot;5&quot;,&quot;shadowColor&quot;:&quot;#a8a8a7cc&quot;,&quot;shadowOpacity&quot;:&quot;100&quot;,&quot;shadowRadius&quot;:&quot;3&quot;},&quot;size&quot;:{&quot;height&quot;:451,&quot;ratio&quot;:&quot;&quot;,&quot;rotate&quot;:0,&quot;width&quot;:551},&quot;sourceDisplay&quot;:{&quot;color&quot;:&quot;#878787&quot;,&quot;fontFamily&quot;:&quot;黑体&quot;,&quot;fontSize&quot;:&quot;14&quot;,&quot;show&quot;:false,&quot;text&quot;:&quot;数据来源：示例数据&quot;,&quot;topLineHeight&quot;:&quot;15&quot;,&quot;xPosition&quot;:&quot;left&quot;,&quot;yPosition&quot;:&quot;bottom&quot;},&quot;titleDisplay&quot;:{&quot;color&quot;:&quot;#4c4c4c&quot;,&quot;fontFamily&quot;:&quot;阿里巴巴普惠体 常规&quot;,&quot;fontSize&quot;:&quot;32&quot;,&quot;lineHeight&quot;:&quot;10&quot;,&quot;show&quot;:false,&quot;text&quot;:&quot;本月收入与支出情况&quot;,&quot;totalHeight&quot;:&quot;39&quot;,&quot;xPosition&quot;:&quot;left&quot;,&quot;yPosition&quot;:&quot;top&quot;},&quot;tooltip&quot;:true,&quot;unitDisplay&quot;:{&quot;bottomLineHeight&quot;:&quot;15&quot;,&quot;color&quot;:&quot;#878787&quot;,&quot;fontFamily&quot;:&quot;阿里巴巴普惠体常规&quot;,&quot;fontSize&quot;:&quot;14&quot;,&quot;show&quot;:false,&quot;text&quot;:&quot;单位：元&quot;,&quot;xPosition&quot;:&quot;left&quot;,&quot;yPosition&quot;:&quot;top&quot;},&quot;watermarkDisplay&quot;:{&quot;imgHeight&quot;:&quot;80&quot;,&quot;imgUrl&quot;:&quot;https://ss1.dydata.io/newchartWatermark.png&quot;,&quot;imgWidth&quot;:&quot;80&quot;,&quot;show&quot;:false}},&quot;templateId&quot;:&quot;444746070325460997-8&quot;,&quot;templateSwitch&quot;:&quot;key-value&quot;,&quot;theme&quot;:{&quot;axis&quot;:{&quot;color&quot;:&quot;#a1a1a1&quot;},&quot;backgroundColor&quot;:&quot;#FFFFFF&quot;,&quot;colors&quot;:[&quot;#5AAEF3&quot;,&quot;#62D9AD&quot;,&quot;#5B6E96&quot;,&quot;#a8dffa&quot;,&quot;#ffdc4c&quot;,&quot;#FF974C&quot;,&quot;#E65A56&quot;,&quot;#6D61E4&quot;,&quot;#4A6FE2&quot;,&quot;#6D9AE7&quot;,&quot;#23C2DB&quot;,&quot;#D4EC59&quot;,&quot;#FFE88E&quot;,&quot;#FEB64D&quot;,&quot;#FB6E6C&quot;],&quot;fonts&quot;:{&quot;accessoryColor&quot;:&quot;#878787&quot;,&quot;color&quot;:&quot;#545454&quot;,&quot;fontFamily&quot;:&quot;黑体&quot;,&quot;fontSize&quot;:&quot;14&quot;},&quot;grid&quot;:{&quot;color&quot;:&quot;#ccc&quot;},&quot;name&quot;:&quot;默认主题&quot;,&quot;price&quot;:&quot;0.0&quot;,&quot;shapeColor&quot;:1,&quot;themeId&quot;:&quot;18&quot;,&quot;titleFont&quot;:{&quot;color&quot;:&quot;#4c4c4c&quot;,&quot;fontFamily&quot;:&quot;黑体&quot;,&quot;fontSize&quot;:&quot;36&quot;}},&quot;thumb&quot;:&quot;./images/444746070325460997-8.jpg&quot;,&quot;title&quot;:&quot;基础饼图&quot;,&quot;type&quot;:&quot;chart&quot;},&quot;dschart_id&quot;:&quot;444746070325460997-8&quot;,&quot;flag&quot;:&quot;1003&quot;,&quot;id&quot;:&quot;144&quot;}"/>
    <wpswe:property key="isUseCommonErrorPage" value="false"/>
    <wpswe:property key="loadingImage" value="res:/icons/DsWebShapeDefaultPage.svg"/>
  </wpswe:properties>
  <wpswe:watchingCache>
    <wpswe:linkPath>C:/Users/一一/AppData/Local/Temp/wps.DwikEb/Workbook3.xlsx</wpswe:linkPath>
  </wpswe:watchingCache>
  <wpswe:snapshot xmlns:r="http://schemas.openxmlformats.org/officeDocument/2006/relationships" r:embed="rId2"/>
  <wpswe:externalData xmlns:r="http://schemas.openxmlformats.org/officeDocument/2006/relationships" r:id="rId1"/>
  <wpswe:url>https://clientweb.docer.wps.cn/docer-ds/web-shape-1.0.0/?id=144&amp;dschart_id=5544734748594536330-7&amp;from=&amp;productEntry=insert&amp;sceneEntry=rec-144&amp;flag=1003</wpswe:url>
  <wpswe:constantSnapshot>false</wpswe:constantSnapshot>
</wps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简约商务风项目计划封面"/>
      <sectRole val="1"/>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4798</Words>
  <Characters>5435</Characters>
  <Lines>0</Lines>
  <Paragraphs>0</Paragraphs>
  <TotalTime>73</TotalTime>
  <ScaleCrop>false</ScaleCrop>
  <LinksUpToDate>false</LinksUpToDate>
  <CharactersWithSpaces>5503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2023-10-19T07:54:00Z</dcterms:created>
  <dc:creator>Zaralin</dc:creator>
  <cp:lastModifiedBy>koki</cp:lastModifiedBy>
  <dcterms:modified xsi:type="dcterms:W3CDTF">2025-12-31T04:29:29Z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EFE0C47C61DE41689FC0FAEC4DB2EB29_13</vt:lpwstr>
  </property>
  <property fmtid="{D5CDD505-2E9C-101B-9397-08002B2CF9AE}" pid="4" name="KSOTemplateDocerSaveRecord">
    <vt:lpwstr>eyJoZGlkIjoiNzMyNDZlYmFhMmNkMWYxOTZkNjcxNjlhNjFjMTBjYzYiLCJ1c2VySWQiOiIxMDg3ODE4ODA2In0=</vt:lpwstr>
  </property>
</Properties>
</file>