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Extensions/webExtension1.xml" ContentType="application/vnd.wps-officedocument.webExtension+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10="http://schemas.microsoft.com/office/word/2012/wordml" xmlns:ns11="http://www.wps.cn/officeDocument/2018/webExtension" xmlns:ns12="http://schemas.openxmlformats.org/drawingml/2006/chart"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xmlns:ns8="http://schemas.openxmlformats.org/drawingml/2006/picture" xmlns:ns9="http://schemas.openxmlformats.org/officeDocument/2006/relationships" xmlns:w="http://schemas.openxmlformats.org/wordprocessingml/2006/main" ns1:Ignorable="w14 w15 wp14">
  <w:body>
    <w:p ns2:paraId="31962E5B">
      <w:pPr>
        <w:rPr>
          <w:rFonts w:hint="eastAsia" w:eastAsia="汉仪粗黑简"/>
          <w:lang w:eastAsia="zh-CN"/>
        </w:rPr>
      </w:pPr>
      <w:r>
        <w:rPr>
          <w:sz w:val="21"/>
        </w:rPr>
        <ns1:AlternateContent>
          <ns1:Choice Requires="wps">
            <w:drawing>
              <ns3:anchor distT="0" distB="0" distL="114300" distR="114300" simplePos="0" relativeHeight="251662336" behindDoc="0" locked="0" layoutInCell="1" allowOverlap="1">
                <ns3:simplePos x="0" y="0"/>
                <ns3:positionH relativeFrom="column">
                  <ns3:posOffset>-680085</ns3:posOffset>
                </ns3:positionH>
                <ns3:positionV relativeFrom="paragraph">
                  <ns3:posOffset>5374640</ns3:posOffset>
                </ns3:positionV>
                <ns3:extent cx="4483735" cy="658495"/>
                <ns3:effectExtent l="0" t="0" r="0" b="0"/>
                <ns3:wrapNone/>
                <ns3:docPr id="13" name="文本框 52"/>
                <ns3:cNvGraphicFramePr/>
                <ns4:graphic>
                  <ns4:graphicData uri="http://schemas.microsoft.com/office/word/2010/wordprocessingShape">
                    <ns5:wsp>
                      <ns5:cNvSpPr txBox="1"/>
                      <ns5:spPr>
                        <ns4:xfrm>
                          <ns4:off x="462915" y="6289040"/>
                          <ns4:ext cx="4483735" cy="658495"/>
                        </ns4:xfrm>
                        <ns4:prstGeom prst="rect">
                          <ns4:avLst/>
                        </ns4:prstGeom>
                        <ns4:noFill/>
                      </ns5:spPr>
                      <ns5:txbx>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5:txbx>
                      <ns5:bodyPr wrap="square" rtlCol="0">
                        <ns4:spAutoFit/>
                      </ns5:bodyPr>
                    </ns5:wsp>
                  </ns4:graphicData>
                </ns4:graphic>
              </ns3:anchor>
            </w:drawing>
          </ns1:Choice>
          <ns1:Fallback>
            <w:pict>
              <ns6:shape id="文本框 52" ns7:spid="_x0000_s1026" ns7:spt="202" type="#_x0000_t202" style="position:absolute;left:0pt;margin-left:-53.55pt;margin-top:423.2pt;height:51.85pt;width:353.05pt;z-index:251662336;mso-width-relative:page;mso-height-relative:page;" filled="f" stroked="f" coordsize="21600,21600" ns7:gfxdata="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snVf42gAAAAwBAAAPAAAAAAAAAAEAIAAAACIAAABkcnMvZG93&#10;bnJldi54bWxQSwECFAAUAAAACACHTuJA9DbBgMUBAABqAwAADgAAAAAAAAABACAAAAApAQAAZHJz&#10;L2Uyb0RvYy54bWxQSwUGAAAAAAYABgBZAQAAYAUAAAAA&#10;">
                <ns6:fill on="f" focussize="0,0"/>
                <ns6:stroke on="f"/>
                <ns6:imagedata ns7:title=""/>
                <ns7:lock ns6:ext="edit" aspectratio="f"/>
                <ns6:textbox style="mso-fit-shape-to-text:t;">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6:textbox>
              </ns6:shape>
            </w:pict>
          </ns1:Fallback>
        </ns1:AlternateContent>
      </w:r>
      <w:r>
        <w:rPr>
          <w:sz w:val="21"/>
        </w:rPr>
        <ns1:AlternateContent>
          <ns1:Choice Requires="wps">
            <w:drawing>
              <ns3:anchor distT="0" distB="0" distL="114300" distR="114300" simplePos="0" relativeHeight="251659264" behindDoc="0" locked="0" layoutInCell="1" allowOverlap="1">
                <ns3:simplePos x="0" y="0"/>
                <ns3:positionH relativeFrom="column">
                  <ns3:posOffset>-734695</ns3:posOffset>
                </ns3:positionH>
                <ns3:positionV relativeFrom="page">
                  <ns3:posOffset>3185795</ns3:posOffset>
                </ns3:positionV>
                <ns3:extent cx="5386705" cy="727075"/>
                <ns3:effectExtent l="0" t="0" r="0" b="0"/>
                <ns3:wrapNone/>
                <ns3:docPr id="1" name="文本框 1"/>
                <ns3:cNvGraphicFramePr/>
                <ns4:graphic>
                  <ns4:graphicData uri="http://schemas.microsoft.com/office/word/2010/wordprocessingShape">
                    <ns5:wsp>
                      <ns5:cNvSpPr txBox="1"/>
                      <ns5:spPr>
                        <ns4:xfrm>
                          <ns4:off x="0" y="0"/>
                          <ns4:ext cx="5386705" cy="727075"/>
                        </ns4:xfrm>
                        <ns4:prstGeom prst="rect">
                          <ns4:avLst/>
                        </ns4:prstGeom>
                        <ns4:noFill/>
                        <ns4:ln w="6350">
                          <ns4:noFill/>
                        </ns4:ln>
                      </ns5:spPr>
                      <ns5:style>
                        <ns4:lnRef idx="0">
                          <ns4:schemeClr val="accent1"/>
                        </ns4:lnRef>
                        <ns4:fillRef idx="0">
                          <ns4:schemeClr val="accent1"/>
                        </ns4:fillRef>
                        <ns4:effectRef idx="0">
                          <ns4:schemeClr val="accent1"/>
                        </ns4:effectRef>
                        <ns4:fontRef idx="minor">
                          <ns4:schemeClr val="dk1"/>
                        </ns4:fontRef>
                      </ns5:style>
                      <ns5:txb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5:txbx>
                      <ns5:bodyPr rot="0" spcFirstLastPara="0" vertOverflow="overflow" horzOverflow="overflow" vert="horz" wrap="square" lIns="91440" tIns="45720" rIns="91440" bIns="45720" numCol="1" spcCol="0" rtlCol="0" fromWordArt="0" anchor="t" anchorCtr="0" forceAA="0" compatLnSpc="1">
                        <ns4:noAutofit/>
                      </ns5:bodyPr>
                    </ns5:wsp>
                  </ns4:graphicData>
                </ns4:graphic>
              </ns3:anchor>
            </w:drawing>
          </ns1:Choice>
          <ns1:Fallback>
            <w:pict>
              <ns6:shape id="_x0000_s1026" ns7:spid="_x0000_s1026" ns7:spt="202" type="#_x0000_t202" style="position:absolute;left:0pt;margin-left:-57.85pt;margin-top:250.85pt;height:57.25pt;width:424.15pt;mso-position-vertical-relative:page;z-index:251659264;mso-width-relative:page;mso-height-relative:page;" filled="f" stroked="f" coordsize="21600,21600" ns7:gfxdata="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yGTag3QAAAAwBAAAPAAAAAAAAAAEAIAAAACIA&#10;AABkcnMvZG93bnJldi54bWxQSwECFAAUAAAACACHTuJAODINAT0CAABmBAAADgAAAAAAAAABACAA&#10;AAAsAQAAZHJzL2Uyb0RvYy54bWxQSwUGAAAAAAYABgBZAQAA2wUAAAAA&#10;">
                <ns6:fill on="f" focussize="0,0"/>
                <ns6:stroke on="f" weight="0.5pt"/>
                <ns6:imagedata ns7:title=""/>
                <ns7:lock ns6:ext="edit" aspectratio="f"/>
                <ns6:textbo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6:textbox>
              </ns6:shape>
            </w:pict>
          </ns1:Fallback>
        </ns1:AlternateContent>
      </w:r>
      <w:r>
        <ns1:AlternateContent>
          <ns1:Choice Requires="wps">
            <w:drawing>
              <ns3:anchor distT="0" distB="0" distL="114300" distR="114300" simplePos="0" relativeHeight="251661312" behindDoc="0" locked="0" layoutInCell="1" allowOverlap="1">
                <ns3:simplePos x="0" y="0"/>
                <ns3:positionH relativeFrom="column">
                  <ns3:posOffset>-720090</ns3:posOffset>
                </ns3:positionH>
                <ns3:positionV relativeFrom="paragraph">
                  <ns3:posOffset>2778125</ns3:posOffset>
                </ns3:positionV>
                <ns3:extent cx="5963920" cy="1753870"/>
                <ns3:effectExtent l="0" t="0" r="0" b="0"/>
                <ns3:wrapNone/>
                <ns3:docPr id="9" name="文本框 44"/>
                <ns3:cNvGraphicFramePr/>
                <ns4:graphic>
                  <ns4:graphicData uri="http://schemas.microsoft.com/office/word/2010/wordprocessingShape">
                    <ns5:wsp>
                      <ns5:cNvSpPr txBox="1"/>
                      <ns5:spPr>
                        <ns4:xfrm>
                          <ns4:off x="422910" y="3194685"/>
                          <ns4:ext cx="5963920" cy="1753870"/>
                        </ns4:xfrm>
                        <ns4:prstGeom prst="rect">
                          <ns4:avLst/>
                        </ns4:prstGeom>
                        <ns4:noFill/>
                      </ns5:spPr>
                      <ns5:txbx>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5:txbx>
                      <ns5:bodyPr wrap="square" rtlCol="0">
                        <ns4:spAutoFit/>
                      </ns5:bodyPr>
                    </ns5:wsp>
                  </ns4:graphicData>
                </ns4:graphic>
              </ns3:anchor>
            </w:drawing>
          </ns1:Choice>
          <ns1:Fallback>
            <w:pict>
              <ns6:shape id="文本框 44" ns7:spid="_x0000_s1026" ns7:spt="202" type="#_x0000_t202" style="position:absolute;left:0pt;margin-left:-56.7pt;margin-top:218.75pt;height:138.1pt;width:469.6pt;z-index:251661312;mso-width-relative:page;mso-height-relative:page;" filled="f" stroked="f" coordsize="21600,21600" ns7:gfxdata="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RfIaVNoAAAAMAQAADwAAAAAAAAABACAAAAAiAAAAZHJz&#10;L2Rvd25yZXYueG1sUEsBAhQAFAAAAAgAh07iQDlA7fnJAQAAagMAAA4AAAAAAAAAAQAgAAAAKQEA&#10;AGRycy9lMm9Eb2MueG1sUEsFBgAAAAAGAAYAWQEAAGQFAAAAAA==&#10;">
                <ns6:fill on="f" focussize="0,0"/>
                <ns6:stroke on="f"/>
                <ns6:imagedata ns7:title=""/>
                <ns7:lock ns6:ext="edit" aspectratio="f"/>
                <ns6:textbox style="mso-fit-shape-to-text:t;">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6:textbox>
              </ns6:shape>
            </w:pict>
          </ns1:Fallback>
        </ns1:AlternateContent>
      </w:r>
      <w:r>
        <w:rPr>
          <w:rFonts w:hint="eastAsia" w:eastAsia="汉仪粗黑简"/>
          <w:lang w:eastAsia="zh-CN"/>
        </w:rPr>
        <w:drawing>
          <ns3:anchor distT="0" distB="0" distL="114300" distR="114300" simplePos="0" relativeHeight="251660288" behindDoc="1" locked="0" layoutInCell="1" allowOverlap="1">
            <ns3:simplePos x="0" y="0"/>
            <ns3:positionH relativeFrom="column">
              <ns3:posOffset>-1176020</ns3:posOffset>
            </ns3:positionH>
            <ns3:positionV relativeFrom="paragraph">
              <ns3:posOffset>-963295</ns3:posOffset>
            </ns3:positionV>
            <ns3:extent cx="7603490" cy="10751820"/>
            <ns3:effectExtent l="0" t="0" r="1270" b="7620"/>
            <ns3:wrapNone/>
            <ns3:docPr id="20" name="图片 20" descr="竖版待修改竖版 7.16"/>
            <ns3:cNvGraphicFramePr>
              <ns4:graphicFrameLocks noChangeAspect="1"/>
            </ns3:cNvGraphicFramePr>
            <ns4:graphic>
              <ns4:graphicData uri="http://schemas.openxmlformats.org/drawingml/2006/picture">
                <ns8:pic>
                  <ns8:nvPicPr>
                    <ns8:cNvPr id="20" name="图片 20" descr="竖版待修改竖版 7.16"/>
                    <ns8:cNvPicPr>
                      <ns4:picLocks noChangeAspect="1"/>
                    </ns8:cNvPicPr>
                  </ns8:nvPicPr>
                  <ns8:blipFill>
                    <ns4:blip ns9:embed="rId8"/>
                    <ns4:stretch>
                      <ns4:fillRect/>
                    </ns4:stretch>
                  </ns8:blipFill>
                  <ns8:spPr>
                    <ns4:xfrm>
                      <ns4:off x="0" y="0"/>
                      <ns4:ext cx="7603490" cy="10751820"/>
                    </ns4:xfrm>
                    <ns4:prstGeom prst="rect">
                      <ns4:avLst/>
                    </ns4:prstGeom>
                  </ns8:spPr>
                </ns8:pic>
              </ns4:graphicData>
            </ns4:graphic>
          </ns3:anchor>
        </w:drawing>
      </w:r>
    </w:p>
    <w:p ns2:paraId="4F3FF417">
      <w:pPr>
        <w:rPr>
          <w:rFonts w:hint="eastAsia"/>
          <w:sz w:val="21"/>
          <w:lang w:eastAsia="zh-CN"/>
        </w:rPr>
        <w:sectPr>
          <w:headerReference ns9:id="rId3" w:type="default"/>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12" w:charSpace="0"/>
        </w:sectPr>
      </w:pPr>
    </w:p>
    <w:p ns2:paraId="3D0D36C5">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lang w:val="en-US" w:eastAsia="zh-CN"/>
        </w:rPr>
      </w:pPr>
      <w:bookmarkStart w:id="0" w:name="_Toc376"/>
      <w:bookmarkStart w:id="1" w:name="_Toc13682"/>
      <w:bookmarkStart w:id="2" w:name="_Toc27864"/>
      <w:bookmarkStart w:id="3" w:name="_Toc7033"/>
      <w:bookmarkStart w:id="4" w:name="_Toc28049"/>
      <w:bookmarkStart w:id="5" w:name="_Toc29451"/>
      <w:bookmarkStart w:id="6" w:name="_Toc27862"/>
      <w:r>
        <w:rPr>
          <w:rFonts w:hint="eastAsia" w:ascii="汉仪中宋简" w:hAnsi="汉仪中宋简" w:eastAsia="汉仪中宋简" w:cs="汉仪中宋简"/>
          <w:b/>
          <w:bCs/>
          <w:sz w:val="44"/>
          <w:szCs w:val="44"/>
          <w:lang w:val="en-US" w:eastAsia="zh-CN"/>
        </w:rPr>
        <w:t>问卷调研服务结算</w:t>
      </w:r>
      <w:bookmarkEnd w:id="0"/>
      <w:bookmarkEnd w:id="1"/>
      <w:bookmarkEnd w:id="2"/>
    </w:p>
    <w:tbl>
      <w:tblPr>
        <w:tblStyle w:val="10"/>
        <w:tblpPr w:leftFromText="180" w:rightFromText="180" w:vertAnchor="text" w:horzAnchor="page" w:tblpX="1730" w:tblpY="163"/>
        <w:tblOverlap w:val="never"/>
        <w:tblW w:w="892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5"/>
        <w:gridCol w:w="3370"/>
        <w:gridCol w:w="1710"/>
        <w:gridCol w:w="962"/>
        <w:gridCol w:w="1190"/>
      </w:tblGrid>
      <w:tr ns2:paraId="4440D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6" w:hRule="atLeast"/>
          <w:tblHeader/>
          <w:tblCellSpacing w:w="15" w:type="dxa"/>
        </w:trPr>
        <w:tc>
          <w:tcPr>
            <w:tcW w:w="1650" w:type="dxa"/>
            <w:tcBorders>
              <w:top w:val="single" w:color="4874CB" w:themeColor="accent1" w:sz="6" w:space="0"/>
              <w:left w:val="single" w:color="4874CB" w:themeColor="accent1" w:sz="6" w:space="0"/>
              <w:bottom w:val="single" w:color="4874CB" w:themeColor="accent1" w:sz="6" w:space="0"/>
              <w:right w:val="nil"/>
            </w:tcBorders>
            <w:shd w:val="clear" w:color="auto" w:fill="4874CB" w:themeFill="accent1"/>
            <w:vAlign w:val="center"/>
          </w:tcPr>
          <w:p ns2:paraId="2CB7D43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项目</w:t>
            </w:r>
          </w:p>
        </w:tc>
        <w:tc>
          <w:tcPr>
            <w:tcW w:w="334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18060681">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服务内容</w:t>
            </w:r>
          </w:p>
        </w:tc>
        <w:tc>
          <w:tcPr>
            <w:tcW w:w="168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25C7FC50">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单价</w:t>
            </w:r>
          </w:p>
        </w:tc>
        <w:tc>
          <w:tcPr>
            <w:tcW w:w="932" w:type="dxa"/>
            <w:tcBorders>
              <w:top w:val="single" w:color="4874CB" w:themeColor="accent1" w:sz="6" w:space="0"/>
              <w:left w:val="nil"/>
              <w:bottom w:val="single" w:color="4874CB" w:themeColor="accent1" w:sz="6" w:space="0"/>
              <w:right w:val="nil"/>
            </w:tcBorders>
            <w:shd w:val="clear" w:color="auto" w:fill="4874CB" w:themeFill="accent1"/>
            <w:vAlign w:val="center"/>
          </w:tcPr>
          <w:p ns2:paraId="044311B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数量</w:t>
            </w:r>
          </w:p>
        </w:tc>
        <w:tc>
          <w:tcPr>
            <w:tcW w:w="1145" w:type="dxa"/>
            <w:tcBorders>
              <w:top w:val="single" w:color="4874CB" w:themeColor="accent1" w:sz="6" w:space="0"/>
              <w:left w:val="nil"/>
              <w:bottom w:val="single" w:color="4874CB" w:themeColor="accent1" w:sz="6" w:space="0"/>
              <w:right w:val="single" w:color="4874CB" w:themeColor="accent1" w:sz="6" w:space="0"/>
            </w:tcBorders>
            <w:shd w:val="clear" w:color="auto" w:fill="4874CB" w:themeFill="accent1"/>
            <w:vAlign w:val="center"/>
          </w:tcPr>
          <w:p ns2:paraId="3E8F70B6">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费用（元）</w:t>
            </w:r>
          </w:p>
        </w:tc>
      </w:tr>
      <w:tr ns2:paraId="4618E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4874CB" w:themeColor="accent1" w:sz="6" w:space="0"/>
              <w:left w:val="single" w:color="4874CB" w:themeColor="accent1" w:sz="6" w:space="0"/>
              <w:bottom w:val="single" w:color="B5C7EA" w:themeColor="accent1" w:themeTint="66" w:sz="6" w:space="0"/>
              <w:right w:val="nil"/>
            </w:tcBorders>
            <w:shd w:val="clear" w:color="auto" w:fill="auto"/>
            <w:vAlign w:val="center"/>
          </w:tcPr>
          <w:p ns2:paraId="48D8340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问卷样本</w:t>
            </w:r>
          </w:p>
        </w:tc>
        <w:tc>
          <w:tcPr>
            <w:tcW w:w="3340" w:type="dxa"/>
            <w:tcBorders>
              <w:top w:val="single" w:color="4874CB" w:themeColor="accent1" w:sz="6" w:space="0"/>
              <w:left w:val="nil"/>
              <w:bottom w:val="single" w:color="B5C7EA" w:themeColor="accent1" w:themeTint="66" w:sz="6" w:space="0"/>
              <w:right w:val="nil"/>
            </w:tcBorders>
            <w:shd w:val="clear" w:color="auto" w:fill="auto"/>
            <w:vAlign w:val="center"/>
          </w:tcPr>
          <w:p ns2:paraId="6CD3BC35">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抽取样本、数据清洗</w:t>
            </w:r>
          </w:p>
        </w:tc>
        <w:tc>
          <w:tcPr>
            <w:tcW w:w="1680" w:type="dxa"/>
            <w:tcBorders>
              <w:top w:val="single" w:color="4874CB" w:themeColor="accent1" w:sz="6" w:space="0"/>
              <w:left w:val="nil"/>
              <w:bottom w:val="single" w:color="B5C7EA" w:themeColor="accent1" w:themeTint="66" w:sz="6" w:space="0"/>
              <w:right w:val="nil"/>
            </w:tcBorders>
            <w:shd w:val="clear" w:color="auto" w:fill="auto"/>
            <w:vAlign w:val="center"/>
          </w:tcPr>
          <w:p ns2:paraId="6FCA8EC7">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100元/例</w:t>
            </w:r>
          </w:p>
        </w:tc>
        <w:tc>
          <w:tcPr>
            <w:tcW w:w="932" w:type="dxa"/>
            <w:tcBorders>
              <w:top w:val="single" w:color="4874CB" w:themeColor="accent1" w:sz="6" w:space="0"/>
              <w:left w:val="nil"/>
              <w:bottom w:val="single" w:color="B5C7EA" w:themeColor="accent1" w:themeTint="66" w:sz="6" w:space="0"/>
              <w:right w:val="nil"/>
            </w:tcBorders>
            <w:shd w:val="clear" w:color="auto" w:fill="auto"/>
            <w:vAlign w:val="center"/>
          </w:tcPr>
          <w:p ns2:paraId="6AB0B7BA">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 xml:space="preserve">{{field.meta.sample_size}}例</w:t>
            </w:r>
          </w:p>
        </w:tc>
        <w:tc>
          <w:tcPr>
            <w:tcW w:w="1145" w:type="dxa"/>
            <w:tcBorders>
              <w:top w:val="single" w:color="4874CB" w:themeColor="accent1" w:sz="6" w:space="0"/>
              <w:left w:val="nil"/>
              <w:bottom w:val="single" w:color="B5C7EA" w:themeColor="accent1" w:themeTint="66" w:sz="6" w:space="0"/>
              <w:right w:val="single" w:color="4874CB" w:themeColor="accent1" w:sz="6" w:space="0"/>
            </w:tcBorders>
            <w:shd w:val="clear" w:color="auto" w:fill="auto"/>
            <w:vAlign w:val="center"/>
          </w:tcPr>
          <w:p ns2:paraId="714AD419">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164,200</w:t>
            </w:r>
          </w:p>
        </w:tc>
      </w:tr>
      <w:tr ns2:paraId="18A00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B5C7EA" w:themeColor="accent1" w:themeTint="66" w:sz="6" w:space="0"/>
              <w:right w:val="nil"/>
            </w:tcBorders>
            <w:shd w:val="clear" w:color="auto" w:fill="auto"/>
            <w:vAlign w:val="center"/>
          </w:tcPr>
          <w:p ns2:paraId="4E80343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问卷分析报告</w:t>
            </w:r>
          </w:p>
        </w:tc>
        <w:tc>
          <w:tcPr>
            <w:tcW w:w="334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2BA889CF">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数据分析、可视化，形成市场分析报告</w:t>
            </w:r>
          </w:p>
        </w:tc>
        <w:tc>
          <w:tcPr>
            <w:tcW w:w="168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1859385D">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30,000元/篇</w:t>
            </w:r>
          </w:p>
        </w:tc>
        <w:tc>
          <w:tcPr>
            <w:tcW w:w="932"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4C5AA2B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1篇</w:t>
            </w:r>
          </w:p>
        </w:tc>
        <w:tc>
          <w:tcPr>
            <w:tcW w:w="1145" w:type="dxa"/>
            <w:tcBorders>
              <w:top w:val="single" w:color="B5C7EA" w:themeColor="accent1" w:themeTint="66" w:sz="6" w:space="0"/>
              <w:left w:val="nil"/>
              <w:bottom w:val="single" w:color="B5C7EA" w:themeColor="accent1" w:themeTint="66" w:sz="6" w:space="0"/>
              <w:right w:val="single" w:color="4874CB" w:themeColor="accent1" w:sz="6" w:space="0"/>
            </w:tcBorders>
            <w:shd w:val="clear" w:color="auto" w:fill="auto"/>
            <w:vAlign w:val="center"/>
          </w:tcPr>
          <w:p ns2:paraId="2E1E07FB">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w:t>
            </w:r>
          </w:p>
        </w:tc>
      </w:tr>
      <w:tr ns2:paraId="28929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4874CB" w:themeColor="accent1" w:sz="6" w:space="0"/>
              <w:right w:val="nil"/>
            </w:tcBorders>
            <w:shd w:val="clear" w:color="auto" w:fill="auto"/>
            <w:vAlign w:val="center"/>
          </w:tcPr>
          <w:p ns2:paraId="4279FFE1">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总计</w:t>
            </w:r>
          </w:p>
        </w:tc>
        <w:tc>
          <w:tcPr>
            <w:tcW w:w="3340" w:type="dxa"/>
            <w:tcBorders>
              <w:top w:val="single" w:color="B5C7EA" w:themeColor="accent1" w:themeTint="66" w:sz="6" w:space="0"/>
              <w:left w:val="nil"/>
              <w:bottom w:val="single" w:color="4874CB" w:themeColor="accent1" w:sz="6" w:space="0"/>
              <w:right w:val="nil"/>
            </w:tcBorders>
            <w:shd w:val="clear" w:color="auto" w:fill="auto"/>
            <w:vAlign w:val="center"/>
          </w:tcPr>
          <w:p ns2:paraId="3A1B7D94">
            <w:pPr>
              <w:rPr>
                <w:rFonts w:hint="eastAsia" w:ascii="汉仪中宋简" w:hAnsi="汉仪中宋简" w:eastAsia="汉仪中宋简" w:cs="汉仪中宋简"/>
                <w:b w:val="0"/>
                <w:i w:val="0"/>
                <w:color w:val="000000"/>
                <w:sz w:val="24"/>
                <w:szCs w:val="24"/>
                <w:highlight w:val="none"/>
              </w:rPr>
            </w:pPr>
          </w:p>
        </w:tc>
        <w:tc>
          <w:tcPr>
            <w:tcW w:w="1680" w:type="dxa"/>
            <w:tcBorders>
              <w:top w:val="single" w:color="B5C7EA" w:themeColor="accent1" w:themeTint="66" w:sz="6" w:space="0"/>
              <w:left w:val="nil"/>
              <w:bottom w:val="single" w:color="4874CB" w:themeColor="accent1" w:sz="6" w:space="0"/>
              <w:right w:val="nil"/>
            </w:tcBorders>
            <w:shd w:val="clear" w:color="auto" w:fill="auto"/>
            <w:vAlign w:val="center"/>
          </w:tcPr>
          <w:p ns2:paraId="553A0E1F">
            <w:pPr>
              <w:rPr>
                <w:rFonts w:hint="eastAsia" w:ascii="汉仪中宋简" w:hAnsi="汉仪中宋简" w:eastAsia="汉仪中宋简" w:cs="汉仪中宋简"/>
                <w:b w:val="0"/>
                <w:i w:val="0"/>
                <w:color w:val="000000"/>
                <w:sz w:val="24"/>
                <w:szCs w:val="24"/>
                <w:highlight w:val="none"/>
              </w:rPr>
            </w:pPr>
          </w:p>
        </w:tc>
        <w:tc>
          <w:tcPr>
            <w:tcW w:w="932" w:type="dxa"/>
            <w:tcBorders>
              <w:top w:val="single" w:color="B5C7EA" w:themeColor="accent1" w:themeTint="66" w:sz="6" w:space="0"/>
              <w:left w:val="nil"/>
              <w:bottom w:val="single" w:color="4874CB" w:themeColor="accent1" w:sz="6" w:space="0"/>
              <w:right w:val="nil"/>
            </w:tcBorders>
            <w:shd w:val="clear" w:color="auto" w:fill="auto"/>
            <w:vAlign w:val="center"/>
          </w:tcPr>
          <w:p ns2:paraId="6AE98FA0">
            <w:pPr>
              <w:rPr>
                <w:rFonts w:hint="eastAsia" w:ascii="汉仪中宋简" w:hAnsi="汉仪中宋简" w:eastAsia="汉仪中宋简" w:cs="汉仪中宋简"/>
                <w:b w:val="0"/>
                <w:i w:val="0"/>
                <w:color w:val="000000"/>
                <w:sz w:val="24"/>
                <w:szCs w:val="24"/>
                <w:highlight w:val="none"/>
              </w:rPr>
            </w:pPr>
          </w:p>
        </w:tc>
        <w:tc>
          <w:tcPr>
            <w:tcW w:w="1145" w:type="dxa"/>
            <w:tcBorders>
              <w:top w:val="single" w:color="B5C7EA" w:themeColor="accent1" w:themeTint="66" w:sz="6" w:space="0"/>
              <w:left w:val="nil"/>
              <w:bottom w:val="single" w:color="4874CB" w:themeColor="accent1" w:sz="6" w:space="0"/>
              <w:right w:val="single" w:color="4874CB" w:themeColor="accent1" w:sz="6" w:space="0"/>
            </w:tcBorders>
            <w:shd w:val="clear" w:color="auto" w:fill="auto"/>
            <w:vAlign w:val="center"/>
          </w:tcPr>
          <w:p ns2:paraId="5F1E672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194,200</w:t>
            </w:r>
          </w:p>
        </w:tc>
      </w:tr>
    </w:tbl>
    <w:p ns2:paraId="4886E5A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服务承诺：确保数据真实可靠，分析专业严谨，提供有价值的市场洞察，保持与客户的密切沟通，确保项目高质量完成。</w:t>
      </w:r>
    </w:p>
    <w:p ns2:paraId="450101E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jc w:val="right"/>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xml:space="preserve">服务单位：{{field.service.unit}}日期：{{field.service.date}}</w:t>
      </w: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w:r>
    </w:p>
    <w:bookmarkEnd w:id="3"/>
    <w:bookmarkEnd w:id="4"/>
    <w:bookmarkEnd w:id="5"/>
    <w:bookmarkEnd w:id="6"/>
    <w:p ns2:paraId="363E8080">
      <w:pPr>
        <w:rPr>
          <w:rFonts w:hint="eastAsia" w:ascii="汉仪中宋简" w:hAnsi="汉仪中宋简" w:eastAsia="汉仪中宋简" w:cs="汉仪中宋简"/>
          <w:b/>
          <w:lang w:val="en-US" w:eastAsia="zh-CN"/>
        </w:rPr>
        <w:sectPr>
          <w:footerReference ns9: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2FEDE721">
      <w:pPr>
        <w:rPr>
          <w:rFonts w:hint="eastAsia" w:ascii="汉仪中宋简" w:hAnsi="汉仪中宋简" w:eastAsia="汉仪中宋简" w:cs="汉仪中宋简"/>
          <w:b/>
          <w:lang w:val="en-US" w:eastAsia="zh-CN"/>
        </w:rPr>
      </w:pPr>
    </w:p>
    <w:sdt>
      <w:sdtPr>
        <w:rPr>
          <w:rFonts w:hint="eastAsia" w:ascii="汉仪中宋简" w:hAnsi="汉仪中宋简" w:eastAsia="汉仪中宋简" w:cs="汉仪中宋简"/>
          <w:b/>
          <w:bCs/>
          <w:kern w:val="2"/>
          <w:sz w:val="21"/>
          <w:szCs w:val="24"/>
          <w:lang w:val="en-US" w:eastAsia="zh-CN" w:bidi="ar-SA"/>
        </w:rPr>
        <w:id w:val="147466021"/>
        <ns10:color w:val="DBDBDB"/>
        <w:docPartObj>
          <w:docPartGallery w:val="Table of Contents"/>
          <w:docPartUnique/>
        </w:docPartObj>
      </w:sdtPr>
      <w:sdtEndPr>
        <w:rPr>
          <w:rFonts w:hint="eastAsia" w:ascii="汉仪中宋简" w:hAnsi="汉仪中宋简" w:eastAsia="汉仪中宋简" w:cs="汉仪中宋简"/>
          <w:b/>
          <w:bCs/>
          <w:kern w:val="2"/>
          <w:sz w:val="21"/>
          <w:szCs w:val="24"/>
          <w:lang w:val="en-US" w:eastAsia="zh-CN" w:bidi="ar-SA"/>
        </w:rPr>
      </w:sdtEndPr>
      <w:sdtContent>
        <w:p ns2:paraId="40F87C1A">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ind w:left="0" w:leftChars="0" w:right="0" w:rightChars="0" w:firstLine="0" w:firstLineChars="0"/>
            <w:jc w:val="center"/>
            <w:textAlignment w:val="auto"/>
            <w:rPr>
              <w:rFonts w:hint="eastAsia" w:ascii="汉仪中宋简" w:hAnsi="汉仪中宋简" w:eastAsia="汉仪中宋简" w:cs="汉仪中宋简"/>
              <w:kern w:val="2"/>
              <w:sz w:val="21"/>
              <w:szCs w:val="24"/>
              <w:lang w:val="en-US" w:eastAsia="zh-CN" w:bidi="ar-SA"/>
            </w:rPr>
          </w:pPr>
          <w:r>
            <w:rPr>
              <w:rFonts w:hint="eastAsia" w:ascii="汉仪中宋简" w:hAnsi="汉仪中宋简" w:eastAsia="汉仪中宋简" w:cs="汉仪中宋简"/>
              <w:b/>
              <w:bCs/>
              <w:sz w:val="40"/>
              <w:szCs w:val="40"/>
            </w:rPr>
            <w:t>目录</w:t>
          </w:r>
          <w:r>
            <w:rPr>
              <w:rFonts w:hint="eastAsia" w:ascii="汉仪中宋简" w:hAnsi="汉仪中宋简" w:eastAsia="汉仪中宋简" w:cs="汉仪中宋简"/>
            </w:rPr>
            <w:fldChar w:fldCharType="begin"/>
          </w:r>
          <w:r>
            <w:rPr>
              <w:rFonts w:hint="eastAsia" w:ascii="汉仪中宋简" w:hAnsi="汉仪中宋简" w:eastAsia="汉仪中宋简" w:cs="汉仪中宋简"/>
            </w:rPr>
            <w:instrText xml:space="preserve">TOC \o "1-2" \h \u </w:instrText>
          </w:r>
          <w:r>
            <w:rPr>
              <w:rFonts w:hint="eastAsia" w:ascii="汉仪中宋简" w:hAnsi="汉仪中宋简" w:eastAsia="汉仪中宋简" w:cs="汉仪中宋简"/>
            </w:rPr>
            <w:fldChar w:fldCharType="separate"/>
          </w:r>
        </w:p>
        <w:p ns2:paraId="3E960E78">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_Toc2436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前言</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_Toc2436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AA5F2FB">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_Toc29577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一、 </w:t>
          </w:r>
          <w:r>
            <w:rPr>
              <w:rFonts w:hint="eastAsia" w:ascii="汉仪中宋简" w:hAnsi="汉仪中宋简" w:eastAsia="汉仪中宋简" w:cs="汉仪中宋简"/>
              <w:sz w:val="28"/>
              <w:szCs w:val="28"/>
              <w:highlight w:val="none"/>
              <w:lang w:val="en-US" w:eastAsia="zh-CN"/>
            </w:rPr>
            <w:t>项目背景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_Toc29577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0A67AD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_Toc26883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二、 </w:t>
          </w:r>
          <w:r>
            <w:rPr>
              <w:rFonts w:hint="eastAsia" w:ascii="汉仪中宋简" w:hAnsi="汉仪中宋简" w:eastAsia="汉仪中宋简" w:cs="汉仪中宋简"/>
              <w:sz w:val="28"/>
              <w:szCs w:val="28"/>
              <w:highlight w:val="none"/>
              <w:lang w:val="en-US" w:eastAsia="zh-CN"/>
            </w:rPr>
            <w:t>项目开展情况</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_Toc26883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5E8BCBD">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_Toc17641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三、 </w:t>
          </w:r>
          <w:r>
            <w:rPr>
              <w:rFonts w:hint="eastAsia" w:ascii="汉仪中宋简" w:hAnsi="汉仪中宋简" w:eastAsia="汉仪中宋简" w:cs="汉仪中宋简"/>
              <w:sz w:val="28"/>
              <w:szCs w:val="28"/>
              <w:highlight w:val="none"/>
              <w:lang w:val="en-US" w:eastAsia="zh-CN"/>
            </w:rPr>
            <w:t>问卷说明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_Toc17641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3AE118E">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_Toc14182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四、 问卷结果分析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_Toc14182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CB82E8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_Toc23502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4.1药品疗效</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_Toc23502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5DE5ED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_Toc4015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4.2药品安全性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_Toc4015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F8A7B9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_Toc4788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4.3用药行为与习惯​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_Toc4788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7</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3D4F5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_Toc26585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4.4用药便利性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_Toc26585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10</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A49DB6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4.5药品经济性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9C28F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_Toc8285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4.6药品可及性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_Toc8285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5ADE83F">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_Toc1050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4.7用药指导信息评价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_Toc1050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942BE44">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_Toc19608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五、 调研结果</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_Toc19608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F1F411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_Toc7275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5.1问卷重点问题分析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_Toc7275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06EB428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_Toc25533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5.2调研结果分析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_Toc25533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18</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9359071">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_Toc4442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5.3建议</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_Toc4442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19</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BF03D1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_Toc17910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附件1：厄贝沙坦氢氯噻嗪片用药体验与疗效反馈患者调查问卷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_Toc17910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84CEFBC">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_Toc22330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附件2：问卷调查明细表</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_Toc22330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DE77654">
          <w:pPr>
            <w:pStyle w:val="7"/>
            <w:tabs>
              <w:tab w:val="right" w:leader="dot" w:pos="8306"/>
            </w:tabs>
            <w:rPr>
              <w:rFonts w:hint="eastAsia" w:ascii="汉仪中宋简" w:hAnsi="汉仪中宋简" w:eastAsia="汉仪中宋简" w:cs="汉仪中宋简"/>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_Toc8154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免责申明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_Toc8154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24C758E">
          <w:pPr>
            <w:keepNext w:val="0"/>
            <w:keepLines w:val="0"/>
            <w:pageBreakBefore w:val="0"/>
            <w:widowControl w:val="0"/>
            <w:kinsoku/>
            <w:wordWrap/>
            <w:overflowPunct/>
            <w:topLinePunct w:val="0"/>
            <w:autoSpaceDE/>
            <w:autoSpaceDN/>
            <w:bidi w:val="0"/>
            <w:adjustRightInd/>
            <w:snapToGrid/>
            <w:spacing w:before="0" w:beforeLines="0" w:after="0" w:afterLines="0" w:line="480" w:lineRule="auto"/>
            <w:ind w:left="0" w:leftChars="0" w:right="0" w:rightChars="0" w:firstLine="0" w:firstLineChars="0"/>
            <w:jc w:val="center"/>
            <w:textAlignment w:val="auto"/>
            <w:rPr>
              <w:rFonts w:hint="eastAsia" w:ascii="汉仪中宋简" w:hAnsi="汉仪中宋简" w:eastAsia="汉仪中宋简" w:cs="汉仪中宋简"/>
            </w:rPr>
          </w:pPr>
          <w:r>
            <w:rPr>
              <w:rFonts w:hint="eastAsia" w:ascii="汉仪中宋简" w:hAnsi="汉仪中宋简" w:eastAsia="汉仪中宋简" w:cs="汉仪中宋简"/>
            </w:rPr>
            <w:fldChar w:fldCharType="end"/>
          </w:r>
        </w:p>
      </w:sdtContent>
    </w:sdt>
    <w:p ns2:paraId="2F7C28CF">
      <w:pPr>
        <w:pStyle w:val="2"/>
        <w:bidi w:val="0"/>
        <w:jc w:val="center"/>
        <w:rPr>
          <w:rFonts w:hint="eastAsia" w:ascii="汉仪中宋简" w:hAnsi="汉仪中宋简" w:eastAsia="汉仪中宋简" w:cs="汉仪中宋简"/>
          <w:lang w:val="en-US" w:eastAsia="zh-CN"/>
        </w:rPr>
        <w:sectPr>
          <w:footerReference ns9: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bookmarkStart w:id="7" w:name="_Toc2436"/>
    </w:p>
    <w:p ns2:paraId="6C8E94F9">
      <w:pPr>
        <w:pStyle w:val="2"/>
        <w:bidi w:val="0"/>
        <w:jc w:val="center"/>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前言</w:t>
      </w:r>
      <w:bookmarkEnd w:id="7"/>
    </w:p>
    <w:p ns2:paraId="7D65B80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{{block.preface}}</w:t>
      </w:r>
    </w:p>
    <w:p ns2:paraId="3B61949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sectPr>
          <w:footerReference ns9:id="rId6"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041B3149">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bCs/>
          <w:sz w:val="44"/>
          <w:szCs w:val="44"/>
          <w:lang w:val="en-US" w:eastAsia="zh-CN"/>
        </w:rPr>
      </w:pPr>
      <w:bookmarkStart w:id="8" w:name="_Toc31976"/>
      <w:bookmarkStart w:id="9" w:name="_Toc6219"/>
      <w:bookmarkStart w:id="10" w:name="_Toc18642"/>
      <w:r>
        <w:rPr>
          <w:rFonts w:hint="eastAsia" w:ascii="汉仪中宋简" w:hAnsi="汉仪中宋简" w:eastAsia="汉仪中宋简" w:cs="汉仪中宋简"/>
          <w:b/>
          <w:bCs/>
          <w:sz w:val="44"/>
          <w:szCs w:val="44"/>
          <w:lang w:val="en-US" w:eastAsia="zh-CN"/>
        </w:rPr>
        <w:t>厄贝沙坦氢氯噻嗪片用药体验与疗效反馈患者调查问卷分析报告</w:t>
      </w:r>
      <w:bookmarkEnd w:id="8"/>
      <w:bookmarkEnd w:id="9"/>
      <w:bookmarkEnd w:id="10"/>
    </w:p>
    <w:p ns2:paraId="20E32FA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1" w:name="_Toc29577"/>
      <w:r>
        <w:rPr>
          <w:rFonts w:hint="eastAsia" w:ascii="汉仪中宋简" w:hAnsi="汉仪中宋简" w:eastAsia="汉仪中宋简" w:cs="汉仪中宋简"/>
          <w:b/>
          <w:highlight w:val="none"/>
          <w:lang w:val="en-US" w:eastAsia="zh-CN"/>
        </w:rPr>
        <w:t>项目背景</w:t>
      </w:r>
      <w:bookmarkEnd w:id="11"/>
    </w:p>
    <w:p ns2:paraId="3302355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24"/>
          <w:highlight w:val="none"/>
          <w:lang w:val="en-US" w:eastAsia="zh-CN"/>
        </w:rPr>
      </w:pPr>
      <w:r>
        <w:rPr>
          <w:rFonts w:hint="eastAsia" w:ascii="汉仪中宋简" w:hAnsi="汉仪中宋简" w:eastAsia="汉仪中宋简" w:cs="汉仪中宋简"/>
          <w:sz w:val="24"/>
          <w:szCs w:val="24"/>
          <w:highlight w:val="none"/>
          <w:lang w:val="en-US" w:eastAsia="zh-CN"/>
        </w:rPr>
        <w:t xml:space="preserve">{{block.project_background}}</w:t>
      </w:r>
    </w:p>
    <w:p ns2:paraId="5BFBAED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2" w:name="_Toc26883"/>
      <w:r>
        <w:rPr>
          <w:rFonts w:hint="eastAsia" w:ascii="汉仪中宋简" w:hAnsi="汉仪中宋简" w:eastAsia="汉仪中宋简" w:cs="汉仪中宋简"/>
          <w:b/>
          <w:highlight w:val="none"/>
          <w:lang w:val="en-US" w:eastAsia="zh-CN"/>
        </w:rPr>
        <w:t>项目开展情况</w:t>
      </w:r>
      <w:bookmarkEnd w:id="12"/>
    </w:p>
    <w:p ns2:paraId="1BBB4ED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{{block.project_execution}}</w:t>
      </w:r>
    </w:p>
    <w:p ns2:paraId="45E0F945">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3" w:name="_Toc17641"/>
      <w:r>
        <w:rPr>
          <w:rFonts w:hint="eastAsia" w:ascii="汉仪中宋简" w:hAnsi="汉仪中宋简" w:eastAsia="汉仪中宋简" w:cs="汉仪中宋简"/>
          <w:b/>
          <w:highlight w:val="none"/>
          <w:lang w:val="en-US" w:eastAsia="zh-CN"/>
        </w:rPr>
        <w:t>问卷说明</w:t>
      </w:r>
      <w:bookmarkEnd w:id="13"/>
    </w:p>
    <w:p ns2:paraId="709CC835">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{{block.questionnaire_note}}</w:t>
      </w:r>
    </w:p>
    <w:p ns2:paraId="00BB390D">
      <w:pPr>
        <w:pStyle w:val="3"/>
        <w:numPr>
          <w:ilvl w:val="0"/>
          <w:numId w:val="1"/>
        </w:numPr>
        <w:bidi w:val="0"/>
        <w:outlineLvl w:val="0"/>
        <w:rPr>
          <w:rFonts w:hint="eastAsia" w:ascii="汉仪中宋简" w:hAnsi="汉仪中宋简" w:eastAsia="汉仪中宋简" w:cs="汉仪中宋简"/>
          <w:b/>
          <w:lang w:val="en-US" w:eastAsia="zh-CN"/>
        </w:rPr>
      </w:pPr>
      <w:bookmarkStart w:id="14" w:name="_Toc14182"/>
      <w:r>
        <w:rPr>
          <w:rFonts w:hint="eastAsia" w:ascii="汉仪中宋简" w:hAnsi="汉仪中宋简" w:eastAsia="汉仪中宋简" w:cs="汉仪中宋简"/>
          <w:b/>
          <w:lang w:val="en-US" w:eastAsia="zh-CN"/>
        </w:rPr>
        <w:t>问卷结果分析</w:t>
      </w:r>
      <w:bookmarkEnd w:id="14"/>
    </w:p>
    <w:p ns2:paraId="795A2C94">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本次调查采用问卷调查方式，共有14个问题，本报告从药品疗效、药品安全性、患者用药行为与习惯、用药便利性、药品经济性、药品可及性用药指导信息评价等7个维度展开统计分析。</w:t>
      </w:r>
    </w:p>
    <w:p ns2:paraId="12FB187E">
      <w:pPr>
        <w:keepNext w:val="0"/>
        <w:keepLines w:val="0"/>
        <w:pageBreakBefore w:val="0"/>
        <w:widowControl w:val="0"/>
        <w:numPr>
          <w:ilvl w:val="0"/>
          <w:numId w:val="0"/>
        </w:numPr>
        <w:kinsoku/>
        <w:wordWrap/>
        <w:overflowPunct/>
        <w:topLinePunct w:val="0"/>
        <w:autoSpaceDE/>
        <w:autoSpaceDN/>
        <w:bidi w:val="0"/>
        <w:adjustRightInd/>
        <w:snapToGrid/>
        <w:spacing w:line="600" w:lineRule="auto"/>
        <w:textAlignment w:val="auto"/>
        <w:rPr>
          <w:rFonts w:hint="eastAsia" w:ascii="汉仪中宋简" w:hAnsi="汉仪中宋简" w:eastAsia="汉仪中宋简" w:cs="汉仪中宋简"/>
        </w:rPr>
      </w:pPr>
      <w:r>
        <w:rPr>
          <w:rFonts w:hint="eastAsia" w:ascii="汉仪中宋简" w:hAnsi="汉仪中宋简" w:eastAsia="汉仪中宋简" w:cs="汉仪中宋简"/>
          <w:sz w:val="24"/>
          <w:szCs w:val="32"/>
          <w:lang w:val="en-US" w:eastAsia="zh-CN"/>
        </w:rPr>
        <w:drawing>
          <ns3:inline distT="0" distB="0" distL="114300" distR="114300">
            <ns3:extent cx="5238750" cy="4293235"/>
            <ns3:effectExtent l="9525" t="9525" r="9525" b="15240"/>
            <ns3:docPr id="7" name="图片 7"/>
            <ns3:cNvGraphicFramePr/>
            <ns4:graphic>
              <ns4:graphicData uri="http://schemas.openxmlformats.org/drawingml/2006/picture">
                <ns8:pic>
                  <ns8:nvPicPr>
                    <ns8:cNvPr id="7" name="图片 7"/>
                    <ns8:cNvPicPr/>
                  </ns8:nvPicPr>
                  <ns8:blipFill>
                    <ns4:blip ns9:embed="rId10"/>
                    <ns4:stretch>
                      <ns4:fillRect/>
                    </ns4:stretch>
                  </ns8:blipFill>
                  <ns8:spPr>
                    <ns4:xfrm>
                      <ns4:off x="0" y="0"/>
                      <ns4:ext cx="5238750" cy="4293235"/>
                    </ns4:xfrm>
                    <ns4:prstGeom prst="rect">
                      <ns4:avLst/>
                    </ns4:prstGeom>
                    <ns4:ln>
                      <ns4:solidFill>
                        <ns4:srgbClr val="FFFFFF"/>
                      </ns4:solidFill>
                    </ns4:ln>
                    <ns4:extLst>
                      <ns4:ext uri="{8CAD56D8-0F58-4FB8-B24C-77498146470C}">
                        <ns11:webExtensionRef ns9:id="rId9"/>
                      </ns4:ext>
                      <ns11:webExtensionRef ns9:id="rId9"/>
                    </ns4:extLst>
                  </ns8:spPr>
                </ns8:pic>
              </ns4:graphicData>
            </ns4:graphic>
          </ns3:inline>
        </w:drawing>
      </w:r>
    </w:p>
    <w:p ns2:paraId="2A8B3975">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center"/>
        <w:textAlignment w:val="auto"/>
        <w:rPr>
          <w:rFonts w:hint="eastAsia" w:ascii="汉仪中宋简" w:hAnsi="汉仪中宋简" w:eastAsia="汉仪中宋简" w:cs="汉仪中宋简"/>
          <w:b w:val="0"/>
          <w:bCs w:val="0"/>
          <w:color w:val="000000" w:themeColor="text1"/>
          <w:sz w:val="24"/>
          <w:szCs w:val="24"/>
          <w:lang w:val="en-US" w:eastAsia="zh-CN"/>
          <ns2:textFill>
            <ns2:solidFill>
              <ns2:schemeClr ns2:val="tx1"/>
            </ns2:solidFill>
          </ns2:textFill>
        </w:rPr>
      </w:pPr>
      <w:r>
        <w:rPr>
          <w:rFonts w:hint="eastAsia" w:ascii="汉仪中宋简" w:hAnsi="汉仪中宋简" w:eastAsia="汉仪中宋简" w:cs="汉仪中宋简"/>
          <w:lang w:eastAsia="zh-CN"/>
        </w:rPr>
        <w:drawing>
          <ns3:inline distT="0" distB="0" distL="114300" distR="114300">
            <ns3:extent cx="5234305" cy="2489835"/>
            <ns3:effectExtent l="4445" t="4445" r="6350" b="45720"/>
            <ns3:docPr id="14" name="图表 14" descr="7b0a202020202263686172745265734964223a20223230343735383430220a7d0a"/>
            <ns3:cNvGraphicFramePr/>
            <ns4:graphic>
              <ns4:graphicData uri="http://schemas.openxmlformats.org/drawingml/2006/chart">
                <ns12:chart ns9:id="rId11"/>
              </ns4:graphicData>
            </ns4:graphic>
          </ns3:inline>
        </w:drawing>
      </w:r>
      <w:r>
        <w:rPr>
          <w:rFonts w:hint="eastAsia" w:ascii="汉仪中宋简" w:hAnsi="汉仪中宋简" w:eastAsia="汉仪中宋简" w:cs="汉仪中宋简"/>
          <w:lang w:eastAsia="zh-CN"/>
        </w:rPr>
        <w:drawing>
          <ns3:inline distT="0" distB="0" distL="114300" distR="114300">
            <ns3:extent cx="5240020" cy="2601595"/>
            <ns3:effectExtent l="4445" t="4445" r="13335" b="35560"/>
            <ns3:docPr id="11" name="图表 11" descr="7b0a202020202263686172745265734964223a20223230343735383430220a7d0a"/>
            <ns3:cNvGraphicFramePr/>
            <ns4:graphic>
              <ns4:graphicData uri="http://schemas.openxmlformats.org/drawingml/2006/chart">
                <ns12:chart ns9:id="rId12"/>
              </ns4:graphicData>
            </ns4:graphic>
          </ns3:inline>
        </w:drawing>
      </w:r>
    </w:p>
    <w:p ns2:paraId="6FEF9D0C">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both"/>
        <w:textAlignment w:val="auto"/>
        <w:rPr>
          <w:rFonts w:hint="eastAsia" w:ascii="汉仪中宋简" w:hAnsi="汉仪中宋简" w:eastAsia="汉仪中宋简" w:cs="汉仪中宋简"/>
          <w:lang w:val="en-US" w:eastAsia="zh-CN"/>
        </w:rPr>
      </w:pPr>
    </w:p>
    <w:p ns2:paraId="062BDC27">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5" w:name="_Toc23502"/>
      <w:r>
        <w:rPr>
          <w:rFonts w:hint="eastAsia" w:ascii="汉仪中宋简" w:hAnsi="汉仪中宋简" w:eastAsia="汉仪中宋简" w:cs="汉仪中宋简"/>
          <w:lang w:val="en-US" w:eastAsia="zh-CN"/>
        </w:rPr>
        <w:t>4.1药品疗效</w:t>
      </w:r>
      <w:bookmarkEnd w:id="15"/>
    </w:p>
    <w:p ns2:paraId="309B9A6C">
      <w:pPr>
        <w:pStyle w:val="4"/>
        <w:keepNext/>
        <w:keepLines/>
        <w:pageBreakBefore w:val="0"/>
        <w:widowControl w:val="0"/>
        <w:numPr>
          <w:ilvl w:val="0"/>
          <w:numId w:val="2"/>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血压控制效果分析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24"/>
        <w:gridCol w:w="896"/>
        <w:gridCol w:w="1494"/>
        <w:gridCol w:w="1494"/>
        <w:gridCol w:w="1494"/>
        <w:gridCol w:w="1496"/>
      </w:tblGrid>
      <w:tr ns2:paraId="7EA3F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AD6E1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1.您服用厄贝沙坦氢氯噻嗪片后，血压控制效果如何？</w:t>
            </w:r>
          </w:p>
        </w:tc>
        <w:tc>
          <w:tcPr>
            <w:tcW w:w="8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2E7BC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36A4CE8">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A.血压稳定在正常范围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226F51">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B.血压多数时间在正常范围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F85F2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C.血压偶尔超出正常范围</w:t>
            </w:r>
          </w:p>
        </w:tc>
        <w:tc>
          <w:tcPr>
            <w:tcW w:w="14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6F4B2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D.血压持续超出正常范围</w:t>
            </w:r>
          </w:p>
        </w:tc>
      </w:tr>
      <w:tr ns2:paraId="24BA0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7E325A1">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A805CD">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889C9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738</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8265E9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804</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7328D7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B4C423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7DBF7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B08899">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742B84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F47C4A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44.95%</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0BF7C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48.96%</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4B33F6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1392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107EF0C">
      <w:pPr>
        <w:rPr>
          <w:rFonts w:hint="eastAsia" w:ascii="汉仪中宋简" w:hAnsi="汉仪中宋简" w:eastAsia="汉仪中宋简" w:cs="汉仪中宋简"/>
          <w:lang w:val="en-US" w:eastAsia="zh-CN"/>
        </w:rPr>
      </w:pPr>
    </w:p>
    <w:p ns2:paraId="7DEDD8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调研结果呈现出极高的正向反馈比例。具体来看，44.95%的患者反馈血压能够稳定在正常范围，该部分患者通过规律服药实现了血压的精准管控，这是药物疗效达标的核心体现；48.96%的患者表示血压多数时间在正常范围，说明药物对该群体的血压调节具备持续有效性，仅在特殊生理状态或生活习惯波动时可能出现短暂波动，整体仍处于可控区间。两者合计占比高达93.91%，充分印证了厄贝沙坦氢氯噻嗪片作为复方降压药物的临床优势，其通过厄贝沙坦与氢氯噻嗪的协同作用，能够有效覆盖多数高血压患者的降压需求。此外，仅6.09%的患者存在血压偶尔超出正常范围的情况，无患者反馈血压持续失控，结合临床经验推测，该部分患者的血压波动可能与个体代谢差异、用药依从性细节偏差或生活方式干预不足相关，而非药物本身疗效不足，进一步说明该药物的整体疗效稳定性和可靠性。​</w:t>
      </w:r>
    </w:p>
    <w:p ns2:paraId="095C7902">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highlight w:val="none"/>
          <w:lang w:val="en-US" w:eastAsia="zh-CN"/>
        </w:rPr>
      </w:pPr>
      <w:bookmarkStart w:id="16" w:name="_Toc4015"/>
      <w:r>
        <w:rPr>
          <w:rFonts w:hint="eastAsia" w:ascii="汉仪中宋简" w:hAnsi="汉仪中宋简" w:eastAsia="汉仪中宋简" w:cs="汉仪中宋简"/>
          <w:highlight w:val="none"/>
          <w:lang w:val="en-US" w:eastAsia="zh-CN"/>
        </w:rPr>
        <w:t>4.2药品安全性</w:t>
      </w:r>
      <w:bookmarkEnd w:id="16"/>
    </w:p>
    <w:p ns2:paraId="24CF4E33">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头晕头痛不良反应分析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853"/>
        <w:gridCol w:w="1434"/>
        <w:gridCol w:w="1434"/>
        <w:gridCol w:w="1434"/>
        <w:gridCol w:w="1435"/>
      </w:tblGrid>
      <w:tr ns2:paraId="4DC8D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665E77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2.您服用厄贝沙坦氢氯噻嗪片期间，是否出现过头晕、头痛症状？</w:t>
            </w:r>
          </w:p>
        </w:tc>
        <w:tc>
          <w:tcPr>
            <w:tcW w:w="85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57401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F953B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A.经常出现，症状严重</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4203C6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B.偶尔出现，症状轻微可忍受</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2A77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C.很少出现，几乎无感觉</w:t>
            </w:r>
          </w:p>
        </w:tc>
        <w:tc>
          <w:tcPr>
            <w:tcW w:w="143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DF4EA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1BFA2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8B34AA1">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5E9F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3C697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B9E0C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E0274C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679</w:t>
            </w:r>
          </w:p>
        </w:tc>
        <w:tc>
          <w:tcPr>
            <w:tcW w:w="143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BC79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863</w:t>
            </w:r>
          </w:p>
        </w:tc>
      </w:tr>
      <w:tr ns2:paraId="0F99E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6F4FD79">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BB906B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7C7E1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4DC1ED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7D4D82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41.35%</w:t>
            </w:r>
          </w:p>
        </w:tc>
        <w:tc>
          <w:tcPr>
            <w:tcW w:w="143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747184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52.56%</w:t>
            </w:r>
          </w:p>
        </w:tc>
      </w:tr>
    </w:tbl>
    <w:p ns2:paraId="67BFDFB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头晕、头痛是降压药物初期常见的不良反应，与血管扩张带来的脑部供血变化相关，其发生情况直接反映药物的安全性与患者耐受性。本次调研显示，52.56%的患者明确表示从未出现该症状，41.35%的患者反馈很少出现且几乎无感觉，两者合计占比93.91%，表明该药物对患者脑血管调节功能的影响极小，多数患者可快速适应药物作用。仅6.09%的患者出现偶尔轻微且可耐受的症状，无任何严重症状案例，说明即便出现不良反应，程度也较为轻微，不会对患者正常工作与生活造成干扰，进一步验证了该药物的安全性优势，为患者长期规律用药奠定了基础。​</w:t>
      </w:r>
    </w:p>
    <w:p ns2:paraId="08B2DF8A">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口渴多尿不良反应分析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1318"/>
        <w:gridCol w:w="1417"/>
        <w:gridCol w:w="1219"/>
        <w:gridCol w:w="1318"/>
        <w:gridCol w:w="1318"/>
      </w:tblGrid>
      <w:tr ns2:paraId="59E1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E25056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3.您服用厄贝沙坦氢氯噻嗪片期间，是否出现过口渴、多尿情况？</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CC8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1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CC7B0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A.经常出现，影响正常生活</w:t>
            </w:r>
          </w:p>
        </w:tc>
        <w:tc>
          <w:tcPr>
            <w:tcW w:w="12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2572A3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B.偶尔出现，无明显影响</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05CE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C.很少出现，几乎不察觉</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46F8F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3460A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CA8FA64">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270A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1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2D6F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2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88CF36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51B84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789</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C7DC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753</w:t>
            </w:r>
          </w:p>
        </w:tc>
      </w:tr>
      <w:tr ns2:paraId="3750A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335A8">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321346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1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35B410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2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EA5F0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0A6EE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48.05%</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7C9F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45.86%</w:t>
            </w:r>
          </w:p>
        </w:tc>
      </w:tr>
    </w:tbl>
    <w:p ns2:paraId="22E10E77">
      <w:pPr>
        <w:rPr>
          <w:rFonts w:hint="eastAsia" w:ascii="汉仪中宋简" w:hAnsi="汉仪中宋简" w:eastAsia="汉仪中宋简" w:cs="汉仪中宋简"/>
          <w:lang w:val="en-US" w:eastAsia="zh-CN"/>
        </w:rPr>
      </w:pPr>
    </w:p>
    <w:p ns2:paraId="692990E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氢氯噻嗪作为利尿剂，其作用机制可能导致尿量增加，进而引发口渴感，这是该类成分常见的潜在不良反应，也是评估药物剂量配比科学性的重要指标。本次调研结果显示，45.86%的患者从未出现口渴、多尿情况，48.05%的患者很少出现且几乎不察觉，合计占比达93.91%，说明该药物的剂量配比经过科学优化，能够在充分发挥利尿剂降压作用的同时，最大限度降低其对患者水电解质平衡的影响，减少不良反应发生。仅6.09%的患者偶尔出现相关症状且无明显影响，进一步佐证了患者对该药物的良好耐受性，也体现了复方制剂协同作用的优势，兼顾疗效与安全性。</w:t>
      </w:r>
    </w:p>
    <w:p ns2:paraId="12A7EA35">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7" w:name="_Toc4788"/>
      <w:r>
        <w:rPr>
          <w:rFonts w:hint="eastAsia" w:ascii="汉仪中宋简" w:hAnsi="汉仪中宋简" w:eastAsia="汉仪中宋简" w:cs="汉仪中宋简"/>
          <w:lang w:val="en-US" w:eastAsia="zh-CN"/>
        </w:rPr>
        <w:t>4.3用药行为与习惯​</w:t>
      </w:r>
      <w:bookmarkEnd w:id="17"/>
    </w:p>
    <w:p ns2:paraId="6C112BBD">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购药渠道分析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16"/>
        <w:gridCol w:w="1087"/>
        <w:gridCol w:w="1429"/>
        <w:gridCol w:w="1429"/>
        <w:gridCol w:w="1429"/>
        <w:gridCol w:w="1429"/>
      </w:tblGrid>
      <w:tr ns2:paraId="50E9C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3" w:hRule="atLeast"/>
        </w:trPr>
        <w:tc>
          <w:tcPr>
            <w:tcW w:w="1716"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9F6B614">
            <w:pPr>
              <w:keepNext w:val="0"/>
              <w:keepLines w:val="0"/>
              <w:widowControl/>
              <w:suppressLineNumbers w:val="0"/>
              <w:jc w:val="center"/>
              <w:textAlignment w:val="center"/>
              <w:rPr>
                <w:rFonts w:hint="eastAsia" w:ascii="汉仪中宋简" w:hAnsi="汉仪中宋简" w:eastAsia="汉仪中宋简" w:cs="汉仪中宋简"/>
                <w:lang w:val="en-US" w:eastAsia="zh-CN"/>
              </w:rPr>
            </w:pPr>
            <w:r>
              <w:rPr>
                <w:rFonts w:hint="default" w:ascii="Calibri" w:hAnsi="Calibri" w:eastAsia="宋体" w:cs="Calibri"/>
                <w:i w:val="0"/>
                <w:iCs w:val="0"/>
                <w:color w:val="000000"/>
                <w:kern w:val="0"/>
                <w:sz w:val="20"/>
                <w:szCs w:val="20"/>
                <w:u w:val="none"/>
                <w:lang w:val="en-US" w:eastAsia="zh-CN" w:bidi="ar"/>
              </w:rPr>
              <w:t>4.您通常通过什么渠道购买厄贝沙坦氢氯噻嗪片？</w:t>
            </w:r>
          </w:p>
        </w:tc>
        <w:tc>
          <w:tcPr>
            <w:tcW w:w="108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21EDF5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58B0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A.医院药房</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A255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B.线下连锁药店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6C4E1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C.正规网上药店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424DC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D.其他渠道</w:t>
            </w:r>
          </w:p>
        </w:tc>
      </w:tr>
      <w:tr ns2:paraId="2065D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F9FA66">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DAEBA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2DE441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064E03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476</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1174C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197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AA0E3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362</w:t>
            </w:r>
          </w:p>
        </w:tc>
      </w:tr>
      <w:tr ns2:paraId="6C684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6F8C2">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8A9F67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27F4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FC47C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28.99%</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861DC8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12.00%</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FC469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22.04%</w:t>
            </w:r>
          </w:p>
        </w:tc>
      </w:tr>
    </w:tbl>
    <w:p ns2:paraId="084DF76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购药渠道的选择直接关系到药品质量与用药安全，是反映患者用药认知的重要维度。本次调研显示，36.97%的患者通过医院药房购买，28.99%通过线下连锁药店购买，两者合计占比65.96%，体现了多数患者对正规购药渠道的信任，能够通过可靠渠道获取药品，有效规避非正规药品的质量风险；12.00%的患者选择正规网上药店，反映出部分患者对购药便利性、时效性的需求，契合当前数字化购药的发展趋势；而22.04%的患者通过其他渠道购买，该部分渠道信息不明确，存在购买到假冒伪劣药品的潜在风险，需重点关注并引导。</w:t>
      </w:r>
    </w:p>
    <w:p ns2:paraId="613F0823">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剂量遵循情况分析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3"/>
        <w:gridCol w:w="1000"/>
        <w:gridCol w:w="1426"/>
        <w:gridCol w:w="1426"/>
        <w:gridCol w:w="1426"/>
        <w:gridCol w:w="1428"/>
      </w:tblGrid>
      <w:tr ns2:paraId="536F8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93" w:hRule="atLeast"/>
        </w:trPr>
        <w:tc>
          <w:tcPr>
            <w:tcW w:w="181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392A41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6.您服用厄贝沙坦氢氯噻嗪片的剂量是否严格按照医嘱？</w:t>
            </w:r>
          </w:p>
        </w:tc>
        <w:tc>
          <w:tcPr>
            <w:tcW w:w="10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968C0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1873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A.始终严格遵守</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489B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B.大部分时间遵守，偶尔微调</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BFF562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C.经常根据自身感觉调整</w:t>
            </w:r>
          </w:p>
        </w:tc>
        <w:tc>
          <w:tcPr>
            <w:tcW w:w="142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E7F13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D.从未按规定剂量服用</w:t>
            </w:r>
          </w:p>
        </w:tc>
      </w:tr>
      <w:tr ns2:paraId="24D78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95E5C4">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63DF4F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3554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771</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2094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D8CF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262</w:t>
            </w:r>
          </w:p>
        </w:tc>
        <w:tc>
          <w:tcPr>
            <w:tcW w:w="142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D9BD7E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84</w:t>
            </w:r>
          </w:p>
        </w:tc>
      </w:tr>
      <w:tr ns2:paraId="530FC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69FC243">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C1071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0A01A1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46.95%</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C0825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31.97%</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A93EB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15.96%</w:t>
            </w:r>
          </w:p>
        </w:tc>
        <w:tc>
          <w:tcPr>
            <w:tcW w:w="142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890DC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5.12%</w:t>
            </w:r>
          </w:p>
        </w:tc>
      </w:tr>
    </w:tbl>
    <w:p ns2:paraId="7A23ED7B">
      <w:pPr>
        <w:rPr>
          <w:rFonts w:hint="eastAsia" w:ascii="汉仪中宋简" w:hAnsi="汉仪中宋简" w:eastAsia="汉仪中宋简" w:cs="汉仪中宋简"/>
          <w:lang w:val="en-US" w:eastAsia="zh-CN"/>
        </w:rPr>
      </w:pPr>
    </w:p>
    <w:p ns2:paraId="5022CDF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剂量遵医嘱情况是影响高血压治疗效果的关键因素，擅自调整剂量易导致血压波动，增加心脑血管并发症风险。调研结果显示，46.95%的患者能够始终严格遵守医嘱用药，31.97%的患者大部分时间遵守、仅偶尔微调，两者合计占比78.92%，说明多数患者具备基本的规范用药意识。但仍有21.08%的患者存在不规范用药情况，其中15.96%的患者经常根据自身感觉调整剂量，5.12%的患者从未按规定剂量服用，这类行为可能导致血压控制不佳或出现不良反应，是后续用药指导干预的重点群体。​</w:t>
      </w:r>
    </w:p>
    <w:p ns2:paraId="2EA2B37B">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78"/>
        <w:gridCol w:w="1403"/>
        <w:gridCol w:w="1403"/>
        <w:gridCol w:w="1548"/>
        <w:gridCol w:w="1258"/>
      </w:tblGrid>
      <w:tr ns2:paraId="32996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F303C4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8.您服用厄贝沙坦氢氯噻嗪片期间，是否同时服用其他降压药物？</w:t>
            </w:r>
          </w:p>
        </w:tc>
        <w:tc>
          <w:tcPr>
            <w:tcW w:w="9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C8440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04871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A.同时服用 1 种其他降压药</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A10D4E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B.同时服用 2 种及以上其他降压药</w:t>
            </w:r>
          </w:p>
        </w:tc>
        <w:tc>
          <w:tcPr>
            <w:tcW w:w="154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217FE3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C.同时服用降压药及其他疾病治疗药物</w:t>
            </w:r>
          </w:p>
        </w:tc>
        <w:tc>
          <w:tcPr>
            <w:tcW w:w="125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CBCF2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D.仅服用该药物</w:t>
            </w:r>
          </w:p>
        </w:tc>
      </w:tr>
      <w:tr ns2:paraId="68E8A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38B876">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68AA9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8C7277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D2EE">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180</w:t>
            </w:r>
          </w:p>
        </w:tc>
        <w:tc>
          <w:tcPr>
            <w:tcW w:w="154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2F88E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25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1F76F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806</w:t>
            </w:r>
          </w:p>
        </w:tc>
      </w:tr>
      <w:tr ns2:paraId="79024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D10F13">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DA2ECD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5D2EF8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263536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10.96%</w:t>
            </w:r>
          </w:p>
        </w:tc>
        <w:tc>
          <w:tcPr>
            <w:tcW w:w="154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82FC8F">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25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0981D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49.09%</w:t>
            </w:r>
          </w:p>
        </w:tc>
      </w:tr>
    </w:tbl>
    <w:p ns2:paraId="756D313A">
      <w:pPr>
        <w:rPr>
          <w:rFonts w:hint="eastAsia" w:ascii="汉仪中宋简" w:hAnsi="汉仪中宋简" w:eastAsia="汉仪中宋简" w:cs="汉仪中宋简"/>
          <w:lang w:val="en-US" w:eastAsia="zh-CN"/>
        </w:rPr>
      </w:pPr>
    </w:p>
    <w:p ns2:paraId="020B70D7">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联合用药情况反映了患者病情复杂程度与药物适用范围。调研显示，49.09%的患者仅服用该药物即可实现血压控制，说明该药物对近半数高血压患者具备足够的降压效能，无需联合其他药物；14.98%的患者同时服用1种其他降压药，10.96%的患者同时服用2种及以上其他降压药，表明部分患者病情相对复杂，单一复方制剂无法满足降压需求；24.97%的患者同时服用降压药及其他疾病治疗药物，提示该部分患者可能合并糖尿病、冠心病等其他慢性疾病，用药方案需兼顾多疾病治疗需求，避免药物相互作用风险。</w:t>
      </w:r>
    </w:p>
    <w:p ns2:paraId="24B14632">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联合用药咨询情况分析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99"/>
        <w:gridCol w:w="1397"/>
        <w:gridCol w:w="1397"/>
        <w:gridCol w:w="1397"/>
        <w:gridCol w:w="1400"/>
      </w:tblGrid>
      <w:tr ns2:paraId="563C6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7BB59F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9.您是否咨询过医生，确认厄贝沙坦氢氯噻嗪片与其他药物可同时服用？</w:t>
            </w:r>
          </w:p>
        </w:tc>
        <w:tc>
          <w:tcPr>
            <w:tcW w:w="99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F3BD21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82AF12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A.专门咨询过，确认无冲突</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B133FB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B.简单询问过，大致了解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4B7028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C.没咨询过，但认为无问题</w:t>
            </w:r>
          </w:p>
        </w:tc>
        <w:tc>
          <w:tcPr>
            <w:tcW w:w="14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8A1E47">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D.没咨询过，不清楚是否有冲突</w:t>
            </w:r>
          </w:p>
        </w:tc>
      </w:tr>
      <w:tr ns2:paraId="6CE5E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3B23E4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4F4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C4FDD0D">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421</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F015C0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7444">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471</w:t>
            </w:r>
          </w:p>
        </w:tc>
        <w:tc>
          <w:tcPr>
            <w:tcW w:w="14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494A1DA">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335</w:t>
            </w:r>
          </w:p>
        </w:tc>
      </w:tr>
      <w:tr ns2:paraId="0D806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F6ED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265DD2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558B28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25.64%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D0B406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25.27%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975E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28.68%</w:t>
            </w:r>
          </w:p>
        </w:tc>
        <w:tc>
          <w:tcPr>
            <w:tcW w:w="14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4D1E88">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20.41%</w:t>
            </w:r>
          </w:p>
        </w:tc>
      </w:tr>
    </w:tbl>
    <w:p ns2:paraId="4FB33A41">
      <w:pPr>
        <w:rPr>
          <w:rFonts w:hint="eastAsia" w:ascii="汉仪中宋简" w:hAnsi="汉仪中宋简" w:eastAsia="汉仪中宋简" w:cs="汉仪中宋简"/>
          <w:lang w:val="en-US" w:eastAsia="zh-CN"/>
        </w:rPr>
      </w:pPr>
    </w:p>
    <w:p ns2:paraId="4B5CE04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物相互作用是联合用药安全的核心关注点，咨询医生是规避该风险的关键途径。调研结果显示，仅25.64%的患者专门咨询过医生并确认无冲突，25.27%的患者简单询问过并大致了解，两者合计仅50.91%的患者对联合用药安全性进行过主动确认。而28.68%的患者未咨询过但主观认为无问题，20.41%的患者未咨询过且不清楚是否存在冲突，近半数患者对药物相互作用的关注度不足，存在潜在用药安全隐患，需通过强化用药指导予以纠正。</w:t>
      </w:r>
    </w:p>
    <w:p ns2:paraId="74646D95">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血压监测频率分析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61"/>
        <w:gridCol w:w="1052"/>
        <w:gridCol w:w="1426"/>
        <w:gridCol w:w="1502"/>
        <w:gridCol w:w="1500"/>
        <w:gridCol w:w="1278"/>
      </w:tblGrid>
      <w:tr ns2:paraId="77D0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307BB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11.您服用厄贝沙坦氢氯噻嗪片期间，是否定期监测血压？</w:t>
            </w:r>
          </w:p>
        </w:tc>
        <w:tc>
          <w:tcPr>
            <w:tcW w:w="105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E53C28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8BCD8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A.每天监测，记录详细数据</w:t>
            </w:r>
          </w:p>
        </w:tc>
        <w:tc>
          <w:tcPr>
            <w:tcW w:w="150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DC4402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B.每周监测 2-3 次，了解大致情况</w:t>
            </w:r>
          </w:p>
        </w:tc>
        <w:tc>
          <w:tcPr>
            <w:tcW w:w="15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4B91EB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C.偶尔监测，无固定频率</w:t>
            </w:r>
          </w:p>
        </w:tc>
        <w:tc>
          <w:tcPr>
            <w:tcW w:w="12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C6411A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D.从未监测</w:t>
            </w:r>
          </w:p>
        </w:tc>
      </w:tr>
      <w:tr ns2:paraId="613F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191697">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36AE02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69A65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50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F609813">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5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481E65A">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2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094C87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379</w:t>
            </w:r>
          </w:p>
        </w:tc>
      </w:tr>
      <w:tr ns2:paraId="73A17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EEE492">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38761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E3402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50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79CC8D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5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518B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2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E1266F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23.08%</w:t>
            </w:r>
          </w:p>
        </w:tc>
      </w:tr>
    </w:tbl>
    <w:p ns2:paraId="131B88BA">
      <w:pPr>
        <w:rPr>
          <w:rFonts w:hint="eastAsia" w:ascii="汉仪中宋简" w:hAnsi="汉仪中宋简" w:eastAsia="汉仪中宋简" w:cs="汉仪中宋简"/>
          <w:lang w:val="en-US" w:eastAsia="zh-CN"/>
        </w:rPr>
      </w:pPr>
    </w:p>
    <w:p ns2:paraId="65C60A08">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定期监测血压是评估用药效果、及时调整治疗方案的重要依据。调研显示，24.97%的患者每天监测并记录详细数据，36.97%的患者每周监测2-3次以了解大致情况，两者合计61.94%的患者能够定期监测血压，为治疗方案优化提供了数据支撑。但仍有38.06%的患者监测频率不足，其中14.98%的患者偶尔监测、无固定频率，23.08%的患者从未监测，这类患者无法及时掌握血压控制情况，难以发现潜在的血压波动风险，不利于治疗方案的精准调整。</w:t>
      </w:r>
    </w:p>
    <w:p ns2:paraId="210ED651">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8" w:name="_Toc26585"/>
      <w:r>
        <w:rPr>
          <w:rFonts w:hint="eastAsia" w:ascii="汉仪中宋简" w:hAnsi="汉仪中宋简" w:eastAsia="汉仪中宋简" w:cs="汉仪中宋简"/>
          <w:lang w:val="en-US" w:eastAsia="zh-CN"/>
        </w:rPr>
        <w:t>4.4用药便利性</w:t>
      </w:r>
      <w:bookmarkEnd w:id="18"/>
    </w:p>
    <w:p ns2:paraId="590C4B7E">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服药频率满意度分析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09"/>
        <w:gridCol w:w="929"/>
        <w:gridCol w:w="1519"/>
        <w:gridCol w:w="1519"/>
        <w:gridCol w:w="1519"/>
        <w:gridCol w:w="1522"/>
      </w:tblGrid>
      <w:tr ns2:paraId="2FF0F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FA9A1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7.您对厄贝沙坦氢氯噻嗪片的服药频率满意度如何？</w:t>
            </w:r>
          </w:p>
        </w:tc>
        <w:tc>
          <w:tcPr>
            <w:tcW w:w="9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AFFE8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531A4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A.频率很合适，按要求吃很轻松</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DC7C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B.频率还可以，没对生活造成困扰</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0DA63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C.频率稍微有点高，偶尔会记不清</w:t>
            </w:r>
          </w:p>
        </w:tc>
        <w:tc>
          <w:tcPr>
            <w:tcW w:w="152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426A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D.频率不太适应，想过调整一下</w:t>
            </w:r>
          </w:p>
        </w:tc>
      </w:tr>
      <w:tr ns2:paraId="5DD4E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3DE3481">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C6A1E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6F5FE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899</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E334D9F">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643</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2F4A9C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52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DF4D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10C3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B25B9A">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53A51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B416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54.75%</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13893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39.16%</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F6A9C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52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7A8DA9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3A81E758">
      <w:pPr>
        <w:rPr>
          <w:rFonts w:hint="eastAsia" w:ascii="汉仪中宋简" w:hAnsi="汉仪中宋简" w:eastAsia="汉仪中宋简" w:cs="汉仪中宋简"/>
          <w:lang w:val="en-US" w:eastAsia="zh-CN"/>
        </w:rPr>
      </w:pPr>
    </w:p>
    <w:p ns2:paraId="379417F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药频率直接影响患者用药依从性，尤其对于需长期用药的高血压患者，科学的服药频率应与患者生活节奏相契合。调研结果显示，54.75%的患者认为服药频率很合适，能够轻松按要求服药，反馈该频率与自身作息安排高度适配，不会因服药打乱日常规划；39.16%的患者认为频率还可以，未对生活造成困扰，说明即使部分患者对服药频率有轻微感知，但未形成实际负担。两者合计占比93.91%，仅6.09%的患者认为频率稍高、偶尔记不清，无患者反馈无法适应，充分说明该药物的服药频率设计科学合理，符合绝大多数患者的生活习惯，能够有效提升用药依从性。</w:t>
      </w:r>
    </w:p>
    <w:p ns2:paraId="75165838">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药品包装便利性分析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51"/>
        <w:gridCol w:w="1493"/>
        <w:gridCol w:w="1493"/>
        <w:gridCol w:w="1493"/>
        <w:gridCol w:w="1495"/>
      </w:tblGrid>
      <w:tr ns2:paraId="4DA3B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DF85B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12.您对厄贝沙坦氢氯噻嗪片药品包装的便利性评价如何？</w:t>
            </w:r>
          </w:p>
        </w:tc>
        <w:tc>
          <w:tcPr>
            <w:tcW w:w="951"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189332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7EB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A.储存、取用都方便</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E1F826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B.基本满足需求</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1E0D50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C.存在取用麻烦等问题</w:t>
            </w:r>
          </w:p>
        </w:tc>
        <w:tc>
          <w:tcPr>
            <w:tcW w:w="149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DA89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D.非常不便利，严重影响使用</w:t>
            </w:r>
          </w:p>
        </w:tc>
      </w:tr>
      <w:tr ns2:paraId="5147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37585F5">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5E23B6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56AE2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748</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998BC3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794</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48E083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9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96A03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5767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A41D4">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FB409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697EA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45.55%</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0B7D2F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48.36%</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985BB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9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3F6AA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4095A103">
      <w:pPr>
        <w:rPr>
          <w:rFonts w:hint="eastAsia" w:ascii="汉仪中宋简" w:hAnsi="汉仪中宋简" w:eastAsia="汉仪中宋简" w:cs="汉仪中宋简"/>
          <w:sz w:val="24"/>
          <w:szCs w:val="32"/>
          <w:lang w:val="en-US" w:eastAsia="zh-CN"/>
        </w:rPr>
      </w:pPr>
    </w:p>
    <w:p ns2:paraId="55A08AEF">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药品包装的便利性直接影响患者日常取用与外出携带体验，是用药便利性的重要组成部分。调研显示，45.55%的患者认为包装储存、取用都方便，反馈包装设计人性化，无论是居家储存还是外出携带都便捷高效，取用过程无需复杂操作；48.36%的患者认为包装基本满足需求，说明包装核心功能完备，能够覆盖日常用药的基础需求，虽无突出亮点，但未存在明显缺陷。两者合计占比93.91%，仅6.09%的患者认为存在取用麻烦问题，无患者反馈严重不便利，表明该药物包装设计符合大众使用习惯，为患者长期用药提供了便利保障。</w:t>
      </w:r>
    </w:p>
    <w:p ns2:paraId="597E3376">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9" w:name="_Toc24377"/>
      <w:r>
        <w:rPr>
          <w:rFonts w:hint="eastAsia" w:ascii="汉仪中宋简" w:hAnsi="汉仪中宋简" w:eastAsia="汉仪中宋简" w:cs="汉仪中宋简"/>
          <w:lang w:val="en-US" w:eastAsia="zh-CN"/>
        </w:rPr>
        <w:t>4.5药品经济性</w:t>
      </w:r>
      <w:bookmarkEnd w:id="19"/>
    </w:p>
    <w:p ns2:paraId="48960627">
      <w:pPr>
        <w:pStyle w:val="4"/>
        <w:keepNext/>
        <w:keepLines/>
        <w:pageBreakBefore w:val="0"/>
        <w:widowControl w:val="0"/>
        <w:numPr>
          <w:ilvl w:val="0"/>
          <w:numId w:val="6"/>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价格负担影响分析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93"/>
        <w:gridCol w:w="1437"/>
        <w:gridCol w:w="1367"/>
        <w:gridCol w:w="1367"/>
        <w:gridCol w:w="1367"/>
        <w:gridCol w:w="1367"/>
      </w:tblGrid>
      <w:tr ns2:paraId="22DC0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54C5ED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5.您认为厄贝沙坦氢氯噻嗪片的价格对您的用药负担影响如何？</w:t>
            </w:r>
          </w:p>
        </w:tc>
        <w:tc>
          <w:tcPr>
            <w:tcW w:w="143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BB9BC0">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6E0E5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A.难以承受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7375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B.勉强承受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196D7">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C.在可接受范围</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837C0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D.无压力</w:t>
            </w:r>
          </w:p>
        </w:tc>
      </w:tr>
      <w:tr ns2:paraId="014E1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5EA96B">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132148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194D3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3DAA08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56</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2DF4FE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819</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3ADE7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767</w:t>
            </w:r>
          </w:p>
        </w:tc>
      </w:tr>
      <w:tr ns2:paraId="36AFC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B903C86">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A5CDC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047D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0.00%</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940DCE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3.41%</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87D2D3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49.88%</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104F41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46.71%</w:t>
            </w:r>
          </w:p>
        </w:tc>
      </w:tr>
    </w:tbl>
    <w:p ns2:paraId="0D7C2D97">
      <w:pPr>
        <w:rPr>
          <w:rFonts w:hint="eastAsia" w:ascii="汉仪中宋简" w:hAnsi="汉仪中宋简" w:eastAsia="汉仪中宋简" w:cs="汉仪中宋简"/>
          <w:lang w:val="en-US" w:eastAsia="zh-CN"/>
        </w:rPr>
      </w:pPr>
    </w:p>
    <w:p ns2:paraId="4EA4F7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经济性是影响高血压患者长期用药依从性的核心因素之一，尤其对于需终身服药的患者，合理的药品价格是保障治疗连续性的关键。本次调研结果显示，患者对该药物价格的接受度极高，96.59%的患者认为价格在可承受范围内或无压力，充分印证了该药物价格定位的合理性与亲民性。其中，46.71%的患者明确表示价格无压力，该部分患者无论是经济收入水平较高，还是认可药物价格与治疗价值的匹配度，均未因价格产生用药顾虑，能够保障长期规律购药；49.88%的患者认为价格在可接受范围，说明该药物价格虽可能对其日常开支产生轻微影响，但影响程度完全在可承受边界内，不会因此中断治疗。值得注意的是，仅3.41%的患者认为价格勉强承受，无患者反馈难以承受，该部分患者大概率属于低收入群体或需同时承担多种慢性疾病用药费用，整体占比极低，说明药物价格未对多数患者的用药可及性造成阻碍。从长期治疗视角来看，合理的价格定位有效降低了患者的长期用药负担，为提升整体治疗依从性、实现血压长期控制提供了重要支撑，也为后续是否需要针对特殊困难群体推出医保倾斜政策提供了精准的数据参考。</w:t>
      </w:r>
    </w:p>
    <w:p ns2:paraId="07DCD09F">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20" w:name="_Toc8285"/>
      <w:r>
        <w:rPr>
          <w:rFonts w:hint="eastAsia" w:ascii="汉仪中宋简" w:hAnsi="汉仪中宋简" w:eastAsia="汉仪中宋简" w:cs="汉仪中宋简"/>
          <w:lang w:val="en-US" w:eastAsia="zh-CN"/>
        </w:rPr>
        <w:t>4.6药品可及性</w:t>
      </w:r>
      <w:bookmarkEnd w:id="20"/>
    </w:p>
    <w:p ns2:paraId="4705B5D2">
      <w:pPr>
        <w:pStyle w:val="4"/>
        <w:keepNext/>
        <w:keepLines/>
        <w:pageBreakBefore w:val="0"/>
        <w:widowControl w:val="0"/>
        <w:numPr>
          <w:ilvl w:val="0"/>
          <w:numId w:val="7"/>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34"/>
        <w:gridCol w:w="969"/>
        <w:gridCol w:w="1575"/>
        <w:gridCol w:w="1440"/>
        <w:gridCol w:w="1440"/>
        <w:gridCol w:w="1440"/>
      </w:tblGrid>
      <w:tr ns2:paraId="02A87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trPr>
        <w:tc>
          <w:tcPr>
            <w:tcW w:w="183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0D4155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10.您所在地区的厄贝沙坦氢氯噻嗪片供应是否稳定？</w:t>
            </w:r>
          </w:p>
        </w:tc>
        <w:tc>
          <w:tcPr>
            <w:tcW w:w="96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024700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7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29FE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A.随时能买到</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8F41A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B.偶尔缺货但不影响用药</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610E6F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C.经常缺货</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AF67FB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D.严重影响用药</w:t>
            </w:r>
          </w:p>
        </w:tc>
      </w:tr>
      <w:tr ns2:paraId="60F99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DA3E33">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D55144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57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F52E845">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1138</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FEEC11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504</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0501062">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35DBDA">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16862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765746">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5268F1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57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129FAC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69.31%</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29DBA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30.69%</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04AE41C">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760A08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453E8DB">
      <w:pPr>
        <w:rPr>
          <w:rFonts w:hint="eastAsia" w:ascii="汉仪中宋简" w:hAnsi="汉仪中宋简" w:eastAsia="汉仪中宋简" w:cs="汉仪中宋简"/>
          <w:lang w:val="en-US" w:eastAsia="zh-CN"/>
        </w:rPr>
      </w:pPr>
    </w:p>
    <w:p ns2:paraId="41CBA2BB">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是保障高血压患者长期规律治疗的前提，断药可能导致血压反弹，增加心脑血管并发症风险。本次调研显示，100%的患者用药供应得到有效保障，无患者因缺货影响治疗。具体来看，69.31%的患者表示随时能买到该药物，反映出其所在地区药品流通渠道畅通，医院药房、连锁药店、线上平台等多渠道均能稳定供应，充分满足日常用药需求；30.69%的患者表示偶尔缺货但不影响用药，说明该部分地区可能存在短期的供应链波动，但患者可通过提前储备药品、更换购药渠道等方式规避影响，未对治疗连续性造成实质干扰。无患者反馈经常缺货或严重影响用药，充分体现了该药物的供应保障体系完善，制药企业生产产能规划合理，药品流通环节管理规范，能够精准匹配不同地区患者的用药需求。​</w:t>
      </w:r>
    </w:p>
    <w:p ns2:paraId="04889787">
      <w:pPr>
        <w:pStyle w:val="3"/>
        <w:pageBreakBefore w:val="0"/>
        <w:kinsoku/>
        <w:wordWrap/>
        <w:overflowPunct/>
        <w:topLinePunct w:val="0"/>
        <w:autoSpaceDE/>
        <w:autoSpaceDN/>
        <w:bidi w:val="0"/>
        <w:adjustRightInd/>
        <w:snapToGrid/>
        <w:spacing w:line="480" w:lineRule="auto"/>
        <w:rPr>
          <w:rFonts w:hint="eastAsia"/>
          <w:lang w:val="en-US" w:eastAsia="zh-CN"/>
        </w:rPr>
      </w:pPr>
      <w:bookmarkStart w:id="21" w:name="_Toc1050"/>
      <w:r>
        <w:rPr>
          <w:rFonts w:hint="eastAsia" w:ascii="汉仪中宋简" w:hAnsi="汉仪中宋简" w:eastAsia="汉仪中宋简" w:cs="汉仪中宋简"/>
          <w:lang w:val="en-US" w:eastAsia="zh-CN"/>
        </w:rPr>
        <w:t>4.7用药指导信息评价</w:t>
      </w:r>
      <w:bookmarkEnd w:id="21"/>
    </w:p>
    <w:p ns2:paraId="11EE232C">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说明书信息清晰度分析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49"/>
        <w:gridCol w:w="979"/>
        <w:gridCol w:w="1397"/>
        <w:gridCol w:w="1397"/>
        <w:gridCol w:w="1397"/>
        <w:gridCol w:w="1398"/>
      </w:tblGrid>
      <w:tr ns2:paraId="24759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F43C8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13.您对厄贝沙坦氢氯噻嗪片说明书中 “用法用量”“不良反应” 的标注清晰度评价如何？</w:t>
            </w:r>
          </w:p>
        </w:tc>
        <w:tc>
          <w:tcPr>
            <w:tcW w:w="97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F8C9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852641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A.一目了然</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2002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B.容易理解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53559B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C.部分内容不够明确</w:t>
            </w:r>
          </w:p>
        </w:tc>
        <w:tc>
          <w:tcPr>
            <w:tcW w:w="139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748A8C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D.难以分辨</w:t>
            </w:r>
          </w:p>
        </w:tc>
      </w:tr>
      <w:tr ns2:paraId="109D9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AB13150">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77405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9814BE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827</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6601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7C9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39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83B57E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05DD7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FB7945C">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DFD98A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6B5B7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50.37%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2FBDC5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43.54%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95E85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39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50BE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04453DAE">
      <w:pPr>
        <w:rPr>
          <w:rFonts w:hint="eastAsia" w:ascii="汉仪中宋简" w:hAnsi="汉仪中宋简" w:eastAsia="汉仪中宋简" w:cs="汉仪中宋简"/>
          <w:lang w:val="en-US" w:eastAsia="zh-CN"/>
        </w:rPr>
      </w:pPr>
    </w:p>
    <w:p ns2:paraId="73E1EAE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品说明书是患者获取用药信息的核心载体，其清晰度直接影响患者用药安全性。调研结果显示，50.37%的患者认为说明书中“用法用量”“不良反应”等关键信息一目了然，反馈说明书语言表述通俗易懂、排版逻辑清晰，能够快速定位并理解核心用药信息，无需借助专业知识；43.54%的患者认为容易理解，说明即使部分患者对少数专业术语存在轻微困惑，但结合上下文或简单思考后仍能准确把握核心内容。两者合计占比93.91%，仅6.09%的患者认为部分内容不够明确，无患者反馈难以分辨，表明说明书的信息呈现方式符合大众认知习惯，信息传递效率高，能够为患者安全用药提供基础指导。​</w:t>
      </w:r>
    </w:p>
    <w:p ns2:paraId="79F7EE2D">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用药指导详细准确性分析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82"/>
        <w:gridCol w:w="1485"/>
        <w:gridCol w:w="1485"/>
        <w:gridCol w:w="1485"/>
        <w:gridCol w:w="1488"/>
      </w:tblGrid>
      <w:tr ns2:paraId="48A9C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A9A3C9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14.您认为当前获取的用药指导是否足够详细准确？</w:t>
            </w:r>
          </w:p>
        </w:tc>
        <w:tc>
          <w:tcPr>
            <w:tcW w:w="98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77CDD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BB40ED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A.非常详细准确，能解决所有疑问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2938E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B.比较详细准确，能解决大部分疑问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30A1D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C.一般，部分疑问无法解答</w:t>
            </w:r>
          </w:p>
        </w:tc>
        <w:tc>
          <w:tcPr>
            <w:tcW w:w="148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4CB17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D.不够详细准确，存在很多困惑</w:t>
            </w:r>
          </w:p>
        </w:tc>
      </w:tr>
      <w:tr ns2:paraId="2C27C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5C9E8B">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679FA8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515069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817</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EF142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725</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D03AC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8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FDC580E">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6478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FA9030D">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FE33FF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37BD82C">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49.76%</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A8F15A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44.15%</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9F2ED0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8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E445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63D4734D">
      <w:pPr>
        <w:rPr>
          <w:rFonts w:hint="eastAsia" w:ascii="汉仪中宋简" w:hAnsi="汉仪中宋简" w:eastAsia="汉仪中宋简" w:cs="汉仪中宋简"/>
          <w:sz w:val="24"/>
          <w:szCs w:val="32"/>
          <w:lang w:val="en-US" w:eastAsia="zh-CN"/>
        </w:rPr>
      </w:pPr>
    </w:p>
    <w:p ns2:paraId="71D7FAEB">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专业的用药指导是保障患者安全用药的重要支撑，其详细准确性直接影响用药效果与安全性。调研显示，49.76%的患者认为当前获取的用药指导非常详细准确，能够解决所有用药疑问，说明医疗机构、药店等渠道提供的用药指导服务专业且全面，涵盖了服药时间、注意事项、不良反应应对措施等关键内容；44.15%的患者认为指导比较详细准确，能够解决大部分疑问，说明指导服务基本满足核心用药需求，仅存在少量细节问题未完全覆盖。两者合计占比93.91%，仅6.09%的患者认为部分疑问无法解答，整体反映出当前用药指导服务体系较为完善，能够为患者安全用药提供有效支撑。</w:t>
      </w:r>
    </w:p>
    <w:p ns2:paraId="4E07A1E7">
      <w:pPr>
        <w:pStyle w:val="3"/>
        <w:keepNext/>
        <w:keepLines/>
        <w:pageBreakBefore w:val="0"/>
        <w:widowControl w:val="0"/>
        <w:numPr>
          <w:ilvl w:val="0"/>
          <w:numId w:val="1"/>
        </w:numPr>
        <w:kinsoku/>
        <w:wordWrap/>
        <w:overflowPunct/>
        <w:topLinePunct w:val="0"/>
        <w:autoSpaceDE/>
        <w:autoSpaceDN/>
        <w:bidi w:val="0"/>
        <w:adjustRightInd/>
        <w:snapToGrid/>
        <w:spacing w:line="720" w:lineRule="auto"/>
        <w:textAlignment w:val="auto"/>
        <w:outlineLvl w:val="0"/>
        <w:rPr>
          <w:rFonts w:hint="eastAsia" w:ascii="汉仪中宋简" w:hAnsi="汉仪中宋简" w:eastAsia="汉仪中宋简" w:cs="汉仪中宋简"/>
          <w:b/>
          <w:lang w:val="en-US" w:eastAsia="zh-CN"/>
        </w:rPr>
      </w:pPr>
      <w:bookmarkStart w:id="22" w:name="_Toc19608"/>
      <w:bookmarkStart w:id="30" w:name="_GoBack"/>
      <w:bookmarkEnd w:id="30"/>
      <w:r>
        <w:rPr>
          <w:rFonts w:hint="eastAsia" w:ascii="汉仪中宋简" w:hAnsi="汉仪中宋简" w:eastAsia="汉仪中宋简" w:cs="汉仪中宋简"/>
          <w:b/>
          <w:lang w:val="en-US" w:eastAsia="zh-CN"/>
        </w:rPr>
        <w:t>调研结果</w:t>
      </w:r>
      <w:bookmarkEnd w:id="22"/>
    </w:p>
    <w:p ns2:paraId="038E1764">
      <w:pPr>
        <w:pStyle w:val="3"/>
        <w:bidi w:val="0"/>
        <w:rPr>
          <w:rFonts w:hint="eastAsia" w:ascii="汉仪中宋简" w:hAnsi="汉仪中宋简" w:eastAsia="汉仪中宋简" w:cs="汉仪中宋简"/>
          <w:lang w:val="en-US" w:eastAsia="zh-CN"/>
        </w:rPr>
      </w:pPr>
      <w:bookmarkStart w:id="23" w:name="_Toc7275"/>
      <w:r>
        <w:rPr>
          <w:rFonts w:hint="eastAsia" w:ascii="汉仪中宋简" w:hAnsi="汉仪中宋简" w:eastAsia="汉仪中宋简" w:cs="汉仪中宋简"/>
          <w:lang w:val="en-US" w:eastAsia="zh-CN"/>
        </w:rPr>
        <w:t>5.1问卷重点问题分析</w:t>
      </w:r>
      <w:bookmarkEnd w:id="23"/>
    </w:p>
    <w:p ns2:paraId="435FF72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bookmarkStart w:id="500" w:name="tpl_key_issue_items"/>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 xml:space="preserve">{{repeat.key_issue_items}}</w:t>
      </w:r>
    </w:p>
    <w:p ns2:paraId="435FF72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药品疗效与经济性是影响高血压患者长期治疗依从性和疾病控制效果的核心维度，两者并非孤立存在，而是存在显著的协同关联。结合本次调研核心数据，对两个维度开展交叉联合分析，结果如下：</w:t>
      </w:r>
      <w:bookmarkEnd w:id="500"/>
    </w:p>
    <w:p ns2:paraId="472857A5">
      <w:pPr>
        <w:pStyle w:val="3"/>
        <w:bidi w:val="0"/>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bookmarkStart w:id="24" w:name="_Toc25533"/>
      <w:r>
        <w:rPr>
          <w:rFonts w:hint="eastAsia" w:ascii="汉仪中宋简" w:hAnsi="汉仪中宋简" w:eastAsia="汉仪中宋简" w:cs="汉仪中宋简"/>
          <w:highlight w:val="none"/>
          <w:lang w:val="en-US" w:eastAsia="zh-CN"/>
        </w:rPr>
        <w:t>5.2调研结果分析</w:t>
      </w:r>
      <w:bookmarkEnd w:id="24"/>
    </w:p>
    <w:p ns2:paraId="40A1FD7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 xml:space="preserve">{{block.summary.overall_analysis}}</w:t>
      </w:r>
    </w:p>
    <w:p ns2:paraId="352EFD12">
      <w:pPr>
        <w:pStyle w:val="3"/>
        <w:bidi w:val="0"/>
        <w:rPr>
          <w:rFonts w:hint="eastAsia" w:ascii="汉仪中宋简" w:hAnsi="汉仪中宋简" w:eastAsia="汉仪中宋简" w:cs="汉仪中宋简"/>
          <w:sz w:val="24"/>
          <w:szCs w:val="24"/>
          <w:highlight w:val="none"/>
          <w:lang w:val="en-US" w:eastAsia="zh-CN"/>
        </w:rPr>
      </w:pPr>
      <w:bookmarkStart w:id="25" w:name="_Toc4442"/>
      <w:r>
        <w:rPr>
          <w:rFonts w:hint="eastAsia" w:ascii="汉仪中宋简" w:hAnsi="汉仪中宋简" w:eastAsia="汉仪中宋简" w:cs="汉仪中宋简"/>
          <w:highlight w:val="none"/>
          <w:lang w:val="en-US" w:eastAsia="zh-CN"/>
        </w:rPr>
        <w:t>5.3建议</w:t>
      </w:r>
      <w:bookmarkEnd w:id="25"/>
    </w:p>
    <w:p ns2:paraId="1B2E2CF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 xml:space="preserve">{{block.summary.recommendations}}</w:t>
      </w:r>
    </w:p>
    <w:p ns2:paraId="4272D18C">
      <w:pPr>
        <w:pStyle w:val="2"/>
        <w:bidi w:val="0"/>
        <w:jc w:val="left"/>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附件1：厄贝沙坦氢氯噻嗪片用药体验与疗效反馈患者调查问卷</w:t>
      </w:r>
      <w:bookmarkEnd w:id="26"/>
    </w:p>
    <w:p ns2:paraId="1FEC2CC2">
      <w:pPr>
        <w:ind w:left="0" w:leftChars="0" w:firstLine="0" w:firstLineChars="0"/>
        <w:jc w:val="both"/>
        <w:rPr>
          <w:rFonts w:hint="eastAsia" w:ascii="汉仪中宋简" w:hAnsi="汉仪中宋简" w:eastAsia="汉仪中宋简" w:cs="汉仪中宋简"/>
          <w:lang w:val="en-US" w:eastAsia="zh-CN"/>
        </w:rPr>
      </w:pPr>
    </w:p>
    <w:p ns2:paraId="6CCA3D1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bookmarkStart w:id="501" w:name="tpl_attachment_questions"/>
      <w:r>
        <w:rPr>
          <w:rFonts w:hint="default" w:ascii="汉仪中宋简" w:hAnsi="汉仪中宋简" w:eastAsia="汉仪中宋简" w:cs="汉仪中宋简"/>
          <w:snapToGrid/>
          <w:kern w:val="2"/>
          <w:sz w:val="24"/>
          <w:szCs w:val="24"/>
          <w:lang w:val="en-US" w:eastAsia="zh-CN"/>
        </w:rPr>
        <w:t xml:space="preserve">{{repeat.attachment_questions}}</w:t>
      </w:r>
    </w:p>
    <w:p ns2:paraId="6CCA3D1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您服用厄贝沙坦氢氯噻嗪片后，血压控制效果如何？</w:t>
      </w:r>
    </w:p>
    <w:p ns2:paraId="66C0D4C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血压稳定在正常范围</w:t>
      </w:r>
      <w:bookmarkEnd w:id="501"/>
    </w:p>
    <w:p ns2:paraId="2E498182">
      <w:pPr>
        <w:rPr>
          <w:rFonts w:hint="eastAsia" w:ascii="汉仪中宋简" w:hAnsi="汉仪中宋简" w:eastAsia="汉仪中宋简" w:cs="汉仪中宋简"/>
          <w:lang w:val="en-US" w:eastAsia="zh-CN"/>
        </w:rPr>
      </w:pPr>
    </w:p>
    <w:p ns2:paraId="769D578A">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420" w:firstLineChars="200"/>
        <w:jc w:val="lef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br w:type="page"/>
      </w:r>
    </w:p>
    <w:p ns2:paraId="683C6AC0">
      <w:pPr>
        <w:pStyle w:val="2"/>
        <w:bidi w:val="0"/>
        <w:rPr>
          <w:rFonts w:hint="eastAsia" w:ascii="汉仪中宋简" w:hAnsi="汉仪中宋简" w:eastAsia="汉仪中宋简" w:cs="汉仪中宋简"/>
          <w:highlight w:val="none"/>
          <w:lang w:val="en-US" w:eastAsia="zh-CN"/>
        </w:rPr>
      </w:pPr>
      <w:bookmarkStart w:id="27" w:name="_Toc22330"/>
      <w:r>
        <w:rPr>
          <w:rFonts w:hint="eastAsia" w:ascii="汉仪中宋简" w:hAnsi="汉仪中宋简" w:eastAsia="汉仪中宋简" w:cs="汉仪中宋简"/>
          <w:highlight w:val="none"/>
          <w:lang w:val="en-US" w:eastAsia="zh-CN"/>
        </w:rPr>
        <w:t>附件2：问卷调查明细表</w:t>
      </w:r>
      <w:bookmarkEnd w:id="27"/>
    </w:p>
    <w:p ns2:paraId="6CD34407">
      <w:pPr>
        <w:bidi w:val="0"/>
        <w:rPr>
          <w:rFonts w:hint="eastAsia" w:ascii="汉仪中宋简" w:hAnsi="汉仪中宋简" w:eastAsia="汉仪中宋简" w:cs="汉仪中宋简"/>
          <w:highlight w:val="none"/>
        </w:rPr>
      </w:pPr>
      <w:r>
        <w:rPr>
          <w:rFonts w:hint="eastAsia" w:ascii="汉仪中宋简" w:hAnsi="汉仪中宋简" w:eastAsia="汉仪中宋简" w:cs="汉仪中宋简"/>
          <w:sz w:val="24"/>
          <w:szCs w:val="32"/>
          <w:highlight w:val="none"/>
          <w:lang w:val="en-US" w:eastAsia="zh-CN"/>
        </w:rPr>
        <w:t>01-1. 团队问卷调查明细-厄贝沙坦氢氯噻嗪片用药体验与疗效反馈-患者调查问卷(广东省)</w:t>
      </w:r>
    </w:p>
    <w:p ns2:paraId="6A33FBAA">
      <w:pPr>
        <w:rPr>
          <w:rFonts w:hint="eastAsia" w:ascii="汉仪中宋简" w:hAnsi="汉仪中宋简" w:eastAsia="汉仪中宋简" w:cs="汉仪中宋简"/>
        </w:rPr>
      </w:pPr>
    </w:p>
    <w:p ns2:paraId="61B638CE">
      <w:pPr>
        <w:rPr>
          <w:rFonts w:hint="eastAsia" w:ascii="汉仪中宋简" w:hAnsi="汉仪中宋简" w:eastAsia="汉仪中宋简" w:cs="汉仪中宋简"/>
        </w:rPr>
      </w:pPr>
    </w:p>
    <w:p ns2:paraId="544422C2">
      <w:pPr>
        <w:rPr>
          <w:rFonts w:hint="eastAsia" w:ascii="汉仪中宋简" w:hAnsi="汉仪中宋简" w:eastAsia="汉仪中宋简" w:cs="汉仪中宋简"/>
        </w:rPr>
      </w:pPr>
      <w:r>
        <w:rPr>
          <w:rFonts w:hint="eastAsia" w:ascii="汉仪中宋简" w:hAnsi="汉仪中宋简" w:eastAsia="汉仪中宋简" w:cs="汉仪中宋简"/>
        </w:rPr>
        <w:br w:type="page"/>
      </w:r>
    </w:p>
    <w:p ns2:paraId="6101B089">
      <w:pPr>
        <w:pStyle w:val="2"/>
        <w:bidi w:val="0"/>
        <w:jc w:val="center"/>
        <w:rPr>
          <w:rFonts w:hint="eastAsia" w:ascii="汉仪中宋简" w:hAnsi="汉仪中宋简" w:eastAsia="汉仪中宋简" w:cs="汉仪中宋简"/>
        </w:rPr>
      </w:pPr>
      <w:bookmarkStart w:id="28" w:name="_Toc30276"/>
      <w:bookmarkStart w:id="29" w:name="_Toc8154"/>
      <w:r>
        <w:rPr>
          <w:rFonts w:hint="eastAsia" w:ascii="汉仪中宋简" w:hAnsi="汉仪中宋简" w:eastAsia="汉仪中宋简" w:cs="汉仪中宋简"/>
        </w:rPr>
        <w:t>免责申明</w:t>
      </w:r>
      <w:bookmarkEnd w:id="28"/>
      <w:bookmarkEnd w:id="29"/>
    </w:p>
    <w:p ns2:paraId="5D943D93">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 xml:space="preserve">{{block.disclaimer.items}}</w:t>
      </w:r>
    </w:p>
    <w:p ns2:paraId="2B71D7B4">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 xml:space="preserve">服务提供单位:{{field.service.unit}}</w:t>
      </w:r>
      <w:r>
        <w:rPr>
          <w:rFonts w:hint="eastAsia" w:ascii="汉仪中宋简" w:hAnsi="汉仪中宋简" w:eastAsia="汉仪中宋简" w:cs="汉仪中宋简"/>
          <w:sz w:val="24"/>
          <w:szCs w:val="24"/>
          <w:lang w:val="en-US" w:eastAsia="zh-CN"/>
        </w:rPr>
        <w:t/>
      </w:r>
    </w:p>
    <w:p ns2:paraId="1D60D8EB">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sz w:val="24"/>
          <w:szCs w:val="24"/>
          <w:lang w:eastAsia="zh-CN"/>
        </w:rPr>
        <w:t xml:space="preserve">{{field.service.date}}</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p>
    <w:sectPr>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decorative"/>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1" w:fontKey="{916C5615-01DB-4827-BD4E-F8610F5BD1FE}"/>
  </w:font>
  <w:font w:name="汉仪粗黑简">
    <w:panose1 w:val="02010600000101010101"/>
    <w:charset w:val="86"/>
    <w:family w:val="auto"/>
    <w:pitch w:val="default"/>
    <w:sig w:usb0="00000001" w:usb1="080E0800" w:usb2="00000002" w:usb3="00000000" w:csb0="00040000" w:csb1="00000000"/>
    <w:embedRegular r:id="rId2" w:fontKey="{D3E379EE-1C2C-4E0F-A61E-0A5D4F1DDB05}"/>
  </w:font>
  <w:font w:name="汉仪中宋简">
    <w:panose1 w:val="02010600000101010101"/>
    <w:charset w:val="80"/>
    <w:family w:val="auto"/>
    <w:pitch w:val="default"/>
    <w:sig w:usb0="800002BF" w:usb1="184F6CF8" w:usb2="00000012" w:usb3="00000000" w:csb0="00020001" w:csb1="00000000"/>
    <w:embedRegular r:id="rId3" w:fontKey="{E49E4BB4-9C54-44F1-84D6-2CCB9BE61129}"/>
  </w:font>
  <w:font w:name="汉仪元隆黑-105简">
    <w:panose1 w:val="00020600040101010101"/>
    <w:charset w:val="86"/>
    <w:family w:val="auto"/>
    <w:pitch w:val="default"/>
    <w:sig w:usb0="8000003F" w:usb1="1AC17CFA" w:usb2="00000016" w:usb3="00000000" w:csb0="0004009F" w:csb1="00000000"/>
    <w:embedRegular r:id="rId4" w:fontKey="{40560A2B-C648-4B1B-B617-701B83EC873A}"/>
  </w:font>
  <w:font w:name="WPSEMBED14">
    <w:panose1 w:val="02010600000101010101"/>
    <w:charset w:val="86"/>
    <w:family w:val="auto"/>
    <w:pitch w:val="default"/>
    <w:sig w:usb0="00000001" w:usb1="080E0800" w:usb2="00000002" w:usb3="00000000" w:csb0="00040000" w:csb1="00000000"/>
  </w:font>
  <w:font w:name="WPSEMBED15">
    <w:panose1 w:val="00020600040101010101"/>
    <w:charset w:val="86"/>
    <w:family w:val="auto"/>
    <w:pitch w:val="default"/>
    <w:sig w:usb0="8000003F" w:usb1="1AC17CFA" w:usb2="00000016" w:usb3="00000000" w:csb0="0004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88EBE">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ACE882">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A4DAF">
    <w:pPr>
      <w:pStyle w:val="5"/>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5D9F86">
                          <w:pPr>
                            <w:pStyle w:val="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55D9F86">
                    <w:pPr>
                      <w:pStyle w:val="5"/>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BE0B2">
    <w:pPr>
      <w:pStyle w:val="6"/>
      <w:pBdr>
        <w:bottom w:val="single" w:color="auto" w:sz="4" w:space="1"/>
      </w:pBdr>
      <w:rPr>
        <w:rFonts w:hint="default"/>
        <w:lang w:val="en-US" w:eastAsia="zh-CN"/>
      </w:rPr>
    </w:pPr>
    <w:r>
      <w:rPr>
        <w:rFonts w:hint="eastAsia"/>
        <w:lang w:val="en-US" w:eastAsia="zh-CN"/>
      </w:rPr>
      <w:t>厄贝沙坦氢氯噻嗪片用药体验与疗效反馈患者调查问卷分析报告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A128A2"/>
    <w:multiLevelType w:val="singleLevel"/>
    <w:tmpl w:val="BAA128A2"/>
    <w:lvl w:ilvl="0" w:tentative="0">
      <w:start w:val="1"/>
      <w:numFmt w:val="decimal"/>
      <w:lvlText w:val="(%1)"/>
      <w:lvlJc w:val="left"/>
      <w:pPr>
        <w:ind w:left="425" w:hanging="425"/>
      </w:pPr>
      <w:rPr>
        <w:rFonts w:hint="default"/>
      </w:rPr>
    </w:lvl>
  </w:abstractNum>
  <w:abstractNum w:abstractNumId="1">
    <w:nsid w:val="C8B9116B"/>
    <w:multiLevelType w:val="singleLevel"/>
    <w:tmpl w:val="C8B9116B"/>
    <w:lvl w:ilvl="0" w:tentative="0">
      <w:start w:val="1"/>
      <w:numFmt w:val="decimal"/>
      <w:lvlText w:val="(%1)"/>
      <w:lvlJc w:val="left"/>
      <w:pPr>
        <w:ind w:left="425" w:hanging="425"/>
      </w:pPr>
      <w:rPr>
        <w:rFonts w:hint="default"/>
      </w:rPr>
    </w:lvl>
  </w:abstractNum>
  <w:abstractNum w:abstractNumId="2">
    <w:nsid w:val="036A05D1"/>
    <w:multiLevelType w:val="singleLevel"/>
    <w:tmpl w:val="036A05D1"/>
    <w:lvl w:ilvl="0" w:tentative="0">
      <w:start w:val="1"/>
      <w:numFmt w:val="upperLetter"/>
      <w:suff w:val="space"/>
      <w:lvlText w:val="%1."/>
      <w:lvlJc w:val="left"/>
    </w:lvl>
  </w:abstractNum>
  <w:abstractNum w:abstractNumId="3">
    <w:nsid w:val="072B0078"/>
    <w:multiLevelType w:val="singleLevel"/>
    <w:tmpl w:val="072B0078"/>
    <w:lvl w:ilvl="0" w:tentative="0">
      <w:start w:val="1"/>
      <w:numFmt w:val="decimal"/>
      <w:lvlText w:val="(%1)"/>
      <w:lvlJc w:val="left"/>
      <w:pPr>
        <w:ind w:left="425" w:hanging="425"/>
      </w:pPr>
      <w:rPr>
        <w:rFonts w:hint="default"/>
      </w:rPr>
    </w:lvl>
  </w:abstractNum>
  <w:abstractNum w:abstractNumId="4">
    <w:nsid w:val="1108D3A0"/>
    <w:multiLevelType w:val="singleLevel"/>
    <w:tmpl w:val="1108D3A0"/>
    <w:lvl w:ilvl="0" w:tentative="0">
      <w:start w:val="1"/>
      <w:numFmt w:val="decimal"/>
      <w:lvlText w:val="(%1)"/>
      <w:lvlJc w:val="left"/>
      <w:pPr>
        <w:ind w:left="425" w:hanging="425"/>
      </w:pPr>
      <w:rPr>
        <w:rFonts w:hint="default"/>
      </w:rPr>
    </w:lvl>
  </w:abstractNum>
  <w:abstractNum w:abstractNumId="5">
    <w:nsid w:val="2D9BC5AA"/>
    <w:multiLevelType w:val="singleLevel"/>
    <w:tmpl w:val="2D9BC5AA"/>
    <w:lvl w:ilvl="0" w:tentative="0">
      <w:start w:val="1"/>
      <w:numFmt w:val="chineseCounting"/>
      <w:suff w:val="nothing"/>
      <w:lvlText w:val="%1、"/>
      <w:lvlJc w:val="left"/>
      <w:rPr>
        <w:rFonts w:hint="eastAsia"/>
      </w:rPr>
    </w:lvl>
  </w:abstractNum>
  <w:abstractNum w:abstractNumId="6">
    <w:nsid w:val="30E93D70"/>
    <w:multiLevelType w:val="singleLevel"/>
    <w:tmpl w:val="30E93D70"/>
    <w:lvl w:ilvl="0" w:tentative="0">
      <w:start w:val="1"/>
      <w:numFmt w:val="decimal"/>
      <w:lvlText w:val="(%1)"/>
      <w:lvlJc w:val="left"/>
      <w:pPr>
        <w:ind w:left="425" w:hanging="425"/>
      </w:pPr>
      <w:rPr>
        <w:rFonts w:hint="default"/>
      </w:rPr>
    </w:lvl>
  </w:abstractNum>
  <w:abstractNum w:abstractNumId="7">
    <w:nsid w:val="364EF7CF"/>
    <w:multiLevelType w:val="singleLevel"/>
    <w:tmpl w:val="364EF7CF"/>
    <w:lvl w:ilvl="0" w:tentative="0">
      <w:start w:val="1"/>
      <w:numFmt w:val="decimal"/>
      <w:lvlText w:val="(%1)"/>
      <w:lvlJc w:val="left"/>
      <w:pPr>
        <w:ind w:left="425" w:hanging="425"/>
      </w:pPr>
      <w:rPr>
        <w:rFonts w:hint="default"/>
      </w:rPr>
    </w:lvl>
  </w:abstractNum>
  <w:abstractNum w:abstractNumId="8">
    <w:nsid w:val="4CC8A90B"/>
    <w:multiLevelType w:val="singleLevel"/>
    <w:tmpl w:val="4CC8A90B"/>
    <w:lvl w:ilvl="0" w:tentative="0">
      <w:start w:val="1"/>
      <w:numFmt w:val="decimal"/>
      <w:lvlText w:val="(%1)"/>
      <w:lvlJc w:val="left"/>
      <w:pPr>
        <w:ind w:left="425" w:hanging="425"/>
      </w:pPr>
      <w:rPr>
        <w:rFonts w:hint="default"/>
      </w:rPr>
    </w:lvl>
  </w:abstractNum>
  <w:abstractNum w:abstractNumId="9">
    <w:nsid w:val="514C377C"/>
    <w:multiLevelType w:val="singleLevel"/>
    <w:tmpl w:val="514C377C"/>
    <w:lvl w:ilvl="0" w:tentative="0">
      <w:start w:val="1"/>
      <w:numFmt w:val="upperLetter"/>
      <w:suff w:val="space"/>
      <w:lvlText w:val="%1."/>
      <w:lvlJc w:val="left"/>
    </w:lvl>
  </w:abstractNum>
  <w:abstractNum w:abstractNumId="10">
    <w:nsid w:val="76A2585A"/>
    <w:multiLevelType w:val="singleLevel"/>
    <w:tmpl w:val="76A2585A"/>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0"/>
  </w:num>
  <w:num w:numId="4">
    <w:abstractNumId w:val="10"/>
  </w:num>
  <w:num w:numId="5">
    <w:abstractNumId w:val="1"/>
  </w:num>
  <w:num w:numId="6">
    <w:abstractNumId w:val="8"/>
  </w:num>
  <w:num w:numId="7">
    <w:abstractNumId w:val="4"/>
  </w:num>
  <w:num w:numId="8">
    <w:abstractNumId w:val="6"/>
  </w:num>
  <w:num w:numId="9">
    <w:abstractNumId w:val="3"/>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5ZGQ5ZWQ1MmJhMGZkNmYwMjg3MjM4MGI4MGE3YjQifQ=="/>
  </w:docVars>
  <w:rsids>
    <w:rsidRoot w:val="00172A27"/>
    <w:rsid w:val="00115AC3"/>
    <w:rsid w:val="003A6B66"/>
    <w:rsid w:val="006E0802"/>
    <w:rsid w:val="00870763"/>
    <w:rsid w:val="00A566D5"/>
    <w:rsid w:val="00A80AAC"/>
    <w:rsid w:val="00B87A8B"/>
    <w:rsid w:val="00D5688F"/>
    <w:rsid w:val="00DF3269"/>
    <w:rsid w:val="00F143F4"/>
    <w:rsid w:val="011473B7"/>
    <w:rsid w:val="014E5AB0"/>
    <w:rsid w:val="015D278A"/>
    <w:rsid w:val="01761E20"/>
    <w:rsid w:val="01921BA8"/>
    <w:rsid w:val="01B071AF"/>
    <w:rsid w:val="01F9628B"/>
    <w:rsid w:val="0224362A"/>
    <w:rsid w:val="022D1E3A"/>
    <w:rsid w:val="023451DC"/>
    <w:rsid w:val="028D7F54"/>
    <w:rsid w:val="02A1111E"/>
    <w:rsid w:val="02A14C7A"/>
    <w:rsid w:val="02A66735"/>
    <w:rsid w:val="02C44BAF"/>
    <w:rsid w:val="034E3B00"/>
    <w:rsid w:val="03A91663"/>
    <w:rsid w:val="04511E3D"/>
    <w:rsid w:val="04DF7CDC"/>
    <w:rsid w:val="04E92909"/>
    <w:rsid w:val="04F068B8"/>
    <w:rsid w:val="050339CA"/>
    <w:rsid w:val="051C1B5A"/>
    <w:rsid w:val="05322502"/>
    <w:rsid w:val="0559183C"/>
    <w:rsid w:val="055F2BCB"/>
    <w:rsid w:val="056B3129"/>
    <w:rsid w:val="058F34B0"/>
    <w:rsid w:val="05C018BB"/>
    <w:rsid w:val="05E90CD0"/>
    <w:rsid w:val="05EA06E6"/>
    <w:rsid w:val="0616772D"/>
    <w:rsid w:val="06484524"/>
    <w:rsid w:val="06512D33"/>
    <w:rsid w:val="067A14B5"/>
    <w:rsid w:val="0680104B"/>
    <w:rsid w:val="06A37841"/>
    <w:rsid w:val="07234289"/>
    <w:rsid w:val="0768220B"/>
    <w:rsid w:val="07D94EB6"/>
    <w:rsid w:val="081E2791"/>
    <w:rsid w:val="08455529"/>
    <w:rsid w:val="08471B07"/>
    <w:rsid w:val="0893471C"/>
    <w:rsid w:val="08A019CA"/>
    <w:rsid w:val="08A116F6"/>
    <w:rsid w:val="08C81683"/>
    <w:rsid w:val="08D97F17"/>
    <w:rsid w:val="08F71A98"/>
    <w:rsid w:val="09185D37"/>
    <w:rsid w:val="091E6200"/>
    <w:rsid w:val="09291197"/>
    <w:rsid w:val="09772BD9"/>
    <w:rsid w:val="09DC6722"/>
    <w:rsid w:val="0A0F696E"/>
    <w:rsid w:val="0A576E8B"/>
    <w:rsid w:val="0A5B0B52"/>
    <w:rsid w:val="0AB63A17"/>
    <w:rsid w:val="0B1F33EE"/>
    <w:rsid w:val="0B494101"/>
    <w:rsid w:val="0B500BE0"/>
    <w:rsid w:val="0B767ABF"/>
    <w:rsid w:val="0B8F622A"/>
    <w:rsid w:val="0B9124F0"/>
    <w:rsid w:val="0BA17A09"/>
    <w:rsid w:val="0C0A7D34"/>
    <w:rsid w:val="0C3B4EC0"/>
    <w:rsid w:val="0C4C20FB"/>
    <w:rsid w:val="0C6831D4"/>
    <w:rsid w:val="0C935725"/>
    <w:rsid w:val="0CB06EE6"/>
    <w:rsid w:val="0CB84064"/>
    <w:rsid w:val="0CE05F94"/>
    <w:rsid w:val="0CE642FD"/>
    <w:rsid w:val="0D305579"/>
    <w:rsid w:val="0D642486"/>
    <w:rsid w:val="0D8B6C53"/>
    <w:rsid w:val="0D9E5A21"/>
    <w:rsid w:val="0DE60CCA"/>
    <w:rsid w:val="0E1327A4"/>
    <w:rsid w:val="0E2A1FC8"/>
    <w:rsid w:val="0E353822"/>
    <w:rsid w:val="0E7B6CC7"/>
    <w:rsid w:val="0E937761"/>
    <w:rsid w:val="0EA855E3"/>
    <w:rsid w:val="0EBB1744"/>
    <w:rsid w:val="0EC37DD2"/>
    <w:rsid w:val="0F120ABD"/>
    <w:rsid w:val="0F1D3EC4"/>
    <w:rsid w:val="0F24110D"/>
    <w:rsid w:val="0F7F00F1"/>
    <w:rsid w:val="0FCB3337"/>
    <w:rsid w:val="0FDD21EC"/>
    <w:rsid w:val="0FDF6DE2"/>
    <w:rsid w:val="10366FB9"/>
    <w:rsid w:val="103C5FE2"/>
    <w:rsid w:val="107F04D7"/>
    <w:rsid w:val="10B36F25"/>
    <w:rsid w:val="10BD5D42"/>
    <w:rsid w:val="10CB381A"/>
    <w:rsid w:val="10E0013B"/>
    <w:rsid w:val="115577AF"/>
    <w:rsid w:val="116636F0"/>
    <w:rsid w:val="116C28F7"/>
    <w:rsid w:val="11765524"/>
    <w:rsid w:val="118F39F0"/>
    <w:rsid w:val="11923F5B"/>
    <w:rsid w:val="11FD79F3"/>
    <w:rsid w:val="12217B86"/>
    <w:rsid w:val="12A7643B"/>
    <w:rsid w:val="12E865C3"/>
    <w:rsid w:val="12F9379A"/>
    <w:rsid w:val="130A686C"/>
    <w:rsid w:val="132F1E2E"/>
    <w:rsid w:val="139A199E"/>
    <w:rsid w:val="13AB5686"/>
    <w:rsid w:val="13F24D75"/>
    <w:rsid w:val="14184FB8"/>
    <w:rsid w:val="1495298C"/>
    <w:rsid w:val="14B71CD0"/>
    <w:rsid w:val="14C376F9"/>
    <w:rsid w:val="14F450DE"/>
    <w:rsid w:val="150F1F18"/>
    <w:rsid w:val="15183504"/>
    <w:rsid w:val="1574621E"/>
    <w:rsid w:val="15BC31A1"/>
    <w:rsid w:val="15C50828"/>
    <w:rsid w:val="15CF16A7"/>
    <w:rsid w:val="15D46CBD"/>
    <w:rsid w:val="15F10C2F"/>
    <w:rsid w:val="160F1869"/>
    <w:rsid w:val="165C118C"/>
    <w:rsid w:val="165D2B8A"/>
    <w:rsid w:val="16751C00"/>
    <w:rsid w:val="16CA259A"/>
    <w:rsid w:val="16D90A2F"/>
    <w:rsid w:val="16E3365C"/>
    <w:rsid w:val="1731510D"/>
    <w:rsid w:val="177E552D"/>
    <w:rsid w:val="17852965"/>
    <w:rsid w:val="17930E82"/>
    <w:rsid w:val="17E56F60"/>
    <w:rsid w:val="17F15FAE"/>
    <w:rsid w:val="1816180F"/>
    <w:rsid w:val="18165BC0"/>
    <w:rsid w:val="181F19E3"/>
    <w:rsid w:val="18277578"/>
    <w:rsid w:val="18512847"/>
    <w:rsid w:val="185A0482"/>
    <w:rsid w:val="186C7681"/>
    <w:rsid w:val="187A7FF0"/>
    <w:rsid w:val="188A386F"/>
    <w:rsid w:val="18A87A9A"/>
    <w:rsid w:val="18DA45EA"/>
    <w:rsid w:val="18F17B89"/>
    <w:rsid w:val="190175E5"/>
    <w:rsid w:val="194B7296"/>
    <w:rsid w:val="195920A9"/>
    <w:rsid w:val="19B906A4"/>
    <w:rsid w:val="19F94F44"/>
    <w:rsid w:val="1A813C91"/>
    <w:rsid w:val="1ACC5A4B"/>
    <w:rsid w:val="1AFB72AE"/>
    <w:rsid w:val="1B0D514B"/>
    <w:rsid w:val="1B281F85"/>
    <w:rsid w:val="1B652C55"/>
    <w:rsid w:val="1B8847D2"/>
    <w:rsid w:val="1BDE4794"/>
    <w:rsid w:val="1BE13EE2"/>
    <w:rsid w:val="1BE67E80"/>
    <w:rsid w:val="1BF26033"/>
    <w:rsid w:val="1C1F7144"/>
    <w:rsid w:val="1C2002B7"/>
    <w:rsid w:val="1C33298F"/>
    <w:rsid w:val="1C636C39"/>
    <w:rsid w:val="1C7106F0"/>
    <w:rsid w:val="1CA53161"/>
    <w:rsid w:val="1CB533A4"/>
    <w:rsid w:val="1CEF446B"/>
    <w:rsid w:val="1CF531D1"/>
    <w:rsid w:val="1D3544E5"/>
    <w:rsid w:val="1D945A3B"/>
    <w:rsid w:val="1DAB29F9"/>
    <w:rsid w:val="1DBA5174"/>
    <w:rsid w:val="1DC046F7"/>
    <w:rsid w:val="1DF61EC7"/>
    <w:rsid w:val="1E116D00"/>
    <w:rsid w:val="1E124D0F"/>
    <w:rsid w:val="1E15334A"/>
    <w:rsid w:val="1E6E1383"/>
    <w:rsid w:val="1E6E272B"/>
    <w:rsid w:val="1E814709"/>
    <w:rsid w:val="1EA01E32"/>
    <w:rsid w:val="1EAC5247"/>
    <w:rsid w:val="1EDC730E"/>
    <w:rsid w:val="1F370A48"/>
    <w:rsid w:val="1F4367BC"/>
    <w:rsid w:val="1FBA3134"/>
    <w:rsid w:val="1FE951F7"/>
    <w:rsid w:val="203A6774"/>
    <w:rsid w:val="208A1A2D"/>
    <w:rsid w:val="208F215E"/>
    <w:rsid w:val="209C2AB0"/>
    <w:rsid w:val="20A83220"/>
    <w:rsid w:val="20E57FD0"/>
    <w:rsid w:val="215E4EE8"/>
    <w:rsid w:val="21B463FC"/>
    <w:rsid w:val="21DD6EFA"/>
    <w:rsid w:val="21DF298D"/>
    <w:rsid w:val="21E45038"/>
    <w:rsid w:val="225418B2"/>
    <w:rsid w:val="225F0C79"/>
    <w:rsid w:val="22761828"/>
    <w:rsid w:val="229E48DB"/>
    <w:rsid w:val="22B97967"/>
    <w:rsid w:val="22D36C7A"/>
    <w:rsid w:val="22FD5AA5"/>
    <w:rsid w:val="232272BA"/>
    <w:rsid w:val="233B6F8E"/>
    <w:rsid w:val="236D16F9"/>
    <w:rsid w:val="23767606"/>
    <w:rsid w:val="23A70B19"/>
    <w:rsid w:val="23B4085A"/>
    <w:rsid w:val="23CD191B"/>
    <w:rsid w:val="23DE7F31"/>
    <w:rsid w:val="23E80503"/>
    <w:rsid w:val="23EB1DA2"/>
    <w:rsid w:val="24343749"/>
    <w:rsid w:val="243451F1"/>
    <w:rsid w:val="24637B8A"/>
    <w:rsid w:val="247D37DD"/>
    <w:rsid w:val="24816262"/>
    <w:rsid w:val="24AD5661"/>
    <w:rsid w:val="24BB1774"/>
    <w:rsid w:val="24FF3D57"/>
    <w:rsid w:val="25501043"/>
    <w:rsid w:val="2572277A"/>
    <w:rsid w:val="259E22CD"/>
    <w:rsid w:val="25C32FD6"/>
    <w:rsid w:val="25F61A23"/>
    <w:rsid w:val="264B4D7A"/>
    <w:rsid w:val="267F0A80"/>
    <w:rsid w:val="267F462A"/>
    <w:rsid w:val="26914DED"/>
    <w:rsid w:val="26D60AE7"/>
    <w:rsid w:val="26FE3B9A"/>
    <w:rsid w:val="27BF157B"/>
    <w:rsid w:val="28100433"/>
    <w:rsid w:val="281236EF"/>
    <w:rsid w:val="2818512F"/>
    <w:rsid w:val="284B1152"/>
    <w:rsid w:val="28547D0B"/>
    <w:rsid w:val="285642D5"/>
    <w:rsid w:val="286F399E"/>
    <w:rsid w:val="28956780"/>
    <w:rsid w:val="289A78F2"/>
    <w:rsid w:val="28B9246E"/>
    <w:rsid w:val="28E42C08"/>
    <w:rsid w:val="2901038D"/>
    <w:rsid w:val="29115675"/>
    <w:rsid w:val="299762DC"/>
    <w:rsid w:val="29CB0601"/>
    <w:rsid w:val="2A14048F"/>
    <w:rsid w:val="2A2B5E5C"/>
    <w:rsid w:val="2A3049B2"/>
    <w:rsid w:val="2A451994"/>
    <w:rsid w:val="2A522B7B"/>
    <w:rsid w:val="2A6E1037"/>
    <w:rsid w:val="2A8B3997"/>
    <w:rsid w:val="2AAB7789"/>
    <w:rsid w:val="2ABE3D6C"/>
    <w:rsid w:val="2ADA00F5"/>
    <w:rsid w:val="2AEC6B2B"/>
    <w:rsid w:val="2B1E7CFB"/>
    <w:rsid w:val="2B282108"/>
    <w:rsid w:val="2B2B291F"/>
    <w:rsid w:val="2B413AB8"/>
    <w:rsid w:val="2B6052C0"/>
    <w:rsid w:val="2B65243A"/>
    <w:rsid w:val="2BA54F2C"/>
    <w:rsid w:val="2BC1575F"/>
    <w:rsid w:val="2BF04D49"/>
    <w:rsid w:val="2C277C1E"/>
    <w:rsid w:val="2C2E0A7D"/>
    <w:rsid w:val="2C686611"/>
    <w:rsid w:val="2C691F08"/>
    <w:rsid w:val="2C752B50"/>
    <w:rsid w:val="2CBC6463"/>
    <w:rsid w:val="2CC11743"/>
    <w:rsid w:val="2CD2650A"/>
    <w:rsid w:val="2CD51B1F"/>
    <w:rsid w:val="2D1F65F8"/>
    <w:rsid w:val="2D5E1836"/>
    <w:rsid w:val="2D67693D"/>
    <w:rsid w:val="2D821BBD"/>
    <w:rsid w:val="2D8F19F0"/>
    <w:rsid w:val="2DBA2F11"/>
    <w:rsid w:val="2DD218DC"/>
    <w:rsid w:val="2DD647D7"/>
    <w:rsid w:val="2DF4043C"/>
    <w:rsid w:val="2E2204B6"/>
    <w:rsid w:val="2E4E18AB"/>
    <w:rsid w:val="2E7A61FC"/>
    <w:rsid w:val="2E8762A6"/>
    <w:rsid w:val="2E882855"/>
    <w:rsid w:val="2E9F64F2"/>
    <w:rsid w:val="2EC102CF"/>
    <w:rsid w:val="2EC90F31"/>
    <w:rsid w:val="2ED3341D"/>
    <w:rsid w:val="2ED3590C"/>
    <w:rsid w:val="2EED10C4"/>
    <w:rsid w:val="2F0361F1"/>
    <w:rsid w:val="2F4F58DB"/>
    <w:rsid w:val="2FA15A0A"/>
    <w:rsid w:val="2FAA1469"/>
    <w:rsid w:val="301A16BC"/>
    <w:rsid w:val="3034105F"/>
    <w:rsid w:val="303F76FD"/>
    <w:rsid w:val="308A4FF7"/>
    <w:rsid w:val="30A27C8C"/>
    <w:rsid w:val="30EC0F07"/>
    <w:rsid w:val="3135465C"/>
    <w:rsid w:val="315E4CA9"/>
    <w:rsid w:val="31692558"/>
    <w:rsid w:val="31807FCD"/>
    <w:rsid w:val="318501E2"/>
    <w:rsid w:val="31945827"/>
    <w:rsid w:val="31D64091"/>
    <w:rsid w:val="31EA69B8"/>
    <w:rsid w:val="32220A03"/>
    <w:rsid w:val="3244724D"/>
    <w:rsid w:val="3281224F"/>
    <w:rsid w:val="32B029E9"/>
    <w:rsid w:val="32DA2ABE"/>
    <w:rsid w:val="32E93950"/>
    <w:rsid w:val="32FD11AA"/>
    <w:rsid w:val="33114C55"/>
    <w:rsid w:val="33153347"/>
    <w:rsid w:val="332E1CAB"/>
    <w:rsid w:val="33963E2B"/>
    <w:rsid w:val="33A04957"/>
    <w:rsid w:val="33A1247D"/>
    <w:rsid w:val="33AB32FB"/>
    <w:rsid w:val="33F14D68"/>
    <w:rsid w:val="33FE78CF"/>
    <w:rsid w:val="34362F96"/>
    <w:rsid w:val="346A2C09"/>
    <w:rsid w:val="346D235F"/>
    <w:rsid w:val="346F60D7"/>
    <w:rsid w:val="34B260C8"/>
    <w:rsid w:val="34BF705E"/>
    <w:rsid w:val="34D523DE"/>
    <w:rsid w:val="34D80120"/>
    <w:rsid w:val="34E22D4D"/>
    <w:rsid w:val="354B26A0"/>
    <w:rsid w:val="359A460D"/>
    <w:rsid w:val="35BF4E3C"/>
    <w:rsid w:val="35E84393"/>
    <w:rsid w:val="363B2715"/>
    <w:rsid w:val="36606EC6"/>
    <w:rsid w:val="368247AC"/>
    <w:rsid w:val="37184804"/>
    <w:rsid w:val="371E0070"/>
    <w:rsid w:val="372E4027"/>
    <w:rsid w:val="376734F4"/>
    <w:rsid w:val="379921C2"/>
    <w:rsid w:val="37EA4306"/>
    <w:rsid w:val="384D672F"/>
    <w:rsid w:val="39002FB3"/>
    <w:rsid w:val="390C0398"/>
    <w:rsid w:val="390E2362"/>
    <w:rsid w:val="390E2462"/>
    <w:rsid w:val="39170C92"/>
    <w:rsid w:val="391D4354"/>
    <w:rsid w:val="392E47B3"/>
    <w:rsid w:val="395466E3"/>
    <w:rsid w:val="39921705"/>
    <w:rsid w:val="39A678B1"/>
    <w:rsid w:val="39DC77C9"/>
    <w:rsid w:val="39EC1AC0"/>
    <w:rsid w:val="3A0F5F29"/>
    <w:rsid w:val="3A1F5EA9"/>
    <w:rsid w:val="3A295F9B"/>
    <w:rsid w:val="3A2C3979"/>
    <w:rsid w:val="3A4B6C9E"/>
    <w:rsid w:val="3A5C70FE"/>
    <w:rsid w:val="3A7D5381"/>
    <w:rsid w:val="3ACA5A0A"/>
    <w:rsid w:val="3AEC66D3"/>
    <w:rsid w:val="3AFA0DF0"/>
    <w:rsid w:val="3B4D0803"/>
    <w:rsid w:val="3B64626A"/>
    <w:rsid w:val="3BDE6803"/>
    <w:rsid w:val="3C08753D"/>
    <w:rsid w:val="3C495460"/>
    <w:rsid w:val="3C5502A8"/>
    <w:rsid w:val="3C5E2583"/>
    <w:rsid w:val="3C687FDC"/>
    <w:rsid w:val="3C6E6982"/>
    <w:rsid w:val="3C862FBA"/>
    <w:rsid w:val="3C991F43"/>
    <w:rsid w:val="3D381350"/>
    <w:rsid w:val="3D780336"/>
    <w:rsid w:val="3D803103"/>
    <w:rsid w:val="3D8A5D30"/>
    <w:rsid w:val="3DA825AF"/>
    <w:rsid w:val="3DC47C3F"/>
    <w:rsid w:val="3DEB4A20"/>
    <w:rsid w:val="3DF257B2"/>
    <w:rsid w:val="3DF77869"/>
    <w:rsid w:val="3E086884"/>
    <w:rsid w:val="3E734A16"/>
    <w:rsid w:val="3EA82911"/>
    <w:rsid w:val="3F0965F9"/>
    <w:rsid w:val="3F0E5A67"/>
    <w:rsid w:val="3F2C09B1"/>
    <w:rsid w:val="3F740A45"/>
    <w:rsid w:val="3F8B219C"/>
    <w:rsid w:val="3FB456CB"/>
    <w:rsid w:val="407C4056"/>
    <w:rsid w:val="40D02F9B"/>
    <w:rsid w:val="40EE08A2"/>
    <w:rsid w:val="40EF4858"/>
    <w:rsid w:val="40F1696F"/>
    <w:rsid w:val="40F2256A"/>
    <w:rsid w:val="40FE0993"/>
    <w:rsid w:val="412224FD"/>
    <w:rsid w:val="41362456"/>
    <w:rsid w:val="41384420"/>
    <w:rsid w:val="41A53138"/>
    <w:rsid w:val="41B132F0"/>
    <w:rsid w:val="41F540C0"/>
    <w:rsid w:val="41F8593B"/>
    <w:rsid w:val="4230130C"/>
    <w:rsid w:val="424F183F"/>
    <w:rsid w:val="42636F27"/>
    <w:rsid w:val="42664FBD"/>
    <w:rsid w:val="426B5FFB"/>
    <w:rsid w:val="42772A73"/>
    <w:rsid w:val="42A65516"/>
    <w:rsid w:val="42C910A8"/>
    <w:rsid w:val="42F9198D"/>
    <w:rsid w:val="42FC167C"/>
    <w:rsid w:val="43217136"/>
    <w:rsid w:val="433F7758"/>
    <w:rsid w:val="439B2A45"/>
    <w:rsid w:val="43A54F96"/>
    <w:rsid w:val="43CC0E50"/>
    <w:rsid w:val="44590106"/>
    <w:rsid w:val="44625310"/>
    <w:rsid w:val="44831180"/>
    <w:rsid w:val="44C8711D"/>
    <w:rsid w:val="45151F83"/>
    <w:rsid w:val="453E18DA"/>
    <w:rsid w:val="455235D7"/>
    <w:rsid w:val="460743C1"/>
    <w:rsid w:val="46380A1F"/>
    <w:rsid w:val="463827CD"/>
    <w:rsid w:val="469228C4"/>
    <w:rsid w:val="46965745"/>
    <w:rsid w:val="46EA1201"/>
    <w:rsid w:val="471274C2"/>
    <w:rsid w:val="47AD0F98"/>
    <w:rsid w:val="47B0504B"/>
    <w:rsid w:val="47EF74AA"/>
    <w:rsid w:val="48233009"/>
    <w:rsid w:val="486309CF"/>
    <w:rsid w:val="48735D3E"/>
    <w:rsid w:val="488B0FC5"/>
    <w:rsid w:val="488C6E00"/>
    <w:rsid w:val="48950BDB"/>
    <w:rsid w:val="48A92658"/>
    <w:rsid w:val="48CB154A"/>
    <w:rsid w:val="48E82B89"/>
    <w:rsid w:val="48F350D1"/>
    <w:rsid w:val="49115557"/>
    <w:rsid w:val="49155047"/>
    <w:rsid w:val="49254325"/>
    <w:rsid w:val="49675177"/>
    <w:rsid w:val="49A01D61"/>
    <w:rsid w:val="49EB2377"/>
    <w:rsid w:val="4A1277D9"/>
    <w:rsid w:val="4A26699A"/>
    <w:rsid w:val="4A8A4B54"/>
    <w:rsid w:val="4ACC3E2B"/>
    <w:rsid w:val="4ACC47A3"/>
    <w:rsid w:val="4B052E99"/>
    <w:rsid w:val="4B1E132F"/>
    <w:rsid w:val="4B27776C"/>
    <w:rsid w:val="4B3519D1"/>
    <w:rsid w:val="4B35552D"/>
    <w:rsid w:val="4B9A5CD8"/>
    <w:rsid w:val="4BA64CEC"/>
    <w:rsid w:val="4BBB5B68"/>
    <w:rsid w:val="4BBE6EC5"/>
    <w:rsid w:val="4BC25D7D"/>
    <w:rsid w:val="4BC74433"/>
    <w:rsid w:val="4BDE7972"/>
    <w:rsid w:val="4BE8259F"/>
    <w:rsid w:val="4C0516D1"/>
    <w:rsid w:val="4C194E4E"/>
    <w:rsid w:val="4C2757BD"/>
    <w:rsid w:val="4C4F3C91"/>
    <w:rsid w:val="4C5A2FDC"/>
    <w:rsid w:val="4C680B4F"/>
    <w:rsid w:val="4C7347DE"/>
    <w:rsid w:val="4C8F6EBF"/>
    <w:rsid w:val="4CA30308"/>
    <w:rsid w:val="4CB67BF1"/>
    <w:rsid w:val="4CE622C3"/>
    <w:rsid w:val="4D1A2C2C"/>
    <w:rsid w:val="4D2C6110"/>
    <w:rsid w:val="4D357A66"/>
    <w:rsid w:val="4D7560B4"/>
    <w:rsid w:val="4D8E53C8"/>
    <w:rsid w:val="4DA92202"/>
    <w:rsid w:val="4DD51249"/>
    <w:rsid w:val="4E6E7AAD"/>
    <w:rsid w:val="4E946A0E"/>
    <w:rsid w:val="4EB81536"/>
    <w:rsid w:val="4EBB2485"/>
    <w:rsid w:val="4ECA19FE"/>
    <w:rsid w:val="4EE21425"/>
    <w:rsid w:val="4EEF1E97"/>
    <w:rsid w:val="4F1870FF"/>
    <w:rsid w:val="4F801EFF"/>
    <w:rsid w:val="4FAE58AE"/>
    <w:rsid w:val="4FC77E70"/>
    <w:rsid w:val="5019366F"/>
    <w:rsid w:val="5019541D"/>
    <w:rsid w:val="50266224"/>
    <w:rsid w:val="5031074C"/>
    <w:rsid w:val="504E6532"/>
    <w:rsid w:val="506A793C"/>
    <w:rsid w:val="50AC6075"/>
    <w:rsid w:val="50FD0F68"/>
    <w:rsid w:val="511B6F73"/>
    <w:rsid w:val="512E185C"/>
    <w:rsid w:val="514C730E"/>
    <w:rsid w:val="518670D6"/>
    <w:rsid w:val="51A46F68"/>
    <w:rsid w:val="51D535C6"/>
    <w:rsid w:val="51EA18B0"/>
    <w:rsid w:val="52197E96"/>
    <w:rsid w:val="52224331"/>
    <w:rsid w:val="522B7478"/>
    <w:rsid w:val="523A78CD"/>
    <w:rsid w:val="52616BAE"/>
    <w:rsid w:val="52A01E26"/>
    <w:rsid w:val="52AF16AD"/>
    <w:rsid w:val="52B72CCB"/>
    <w:rsid w:val="52B9474D"/>
    <w:rsid w:val="52FB3500"/>
    <w:rsid w:val="530879CB"/>
    <w:rsid w:val="53702DD7"/>
    <w:rsid w:val="538C6936"/>
    <w:rsid w:val="53A6376C"/>
    <w:rsid w:val="543C16DA"/>
    <w:rsid w:val="54BD27CE"/>
    <w:rsid w:val="54D943F6"/>
    <w:rsid w:val="55452810"/>
    <w:rsid w:val="55FC3817"/>
    <w:rsid w:val="562C1C22"/>
    <w:rsid w:val="56777156"/>
    <w:rsid w:val="568F4D4F"/>
    <w:rsid w:val="56927CD7"/>
    <w:rsid w:val="56AB0D99"/>
    <w:rsid w:val="56B75990"/>
    <w:rsid w:val="56C105BC"/>
    <w:rsid w:val="56C43C09"/>
    <w:rsid w:val="56D02B61"/>
    <w:rsid w:val="56D6406E"/>
    <w:rsid w:val="570A1F63"/>
    <w:rsid w:val="571C7539"/>
    <w:rsid w:val="572B1EDA"/>
    <w:rsid w:val="578A6C00"/>
    <w:rsid w:val="5797131D"/>
    <w:rsid w:val="57997088"/>
    <w:rsid w:val="57B819BF"/>
    <w:rsid w:val="57EA3B43"/>
    <w:rsid w:val="58022C3B"/>
    <w:rsid w:val="58490869"/>
    <w:rsid w:val="58690AF4"/>
    <w:rsid w:val="58920462"/>
    <w:rsid w:val="589917F1"/>
    <w:rsid w:val="58D63E23"/>
    <w:rsid w:val="59082C0D"/>
    <w:rsid w:val="59142C25"/>
    <w:rsid w:val="59367D0E"/>
    <w:rsid w:val="596E218B"/>
    <w:rsid w:val="59BB284B"/>
    <w:rsid w:val="59D03FE9"/>
    <w:rsid w:val="5A0802B0"/>
    <w:rsid w:val="5A647BDD"/>
    <w:rsid w:val="5A820063"/>
    <w:rsid w:val="5AAC3332"/>
    <w:rsid w:val="5AB242ED"/>
    <w:rsid w:val="5AD3266C"/>
    <w:rsid w:val="5AD84127"/>
    <w:rsid w:val="5AF01470"/>
    <w:rsid w:val="5B0E7B48"/>
    <w:rsid w:val="5B172023"/>
    <w:rsid w:val="5BCA2D15"/>
    <w:rsid w:val="5BD60CC0"/>
    <w:rsid w:val="5C1019F3"/>
    <w:rsid w:val="5C1A6503"/>
    <w:rsid w:val="5C3F41AF"/>
    <w:rsid w:val="5CB12E81"/>
    <w:rsid w:val="5CB62246"/>
    <w:rsid w:val="5CF547EA"/>
    <w:rsid w:val="5CF8285E"/>
    <w:rsid w:val="5D37510F"/>
    <w:rsid w:val="5DD111E4"/>
    <w:rsid w:val="5E0E058B"/>
    <w:rsid w:val="5E17280A"/>
    <w:rsid w:val="5E4F2952"/>
    <w:rsid w:val="5E7B54F5"/>
    <w:rsid w:val="5EA80B24"/>
    <w:rsid w:val="5F5D4BFA"/>
    <w:rsid w:val="5F97635E"/>
    <w:rsid w:val="5FA06419"/>
    <w:rsid w:val="5FCC55B0"/>
    <w:rsid w:val="5FD72BFF"/>
    <w:rsid w:val="5FE74F09"/>
    <w:rsid w:val="5FF3766A"/>
    <w:rsid w:val="601C5F42"/>
    <w:rsid w:val="60363DC9"/>
    <w:rsid w:val="60483AFC"/>
    <w:rsid w:val="60966616"/>
    <w:rsid w:val="60A254D6"/>
    <w:rsid w:val="60A50A50"/>
    <w:rsid w:val="60D158A0"/>
    <w:rsid w:val="60D66C28"/>
    <w:rsid w:val="611413BC"/>
    <w:rsid w:val="61706E67"/>
    <w:rsid w:val="61717761"/>
    <w:rsid w:val="619E09FC"/>
    <w:rsid w:val="61BE4076"/>
    <w:rsid w:val="61EA5B50"/>
    <w:rsid w:val="623460E6"/>
    <w:rsid w:val="62DA46B0"/>
    <w:rsid w:val="62F87114"/>
    <w:rsid w:val="630006BE"/>
    <w:rsid w:val="634E142A"/>
    <w:rsid w:val="636522D0"/>
    <w:rsid w:val="636C365E"/>
    <w:rsid w:val="637349EC"/>
    <w:rsid w:val="63814E23"/>
    <w:rsid w:val="63846BFA"/>
    <w:rsid w:val="638E7A78"/>
    <w:rsid w:val="63B868A3"/>
    <w:rsid w:val="63CE0DB5"/>
    <w:rsid w:val="63D80CF3"/>
    <w:rsid w:val="63DD630A"/>
    <w:rsid w:val="63DE39EA"/>
    <w:rsid w:val="63F278A5"/>
    <w:rsid w:val="64656A2B"/>
    <w:rsid w:val="64A70DF2"/>
    <w:rsid w:val="651D5558"/>
    <w:rsid w:val="65646CE3"/>
    <w:rsid w:val="65E34872"/>
    <w:rsid w:val="65E73470"/>
    <w:rsid w:val="65ED067A"/>
    <w:rsid w:val="662621EA"/>
    <w:rsid w:val="66383CCB"/>
    <w:rsid w:val="669E0B88"/>
    <w:rsid w:val="670F6369"/>
    <w:rsid w:val="674072DB"/>
    <w:rsid w:val="674E7C4A"/>
    <w:rsid w:val="675039C2"/>
    <w:rsid w:val="676239C8"/>
    <w:rsid w:val="681349F0"/>
    <w:rsid w:val="681C5653"/>
    <w:rsid w:val="68AA0BDE"/>
    <w:rsid w:val="68D91796"/>
    <w:rsid w:val="68ED3493"/>
    <w:rsid w:val="68F04A29"/>
    <w:rsid w:val="690031C6"/>
    <w:rsid w:val="6904760A"/>
    <w:rsid w:val="69146D78"/>
    <w:rsid w:val="6984366B"/>
    <w:rsid w:val="69A71894"/>
    <w:rsid w:val="69CE6E20"/>
    <w:rsid w:val="69D361E5"/>
    <w:rsid w:val="69E72CD3"/>
    <w:rsid w:val="69F10D61"/>
    <w:rsid w:val="6A186A78"/>
    <w:rsid w:val="6A253BE6"/>
    <w:rsid w:val="6A2931E3"/>
    <w:rsid w:val="6A505A87"/>
    <w:rsid w:val="6A660130"/>
    <w:rsid w:val="6A891E90"/>
    <w:rsid w:val="6A9E228F"/>
    <w:rsid w:val="6B2F7D93"/>
    <w:rsid w:val="6B347157"/>
    <w:rsid w:val="6B6317EA"/>
    <w:rsid w:val="6B637901"/>
    <w:rsid w:val="6B8C0A69"/>
    <w:rsid w:val="6B8E1A00"/>
    <w:rsid w:val="6BE7241B"/>
    <w:rsid w:val="6C18484A"/>
    <w:rsid w:val="6C5555D7"/>
    <w:rsid w:val="6C72358B"/>
    <w:rsid w:val="6CA566B8"/>
    <w:rsid w:val="6CC4275D"/>
    <w:rsid w:val="6CDE2113"/>
    <w:rsid w:val="6CF941B4"/>
    <w:rsid w:val="6D0A2D4D"/>
    <w:rsid w:val="6D490B0E"/>
    <w:rsid w:val="6D633D24"/>
    <w:rsid w:val="6D934572"/>
    <w:rsid w:val="6DEC3D19"/>
    <w:rsid w:val="6DF36E56"/>
    <w:rsid w:val="6E0472B5"/>
    <w:rsid w:val="6E206F36"/>
    <w:rsid w:val="6E531FEA"/>
    <w:rsid w:val="6E7C07ED"/>
    <w:rsid w:val="6EAC0452"/>
    <w:rsid w:val="6ECD3B4B"/>
    <w:rsid w:val="6ECD58F9"/>
    <w:rsid w:val="6F343BCA"/>
    <w:rsid w:val="6FE3114C"/>
    <w:rsid w:val="70195673"/>
    <w:rsid w:val="702A0B29"/>
    <w:rsid w:val="703A6FBE"/>
    <w:rsid w:val="706202C3"/>
    <w:rsid w:val="70742EB9"/>
    <w:rsid w:val="70A97C9F"/>
    <w:rsid w:val="70AB1C6A"/>
    <w:rsid w:val="70B84386"/>
    <w:rsid w:val="70DC13F2"/>
    <w:rsid w:val="712612F0"/>
    <w:rsid w:val="712A2783"/>
    <w:rsid w:val="71687B5B"/>
    <w:rsid w:val="717C1858"/>
    <w:rsid w:val="719C3171"/>
    <w:rsid w:val="71C56D5B"/>
    <w:rsid w:val="71CB12E6"/>
    <w:rsid w:val="71E01DE7"/>
    <w:rsid w:val="71EF192C"/>
    <w:rsid w:val="72226E67"/>
    <w:rsid w:val="723D0FE7"/>
    <w:rsid w:val="72926649"/>
    <w:rsid w:val="72C00BD6"/>
    <w:rsid w:val="72C07522"/>
    <w:rsid w:val="737347AD"/>
    <w:rsid w:val="73B46F4E"/>
    <w:rsid w:val="73C92407"/>
    <w:rsid w:val="73D370C8"/>
    <w:rsid w:val="74510D7A"/>
    <w:rsid w:val="7479207F"/>
    <w:rsid w:val="748A7EA3"/>
    <w:rsid w:val="74F13F7F"/>
    <w:rsid w:val="754937FF"/>
    <w:rsid w:val="755B7C06"/>
    <w:rsid w:val="758533AB"/>
    <w:rsid w:val="75A82C1C"/>
    <w:rsid w:val="75C760F4"/>
    <w:rsid w:val="76636A51"/>
    <w:rsid w:val="76A51D5C"/>
    <w:rsid w:val="76C92E49"/>
    <w:rsid w:val="76EE5DC1"/>
    <w:rsid w:val="771F16B2"/>
    <w:rsid w:val="7726029C"/>
    <w:rsid w:val="77366005"/>
    <w:rsid w:val="773E13B6"/>
    <w:rsid w:val="779F3BAA"/>
    <w:rsid w:val="77C935C3"/>
    <w:rsid w:val="77E12415"/>
    <w:rsid w:val="77F35CA4"/>
    <w:rsid w:val="78006D3F"/>
    <w:rsid w:val="78223F07"/>
    <w:rsid w:val="784B788E"/>
    <w:rsid w:val="785D684A"/>
    <w:rsid w:val="78CE219D"/>
    <w:rsid w:val="78DF4BA6"/>
    <w:rsid w:val="79037CBC"/>
    <w:rsid w:val="79116D2A"/>
    <w:rsid w:val="791441C7"/>
    <w:rsid w:val="795B557D"/>
    <w:rsid w:val="79681B1A"/>
    <w:rsid w:val="79B4687C"/>
    <w:rsid w:val="79D833A4"/>
    <w:rsid w:val="7A596CDF"/>
    <w:rsid w:val="7B226FCC"/>
    <w:rsid w:val="7BA563C1"/>
    <w:rsid w:val="7BED0F1C"/>
    <w:rsid w:val="7C16029D"/>
    <w:rsid w:val="7C421F6C"/>
    <w:rsid w:val="7C7840F4"/>
    <w:rsid w:val="7C943EFA"/>
    <w:rsid w:val="7CB41EA6"/>
    <w:rsid w:val="7CBB44DD"/>
    <w:rsid w:val="7D5A0C9F"/>
    <w:rsid w:val="7D5D078F"/>
    <w:rsid w:val="7D6436AF"/>
    <w:rsid w:val="7D851A94"/>
    <w:rsid w:val="7D895DFA"/>
    <w:rsid w:val="7DBB1900"/>
    <w:rsid w:val="7DBD5782"/>
    <w:rsid w:val="7E645B88"/>
    <w:rsid w:val="7E857F9E"/>
    <w:rsid w:val="7E861620"/>
    <w:rsid w:val="7EE12CFA"/>
    <w:rsid w:val="7F4172A6"/>
    <w:rsid w:val="7F437511"/>
    <w:rsid w:val="7F4C286A"/>
    <w:rsid w:val="7FA103A4"/>
    <w:rsid w:val="7FC05B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autoRedefine/>
    <w:semiHidden/>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autoRedefine/>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1">
    <w:name w:val="Default Paragraph Font"/>
    <w:autoRedefine/>
    <w:semiHidden/>
    <w:qFormat/>
    <w:uiPriority w:val="0"/>
  </w:style>
  <w:style w:type="table" w:default="1" w:styleId="10">
    <w:name w:val="Normal Table"/>
    <w:autoRedefine/>
    <w:semiHidden/>
    <w:qFormat/>
    <w:uiPriority w:val="0"/>
    <w:tblPr>
      <w:tblCellMar>
        <w:top w:w="0" w:type="dxa"/>
        <w:left w:w="108" w:type="dxa"/>
        <w:bottom w:w="0" w:type="dxa"/>
        <w:right w:w="108" w:type="dxa"/>
      </w:tblCellMar>
    </w:tblPr>
  </w:style>
  <w:style w:type="paragraph" w:styleId="5">
    <w:name w:val="footer"/>
    <w:basedOn w:val="1"/>
    <w:autoRedefine/>
    <w:qFormat/>
    <w:uiPriority w:val="0"/>
    <w:pPr>
      <w:tabs>
        <w:tab w:val="center" w:pos="4153"/>
        <w:tab w:val="right" w:pos="8306"/>
      </w:tabs>
      <w:snapToGrid w:val="0"/>
      <w:jc w:val="left"/>
    </w:pPr>
    <w:rPr>
      <w:sz w:val="18"/>
    </w:rPr>
  </w:style>
  <w:style w:type="paragraph" w:styleId="6">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autoRedefine/>
    <w:qFormat/>
    <w:uiPriority w:val="0"/>
  </w:style>
  <w:style w:type="paragraph" w:styleId="8">
    <w:name w:val="toc 2"/>
    <w:basedOn w:val="1"/>
    <w:next w:val="1"/>
    <w:qFormat/>
    <w:uiPriority w:val="0"/>
    <w:pPr>
      <w:ind w:left="420" w:leftChars="200"/>
    </w:pPr>
  </w:style>
  <w:style w:type="paragraph" w:styleId="9">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autoRedefine/>
    <w:qFormat/>
    <w:uiPriority w:val="0"/>
    <w:rPr>
      <w:b/>
    </w:rPr>
  </w:style>
  <w:style w:type="character" w:styleId="13">
    <w:name w:val="Emphasis"/>
    <w:basedOn w:val="11"/>
    <w:autoRedefine/>
    <w:qFormat/>
    <w:uiPriority w:val="0"/>
    <w:rPr>
      <w:i/>
    </w:rPr>
  </w:style>
  <w:style w:type="paragraph" w:customStyle="1" w:styleId="14">
    <w:name w:val="WPSOffice手动目录 1"/>
    <w:autoRedefine/>
    <w:qFormat/>
    <w:uiPriority w:val="0"/>
    <w:pPr>
      <w:ind w:leftChars="0"/>
    </w:pPr>
    <w:rPr>
      <w:rFonts w:ascii="Times New Roman" w:hAnsi="Times New Roman" w:eastAsia="宋体" w:cs="Times New Roman"/>
      <w:sz w:val="20"/>
      <w:szCs w:val="20"/>
    </w:rPr>
  </w:style>
  <w:style w:type="character" w:customStyle="1" w:styleId="15">
    <w:name w:val="font01"/>
    <w:basedOn w:val="11"/>
    <w:autoRedefine/>
    <w:qFormat/>
    <w:uiPriority w:val="0"/>
    <w:rPr>
      <w:rFonts w:hint="default" w:ascii="Arial" w:hAnsi="Arial" w:cs="Arial"/>
      <w:color w:val="000000"/>
      <w:sz w:val="20"/>
      <w:szCs w:val="20"/>
      <w:u w:val="none"/>
    </w:rPr>
  </w:style>
  <w:style w:type="character" w:customStyle="1" w:styleId="16">
    <w:name w:val="font11"/>
    <w:basedOn w:val="11"/>
    <w:autoRedefine/>
    <w:qFormat/>
    <w:uiPriority w:val="0"/>
    <w:rPr>
      <w:rFonts w:hint="eastAsia" w:ascii="宋体" w:hAnsi="宋体" w:eastAsia="宋体" w:cs="宋体"/>
      <w:color w:val="000000"/>
      <w:sz w:val="20"/>
      <w:szCs w:val="20"/>
      <w:u w:val="none"/>
    </w:rPr>
  </w:style>
  <w:style w:type="character" w:customStyle="1" w:styleId="17">
    <w:name w:val="font31"/>
    <w:basedOn w:val="11"/>
    <w:autoRedefine/>
    <w:qFormat/>
    <w:uiPriority w:val="0"/>
    <w:rPr>
      <w:rFonts w:hint="eastAsia" w:ascii="宋体" w:hAnsi="宋体" w:eastAsia="宋体" w:cs="宋体"/>
      <w:color w:val="000000"/>
      <w:sz w:val="20"/>
      <w:szCs w:val="20"/>
      <w:u w:val="none"/>
    </w:rPr>
  </w:style>
  <w:style w:type="character" w:customStyle="1" w:styleId="18">
    <w:name w:val="font41"/>
    <w:basedOn w:val="11"/>
    <w:autoRedefine/>
    <w:qFormat/>
    <w:uiPriority w:val="0"/>
    <w:rPr>
      <w:rFonts w:hint="eastAsia" w:ascii="宋体" w:hAnsi="宋体" w:eastAsia="宋体" w:cs="宋体"/>
      <w:b/>
      <w:bCs/>
      <w:color w:val="000000"/>
      <w:sz w:val="18"/>
      <w:szCs w:val="18"/>
      <w:u w:val="none"/>
    </w:rPr>
  </w:style>
</w:styles>
</file>

<file path=word/_rels/document.xml.rels><?xml version='1.0' encoding='UTF-8' standalone='yes'?>
<Relationships xmlns="http://schemas.openxmlformats.org/package/2006/relationships"><Relationship Id="rId9" Type="http://www.wps.cn/officeDocument/2018/webExtension" Target="webExtensions/webExtension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chart" Target="charts/chart2.xml"/><Relationship Id="rId11" Type="http://schemas.openxmlformats.org/officeDocument/2006/relationships/chart" Target="charts/chart1.xml"/><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2" Type="http://schemas.openxmlformats.org/officeDocument/2006/relationships/themeOverride" Target="../theme/themeOverride2.xml"/><Relationship Id="rId1" Type="http://schemas.openxmlformats.org/officeDocument/2006/relationships/package" Target="../embeddings/Workbook2.xlsx"/></Relationships>
</file>

<file path=word/charts/_rels/chart2.xml.rels><?xml version='1.0' encoding='UTF-8' standalone='yes'?>
<Relationships xmlns="http://schemas.openxmlformats.org/package/2006/relationships"><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患者血压控制效果</a:t>
            </a:r>
          </a:p>
        </c:rich>
      </c:tx>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840713332524566"/>
          <c:y val="0.207381002306563"/>
          <c:w val="0.540094625743055"/>
          <c:h val="0.69930803103376"/>
        </c:manualLayout>
      </c:layout>
      <c:pie3DChart>
        <c:varyColors val="1"/>
        <c:ser>
          <c:idx val="0"/>
          <c:order val="0"/>
          <c:tx>
            <c:strRef>
              <c:f>Sheet1!$B$1</c:f>
              <c:strCache>
                <c:ptCount val="1"/>
                <c:pt idx="0">
                  <c:v>占比</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explosion val="0"/>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xmlns:c15="http://schemas.microsoft.com/office/drawing/2012/chart" uri="{CE6537A1-D6FC-4f65-9D91-7224C49458BB}">
                  <c15: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xmlns:c15="http://schemas.microsoft.com/office/drawing/2012/chart" uri="{CE6537A1-D6FC-4f65-9D91-7224C49458BB}">
                <c15:spPr xmlns:c15="http://schemas.microsoft.com/office/drawing/2012/chart">
                  <a:prstGeom prst="wedgeEllipseCallout">
                    <a:avLst/>
                  </a:prstGeom>
                  <a:noFill/>
                  <a:ln>
                    <a:noFill/>
                  </a:ln>
                </c15:spPr>
                <c15:layout/>
                <c15:showLeaderLines val="1"/>
                <c15:leaderLines>
                  <c:spPr>
                    <a:ln w="9525" cap="flat" cmpd="sng" algn="ctr">
                      <a:solidFill>
                        <a:schemeClr val="tx1">
                          <a:lumMod val="35000"/>
                          <a:lumOff val="65000"/>
                        </a:schemeClr>
                      </a:solidFill>
                      <a:prstDash val="solid"/>
                      <a:round/>
                    </a:ln>
                    <a:effectLst/>
                  </c:spPr>
                </c15:leaderLines>
              </c:ext>
            </c:extLst>
          </c:dLbls>
          <c:cat>
            <c:strRef>
              <c:f>Sheet1!$A$2:$A$5</c:f>
              <c:strCache>
                <c:ptCount val="4"/>
                <c:pt idx="0">
                  <c:v>A.血压稳定在正常范围</c:v>
                </c:pt>
                <c:pt idx="1">
                  <c:v>B.血压多数时间在正常范围</c:v>
                </c:pt>
                <c:pt idx="2">
                  <c:v>C.血压偶尔超出正常范围</c:v>
                </c:pt>
                <c:pt idx="3">
                  <c:v>D.血压持续超出正常范围</c:v>
                </c:pt>
              </c:strCache>
            </c:strRef>
          </c:cat>
          <c:val>
            <c:numRef>
              <c:f>Sheet1!$B$2:$B$5</c:f>
              <c:numCache>
                <c:formatCode>0.00%</c:formatCode>
                <c:ptCount val="4"/>
                <c:pt idx="0">
                  <c:v>0.4495</c:v>
                </c:pt>
                <c:pt idx="1">
                  <c:v>0.4896</c:v>
                </c:pt>
                <c:pt idx="2">
                  <c:v>0.0609</c:v>
                </c:pt>
                <c:pt idx="3">
                  <c:v>0</c:v>
                </c:pt>
              </c:numCache>
            </c:numRef>
          </c:val>
        </c:ser>
        <c:dLbls>
          <c:showLegendKey val="0"/>
          <c:showVal val="0"/>
          <c:showCatName val="0"/>
          <c:showSerName val="0"/>
          <c:showPercent val="1"/>
          <c:showBubbleSize val="0"/>
        </c:dLbls>
      </c:pie3DChart>
      <c:spPr>
        <a:noFill/>
        <a:ln>
          <a:noFill/>
        </a:ln>
        <a:effectLst/>
      </c:spPr>
    </c:plotArea>
    <c:legend>
      <c:legendPos val="r"/>
      <c:layout>
        <c:manualLayout>
          <c:xMode val="edge"/>
          <c:yMode val="edge"/>
          <c:x val="0.686885842533058"/>
          <c:y val="0.314928425357873"/>
          <c:w val="0.29855635084314"/>
          <c:h val="0.403771870029539"/>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chartProps xmlns="https://web.wps.cn/et/2018/main"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charts/chart2.xml><?xml version="1.0" encoding="utf-8"?>
<c:chartSpace xmlns:a="http://schemas.openxmlformats.org/drawingml/2006/main" xmlns:c="http://schemas.openxmlformats.org/drawingml/2006/chart" xmlns:c14="http://schemas.microsoft.com/office/drawing/2007/8/2/chart" xmlns:mc="http://schemas.openxmlformats.org/markup-compatibility/2006" xmlns:ns4="http://schemas.microsoft.com/office/drawing/2012/chart" xmlns:ns5="https://web.wps.cn/et/2018/main" xmlns:r="http://schemas.openxmlformats.org/officeDocument/2006/relationships">
  <c:date1904 val="0"/>
  <c:lang val="zh-CN"/>
  <c:roundedCorners val="0"/>
  <mc:AlternateContent>
    <mc:Choice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药品价格接受度情况</a:t>
            </a:r>
            <a:endParaRPr lang="en-US" altLang="zh-CN"/>
          </a:p>
        </c:rich>
      </c:tx>
      <c:layout>
        <c:manualLayout>
          <c:xMode val="edge"/>
          <c:yMode val="edge"/>
          <c:x val="0.413354338342221"/>
          <c:y val="0.0272806364231808"/>
        </c:manualLayout>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683470673776054"/>
          <c:y val="0.210447441661314"/>
          <c:w val="0.555138148327678"/>
          <c:h val="0.694926140012845"/>
        </c:manualLayout>
      </c:layout>
      <c:barChart>
        <c:barDir val="bar"/>
        <c:grouping val="clustered"/>
        <c:ser>
          <c:idx val="0"/>
          <c:order val="0"/>
          <c:tx>
            <c:strRef>
              <c:f>Sheet1!$B$1</c:f>
              <c:strCache>
                <c:ptCount val="1"/>
                <c:pt idx="0">
                  <c:v>销售额</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uri="{CE6537A1-D6FC-4f65-9D91-7224C49458BB}">
                  <ns4: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uri="{CE6537A1-D6FC-4f65-9D91-7224C49458BB}">
                <ns4:spPr>
                  <a:prstGeom prst="wedgeEllipseCallout">
                    <a:avLst/>
                  </a:prstGeom>
                  <a:noFill/>
                  <a:ln>
                    <a:noFill/>
                  </a:ln>
                </ns4:spPr>
                <ns4:layout/>
                <ns4:showLeaderLines val="1"/>
                <ns4:leaderLines>
                  <c:spPr>
                    <a:ln w="9525" cap="flat" cmpd="sng" algn="ctr">
                      <a:solidFill>
                        <a:schemeClr val="tx1">
                          <a:lumMod val="35000"/>
                          <a:lumOff val="65000"/>
                        </a:schemeClr>
                      </a:solidFill>
                      <a:prstDash val="solid"/>
                      <a:round/>
                    </a:ln>
                    <a:effectLst/>
                  </c:spPr>
                </ns4:leaderLines>
              </c:ext>
            </c:extLst>
          </c:dLbls>
          <c:cat>
            <c:strRef>
              <c:f>Sheet1!$A$2:$A$5</c:f>
              <c:strCache>
                <c:ptCount val="4"/>
                <c:pt idx="0">
                  <c:v>难以承受</c:v>
                </c:pt>
                <c:pt idx="1">
                  <c:v>勉强承受</c:v>
                </c:pt>
                <c:pt idx="2">
                  <c:v>在可接受范围</c:v>
                </c:pt>
                <c:pt idx="3">
                  <c:v>无压力</c:v>
                </c:pt>
              </c:strCache>
            </c:strRef>
          </c:cat>
          <c:val>
            <c:numRef>
              <c:f>Sheet1!$B$2:$B$5</c:f>
              <c:numCache>
                <c:formatCode>General</c:formatCode>
                <c:ptCount val="4"/>
                <c:pt idx="0">
                  <c:v>0</c:v>
                </c:pt>
                <c:pt idx="1">
                  <c:v>0</c:v>
                </c:pt>
                <c:pt idx="2">
                  <c:v>0</c:v>
                </c:pt>
                <c:pt idx="3">
                  <c:v>0</c:v>
                </c:pt>
              </c:numCache>
            </c:numRef>
          </c:val>
        </c:ser>
        <c:dLbls>
          <c:showLegendKey val="0"/>
          <c:showVal val="1"/>
          <c:showCatName val="0"/>
          <c:showSerName val="0"/>
          <c:showPercent val="0"/>
          <c:showBubbleSize val="0"/>
        </c:dLbls>
        <c:gapWidth val="120"/>
        <c:axId val="10"/>
        <c:axId val="100"/>
      </c:barChart>
      <c:catAx>
        <c:axId val="10"/>
        <c:scaling>
          <c:orientation val="minMax"/>
        </c:scaling>
        <c:delete val="0"/>
        <c:axPos val="l"/>
        <c:majorTickMark val="none"/>
        <c:minorTickMark val="none"/>
        <c:tickLblPos val="nextTo"/>
        <c:crossAx val="100"/>
        <c:crosses val="autoZero"/>
        <c:lblOffset val="100"/>
      </c:catAx>
      <c:valAx>
        <c:axId val="100"/>
        <c:scaling>
          <c:orientation val="minMax"/>
        </c:scaling>
        <c:delete val="0"/>
        <c:axPos val="b"/>
        <c:majorGridlines/>
        <c:numFmt formatCode="General" sourceLinked="1"/>
        <c:majorTickMark val="none"/>
        <c:minorTickMark val="none"/>
        <c:tickLblPos val="nextTo"/>
        <c:crossAx val="10"/>
        <c:crosses val="autoZero"/>
        <c:crossBetween val="between"/>
      </c:valAx>
      <c:spPr>
        <a:noFill/>
        <a:ln>
          <a:noFill/>
        </a:ln>
        <a:effectLst/>
      </c:spPr>
    </c:plotArea>
    <c:legend>
      <c:legendPos val="r"/>
      <c:layout>
        <c:manualLayout>
          <c:xMode val="edge"/>
          <c:yMode val="edge"/>
          <c:x val="0.667474551623849"/>
          <c:y val="0.370156283451081"/>
          <c:w val="0.317983519146874"/>
          <c:h val="0.37871976022265"/>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ns5:chartProps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webExtensions/_rels/webExtension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package" Target="../embeddings/Workbook3.xlsx"/></Relationships>
</file>

<file path=word/webExtensions/webExtension1.xml><?xml version="1.0" encoding="utf-8"?>
<wpswe:webExtension xmlns:wpswe="http://www.wps.cn/officeDocument/2018/webExtension" xmlns:webet="https://web.wps.cn/et/2018/main" webet:type="Normal" type="0" webet:id="">
  <wpswe:extSource id="dschart" version="1.0"/>
  <wpswe:properties>
    <wpswe:property key="DiscardFirstCodeChange" value="0"/>
    <wpswe:property key="autoSnapshot" value="0"/>
    <wpswe:property key="dschart" value="{&quot;dschart_data&quot;:{&quot;blockId&quot;:&quot;161243067158731941&quot;,&quot;chart_type&quot;:&quot;饼图&quot;,&quot;classifty_type&quot;:[&quot;占比类&quot;],&quot;dataSrc&quot;:{&quot;data&quot;:[[[&quot;属性&quot;,&quot;值&quot;],[&quot;药品疗效&quot;,&quot;7%&quot;],[&quot;药品安全性&quot;,&quot;14%&quot;],[&quot;用药行为与习惯&quot;,&quot;37%&quot;],[&quot;用药便利性&quot;,&quot;14%&quot;],[&quot;药品经济性&quot;,&quot;7%&quot;],[&quot;药品可及性&quot;,&quot;7%&quot;],[&quot;用药指导信息评价&quot;,&quot;14%&quot;]]],&quot;dataType&quot;:&quot;obejct-table&quot;,&quot;download&quot;:false,&quot;srcType&quot;:&quot;local&quot;,&quot;url&quot;:&quot;&quot;},&quot;function_type&quot;:[&quot;饼图&quot;],&quot;gif&quot;:&quot;//web.docer.wpscdn.cn/docer/ds-page/images/444746070325460997.gif?imageView2/2/w/500/quality/90&quot;,&quot;index&quot;:1,&quot;isFree&quot;:&quot;0&quot;,&quot;label&quot;:&quot;&lt;e-piebasic-chart&gt;&quot;,&quot;projectId&quot;:&quot;444746070325460997&quot;,&quot;props&quot;:{&quot;animation&quot;:{&quot;duration&quot;:&quot;1.5&quot;,&quot;easeStyle&quot;:&quot;&quot;,&quot;endPause&quot;:&quot;1&quot;,&quot;moveOptions&quot;:[&quot;轮子&quot;,&quot;百叶窗&quot;,&quot;折扇&quot;,&quot;径向展开&quot;],&quot;moveStyle&quot;:&quot;轮子&quot;,&quot;startDelay&quot;:&quot;0&quot;,&quot;transition&quot;:true},&quot;axis&quot;:&quot;&quot;,&quot;backgroundColor&quot;:&quot;&quot;,&quot;colors&quot;:{&quot;colorControlers&quot;:[&quot;multiple&quot;,&quot;linear&quot;],&quot;list&quot;:[&quot;#5956F4ff&quot;,&quot;#53e09eff&quot;,&quot;#ffdc4cff&quot;,&quot;#ff9c46ff&quot;,0,1,2],&quot;type&quot;:&quot;multiple&quot;},&quot;display&quot;:{&quot;borderColor&quot;:&quot;#FFFFFF&quot;,&quot;borderWidth&quot;:&quot;1&quot;,&quot;cornerRadius&quot;:&quot;0&quot;,&quot;fillOpacity&quot;:&quot;1&quot;,&quot;gapPercentage&quot;:&quot;0&quot;,&quot;innerRadiusRatio&quot;:&quot;0&quot;},&quot;label&quot;:{&quot;contentChoice&quot;:[&quot;百分比&quot;],&quot;contentOption&quot;:[&quot;名称&quot;,&quot;百分比&quot;,&quot;数值&quot;],&quot;display&quot;:true,&quot;positionChoice&quot;:&quot;外部&quot;,&quot;positionOptions&quot;:[&quot;内部周向&quot;,&quot;内部水平&quot;,&quot;外部&quot;],&quot;suffix&quot;:&quot;&quot;,&quot;textLabel&quot;:{&quot;color&quot;:&quot;#545454&quot;,&quot;fontFamily&quot;:&quot;微软雅黑&quot;,&quot;fontSize&quot;:&quot;14&quot;}},&quot;legend&quot;:{&quot;color&quot;:[&quot;#545454&quot;],&quot;fontFamily&quot;:[&quot;阿里巴巴普惠体常规&quot;],&quot;fontSize&quot;:&quot;12&quot;,&quot;lineHeight&quot;:&quot;15&quot;,&quot;show&quot;:true,&quot;style&quot;:&quot;&quot;,&quot;styleOptions&quot;:[],&quot;xPosition&quot;:&quot;center&quot;,&quot;yPosition&quot;:&quot;bottom&quot;},&quot;logoDisplay&quot;:{&quot;bottomLineHeight&quot;:&quot;15&quot;,&quot;imgHeight&quot;:&quot;32&quot;,&quot;imgUrl&quot;:&quot;https://ss1.dydata.io/newchartLogo.png&quot;,&quot;show&quot;:true,&quot;topLineHeight&quot;:&quot;11&quot;},&quot;map&quot;:[[{&quot;allowType&quot;:[&quot;string&quot;],&quot;configurable&quot;:false,&quot;function&quot;:&quot;objCol&quot;,&quot;index&quot;:0,&quot;isLegend&quot;:true,&quot;name&quot;:&quot;名称&quot;},{&quot;allowType&quot;:[&quot;number&quot;],&quot;configurable&quot;:false,&quot;function&quot;:&quot;vCol&quot;,&quot;index&quot;:1,&quot;isLegend&quot;:false,&quot;name&quot;:&quot;值&quot;}]],&quot;numberFormat&quot;:{&quot;decimalPlaces&quot;:&quot;&quot;,&quot;style&quot;:&quot;1000.00&quot;},&quot;paddings&quot;:{&quot;bottom&quot;:&quot;33&quot;,&quot;chartBottom&quot;:&quot;5&quot;,&quot;left&quot;:&quot;24&quot;,&quot;right&quot;:&quot;24&quot;,&quot;top&quot;:&quot;24&quot;},&quot;publishDisplay&quot;:{&quot;color&quot;:&quot;#878787&quot;,&quot;fontFamily&quot;:&quot;黑体&quot;,&quot;fontSize&quot;:&quot;14&quot;,&quot;show&quot;:true,&quot;text&quot;:&quot;镝数出品&quot;},&quot;shadow&quot;:{&quot;display&quot;:false,&quot;shadowAngle&quot;:&quot;45&quot;,&quot;shadowBlur&quot;:&quot;5&quot;,&quot;shadowColor&quot;:&quot;#a8a8a7cc&quot;,&quot;shadowOpacity&quot;:&quot;100&quot;,&quot;shadowRadius&quot;:&quot;3&quot;},&quot;size&quot;:{&quot;height&quot;:451,&quot;ratio&quot;:&quot;&quot;,&quot;rotate&quot;:0,&quot;width&quot;:551},&quot;sourceDisplay&quot;:{&quot;color&quot;:&quot;#878787&quot;,&quot;fontFamily&quot;:&quot;黑体&quot;,&quot;fontSize&quot;:&quot;14&quot;,&quot;show&quot;:false,&quot;text&quot;:&quot;数据来源：示例数据&quot;,&quot;topLineHeight&quot;:&quot;15&quot;,&quot;xPosition&quot;:&quot;left&quot;,&quot;yPosition&quot;:&quot;bottom&quot;},&quot;titleDisplay&quot;:{&quot;color&quot;:&quot;#4c4c4c&quot;,&quot;fontFamily&quot;:&quot;阿里巴巴普惠体 常规&quot;,&quot;fontSize&quot;:&quot;32&quot;,&quot;lineHeight&quot;:&quot;10&quot;,&quot;show&quot;:false,&quot;text&quot;:&quot;本月收入与支出情况&quot;,&quot;totalHeight&quot;:&quot;39&quot;,&quot;xPosition&quot;:&quot;left&quot;,&quot;yPosition&quot;:&quot;top&quot;},&quot;tooltip&quot;:true,&quot;unitDisplay&quot;:{&quot;bottomLineHeight&quot;:&quot;15&quot;,&quot;color&quot;:&quot;#878787&quot;,&quot;fontFamily&quot;:&quot;阿里巴巴普惠体常规&quot;,&quot;fontSize&quot;:&quot;14&quot;,&quot;show&quot;:false,&quot;text&quot;:&quot;单位：元&quot;,&quot;xPosition&quot;:&quot;left&quot;,&quot;yPosition&quot;:&quot;top&quot;},&quot;watermarkDisplay&quot;:{&quot;imgHeight&quot;:&quot;80&quot;,&quot;imgUrl&quot;:&quot;https://ss1.dydata.io/newchartWatermark.png&quot;,&quot;imgWidth&quot;:&quot;80&quot;,&quot;show&quot;:false}},&quot;templateId&quot;:&quot;444746070325460997-8&quot;,&quot;templateSwitch&quot;:&quot;key-value&quot;,&quot;theme&quot;:{&quot;axis&quot;:{&quot;color&quot;:&quot;#a1a1a1&quot;},&quot;backgroundColor&quot;:&quot;#FFFFFF&quot;,&quot;colors&quot;:[&quot;#5AAEF3&quot;,&quot;#62D9AD&quot;,&quot;#5B6E96&quot;,&quot;#a8dffa&quot;,&quot;#ffdc4c&quot;,&quot;#FF974C&quot;,&quot;#E65A56&quot;,&quot;#6D61E4&quot;,&quot;#4A6FE2&quot;,&quot;#6D9AE7&quot;,&quot;#23C2DB&quot;,&quot;#D4EC59&quot;,&quot;#FFE88E&quot;,&quot;#FEB64D&quot;,&quot;#FB6E6C&quot;],&quot;fonts&quot;:{&quot;accessoryColor&quot;:&quot;#878787&quot;,&quot;color&quot;:&quot;#545454&quot;,&quot;fontFamily&quot;:&quot;黑体&quot;,&quot;fontSize&quot;:&quot;14&quot;},&quot;grid&quot;:{&quot;color&quot;:&quot;#ccc&quot;},&quot;name&quot;:&quot;默认主题&quot;,&quot;price&quot;:&quot;0.0&quot;,&quot;shapeColor&quot;:1,&quot;themeId&quot;:&quot;18&quot;,&quot;titleFont&quot;:{&quot;color&quot;:&quot;#4c4c4c&quot;,&quot;fontFamily&quot;:&quot;黑体&quot;,&quot;fontSize&quot;:&quot;36&quot;}},&quot;thumb&quot;:&quot;./images/444746070325460997-8.jpg&quot;,&quot;title&quot;:&quot;基础饼图&quot;,&quot;type&quot;:&quot;chart&quot;},&quot;dschart_id&quot;:&quot;444746070325460997-8&quot;,&quot;flag&quot;:&quot;1003&quot;,&quot;id&quot;:&quot;144&quot;}"/>
    <wpswe:property key="isUseCommonErrorPage" value="false"/>
    <wpswe:property key="loadingImage" value="res:/icons/DsWebShapeDefaultPage.svg"/>
  </wpswe:properties>
  <wpswe:watchingCache>
    <wpswe:linkPath>C:/Users/一一/AppData/Local/Temp/wps.DwikEb/Workbook3.xlsx</wpswe:linkPath>
  </wpswe:watchingCache>
  <wpswe:snapshot xmlns:r="http://schemas.openxmlformats.org/officeDocument/2006/relationships" r:embed="rId2"/>
  <wpswe:externalData xmlns:r="http://schemas.openxmlformats.org/officeDocument/2006/relationships" r:id="rId1"/>
  <wpswe:url>https://clientweb.docer.wps.cn/docer-ds/web-shape-1.0.0/?id=144&amp;dschart_id=5544734748594536330-7&amp;from=&amp;productEntry=insert&amp;sceneEntry=rec-144&amp;flag=1003</wpswe:url>
  <wpswe:constantSnapshot>false</wpswe:constantSnapshot>
</wps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商务风项目计划封面"/>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4798</Words>
  <Characters>5435</Characters>
  <Lines>0</Lines>
  <Paragraphs>0</Paragraphs>
  <TotalTime>73</TotalTime>
  <ScaleCrop>false</ScaleCrop>
  <LinksUpToDate>false</LinksUpToDate>
  <CharactersWithSpaces>5503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2023-10-19T07:54:00Z</dcterms:created>
  <dc:creator>Zaralin</dc:creator>
  <cp:lastModifiedBy>koki</cp:lastModifiedBy>
  <dcterms:modified xsi:type="dcterms:W3CDTF">2025-12-31T04:29:29Z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EFE0C47C61DE41689FC0FAEC4DB2EB29_13</vt:lpwstr>
  </property>
  <property fmtid="{D5CDD505-2E9C-101B-9397-08002B2CF9AE}" pid="4" name="KSOTemplateDocerSaveRecord">
    <vt:lpwstr>eyJoZGlkIjoiNzMyNDZlYmFhMmNkMWYxOTZkNjcxNjlhNjFjMTBjYzYiLCJ1c2VySWQiOiIxMDg3ODE4ODA2In0=</vt:lpwstr>
  </property>
</Properties>
</file>