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Override PartName="/word/webExtensions/webExtension1.xml" ContentType="application/vnd.wps-officedocument.webExtension+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962E5B">
      <w:pPr>
        <w:rPr>
          <w:rFonts w:hint="eastAsia" w:eastAsia="汉仪粗黑简"/>
          <w:lang w:eastAsia="zh-CN"/>
        </w:rPr>
      </w:pPr>
      <w:r>
        <w:rPr>
          <w:sz w:val="21"/>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5374640</wp:posOffset>
                </wp:positionV>
                <wp:extent cx="4483735" cy="658495"/>
                <wp:effectExtent l="0" t="0" r="0" b="0"/>
                <wp:wrapNone/>
                <wp:docPr id="13" name="文本框 52"/>
                <wp:cNvGraphicFramePr/>
                <a:graphic xmlns:a="http://schemas.openxmlformats.org/drawingml/2006/main">
                  <a:graphicData uri="http://schemas.microsoft.com/office/word/2010/wordprocessingShape">
                    <wps:wsp>
                      <wps:cNvSpPr txBox="1"/>
                      <wps:spPr>
                        <a:xfrm>
                          <a:off x="462915" y="6289040"/>
                          <a:ext cx="4483735" cy="658495"/>
                        </a:xfrm>
                        <a:prstGeom prst="rect">
                          <a:avLst/>
                        </a:prstGeom>
                        <a:noFill/>
                      </wps:spPr>
                      <wps:txbx>
                        <w:txbxContent>
                          <w:p w14:paraId="1BD710F2">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rPr>
                              <w:t>项目名称</w:t>
                            </w:r>
                            <w:r>
                              <w:rPr>
                                <w:rFonts w:hint="eastAsia" w:ascii="汉仪中宋简" w:hAnsi="汉仪中宋简" w:eastAsia="汉仪中宋简" w:cs="汉仪中宋简"/>
                                <w:color w:val="199F9B"/>
                                <w:kern w:val="24"/>
                                <w:sz w:val="32"/>
                                <w:szCs w:val="32"/>
                                <w:lang w:eastAsia="zh-CN"/>
                              </w:rPr>
                              <w:t>：</w:t>
                            </w:r>
                            <w:r>
                              <w:rPr>
                                <w:rFonts w:hint="eastAsia" w:ascii="汉仪中宋简" w:hAnsi="汉仪中宋简" w:eastAsia="汉仪中宋简" w:cs="汉仪中宋简"/>
                                <w:color w:val="199F9B"/>
                                <w:kern w:val="24"/>
                                <w:sz w:val="32"/>
                                <w:szCs w:val="32"/>
                                <w:lang w:val="en-US" w:eastAsia="zh-CN"/>
                              </w:rPr>
                              <w:t>北京玖麟空科技有限公司</w:t>
                            </w:r>
                          </w:p>
                          <w:p w14:paraId="4A09E810">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lang w:val="en-US" w:eastAsia="zh-CN"/>
                              </w:rPr>
                              <w:t>服务品种：厄贝沙坦氢氯噻嗪片</w:t>
                            </w:r>
                          </w:p>
                          <w:p w14:paraId="3436BB5D">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default"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lang w:val="en-US" w:eastAsia="zh-CN"/>
                              </w:rPr>
                              <w:t>调研区域：</w:t>
                            </w:r>
                            <w:r>
                              <w:rPr>
                                <w:rFonts w:hint="eastAsia" w:ascii="汉仪中宋简" w:hAnsi="汉仪中宋简" w:eastAsia="汉仪中宋简" w:cs="汉仪中宋简"/>
                                <w:color w:val="199F9B"/>
                                <w:kern w:val="24"/>
                                <w:sz w:val="32"/>
                                <w:szCs w:val="32"/>
                                <w:highlight w:val="none"/>
                                <w:lang w:val="en-US" w:eastAsia="zh-CN"/>
                              </w:rPr>
                              <w:t>湖南</w:t>
                            </w:r>
                          </w:p>
                          <w:p w14:paraId="4809D206">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lang w:val="en-US" w:eastAsia="zh-CN"/>
                              </w:rPr>
                              <w:t>调研时间：2025年09月01日——2025年09月30日</w:t>
                            </w:r>
                          </w:p>
                          <w:p w14:paraId="0FCA3A64">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粗黑简" w:hAnsi="Times New Roman" w:eastAsia="汉仪粗黑简"/>
                                <w:color w:val="199F9B"/>
                                <w:kern w:val="24"/>
                                <w:sz w:val="32"/>
                                <w:szCs w:val="32"/>
                                <w:lang w:val="en-US" w:eastAsia="zh-CN"/>
                              </w:rPr>
                            </w:pPr>
                          </w:p>
                        </w:txbxContent>
                      </wps:txbx>
                      <wps:bodyPr wrap="square" rtlCol="0">
                        <a:spAutoFit/>
                      </wps:bodyPr>
                    </wps:wsp>
                  </a:graphicData>
                </a:graphic>
              </wp:anchor>
            </w:drawing>
          </mc:Choice>
          <mc:Fallback>
            <w:pict>
              <v:shape id="文本框 52" o:spid="_x0000_s1026" o:spt="202" type="#_x0000_t202" style="position:absolute;left:0pt;margin-left:-53.55pt;margin-top:423.2pt;height:51.85pt;width:353.05pt;z-index:251662336;mso-width-relative:page;mso-height-relative:page;" filled="f" stroked="f" coordsize="21600,21600" o:gfxdata="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BsnVf42gAAAAwBAAAPAAAAAAAAAAEAIAAAACIAAABkcnMvZG93&#10;bnJldi54bWxQSwECFAAUAAAACACHTuJA9DbBgMUBAABqAwAADgAAAAAAAAABACAAAAApAQAAZHJz&#10;L2Uyb0RvYy54bWxQSwUGAAAAAAYABgBZAQAAYAUAAAAA&#10;">
                <v:fill on="f" focussize="0,0"/>
                <v:stroke on="f"/>
                <v:imagedata o:title=""/>
                <o:lock v:ext="edit" aspectratio="f"/>
                <v:textbox style="mso-fit-shape-to-text:t;">
                  <w:txbxContent>
                    <w:p w14:paraId="1BD710F2">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rPr>
                        <w:t>项目名称</w:t>
                      </w:r>
                      <w:r>
                        <w:rPr>
                          <w:rFonts w:hint="eastAsia" w:ascii="汉仪中宋简" w:hAnsi="汉仪中宋简" w:eastAsia="汉仪中宋简" w:cs="汉仪中宋简"/>
                          <w:color w:val="199F9B"/>
                          <w:kern w:val="24"/>
                          <w:sz w:val="32"/>
                          <w:szCs w:val="32"/>
                          <w:lang w:eastAsia="zh-CN"/>
                        </w:rPr>
                        <w:t>：</w:t>
                      </w:r>
                      <w:r>
                        <w:rPr>
                          <w:rFonts w:hint="eastAsia" w:ascii="汉仪中宋简" w:hAnsi="汉仪中宋简" w:eastAsia="汉仪中宋简" w:cs="汉仪中宋简"/>
                          <w:color w:val="199F9B"/>
                          <w:kern w:val="24"/>
                          <w:sz w:val="32"/>
                          <w:szCs w:val="32"/>
                          <w:lang w:val="en-US" w:eastAsia="zh-CN"/>
                        </w:rPr>
                        <w:t>北京玖麟空科技有限公司</w:t>
                      </w:r>
                    </w:p>
                    <w:p w14:paraId="4A09E810">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lang w:val="en-US" w:eastAsia="zh-CN"/>
                        </w:rPr>
                        <w:t>服务品种：厄贝沙坦氢氯噻嗪片</w:t>
                      </w:r>
                    </w:p>
                    <w:p w14:paraId="3436BB5D">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default"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lang w:val="en-US" w:eastAsia="zh-CN"/>
                        </w:rPr>
                        <w:t>调研区域：</w:t>
                      </w:r>
                      <w:r>
                        <w:rPr>
                          <w:rFonts w:hint="eastAsia" w:ascii="汉仪中宋简" w:hAnsi="汉仪中宋简" w:eastAsia="汉仪中宋简" w:cs="汉仪中宋简"/>
                          <w:color w:val="199F9B"/>
                          <w:kern w:val="24"/>
                          <w:sz w:val="32"/>
                          <w:szCs w:val="32"/>
                          <w:highlight w:val="none"/>
                          <w:lang w:val="en-US" w:eastAsia="zh-CN"/>
                        </w:rPr>
                        <w:t>湖南</w:t>
                      </w:r>
                    </w:p>
                    <w:p w14:paraId="4809D206">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lang w:val="en-US" w:eastAsia="zh-CN"/>
                        </w:rPr>
                        <w:t>调研时间：2025年09月01日——2025年09月30日</w:t>
                      </w:r>
                    </w:p>
                    <w:p w14:paraId="0FCA3A64">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粗黑简" w:hAnsi="Times New Roman" w:eastAsia="汉仪粗黑简"/>
                          <w:color w:val="199F9B"/>
                          <w:kern w:val="24"/>
                          <w:sz w:val="32"/>
                          <w:szCs w:val="32"/>
                          <w:lang w:val="en-US" w:eastAsia="zh-CN"/>
                        </w:rPr>
                      </w:pPr>
                    </w:p>
                  </w:txbxContent>
                </v:textbox>
              </v:shape>
            </w:pict>
          </mc:Fallback>
        </mc:AlternateContent>
      </w:r>
      <w:r>
        <w:rPr>
          <w:sz w:val="21"/>
        </w:rPr>
        <mc:AlternateContent>
          <mc:Choice Requires="wps">
            <w:drawing>
              <wp:anchor distT="0" distB="0" distL="114300" distR="114300" simplePos="0" relativeHeight="251659264" behindDoc="0" locked="0" layoutInCell="1" allowOverlap="1">
                <wp:simplePos x="0" y="0"/>
                <wp:positionH relativeFrom="column">
                  <wp:posOffset>-734695</wp:posOffset>
                </wp:positionH>
                <wp:positionV relativeFrom="page">
                  <wp:posOffset>3185795</wp:posOffset>
                </wp:positionV>
                <wp:extent cx="5386705" cy="727075"/>
                <wp:effectExtent l="0" t="0" r="0" b="0"/>
                <wp:wrapNone/>
                <wp:docPr id="1" name="文本框 1"/>
                <wp:cNvGraphicFramePr/>
                <a:graphic xmlns:a="http://schemas.openxmlformats.org/drawingml/2006/main">
                  <a:graphicData uri="http://schemas.microsoft.com/office/word/2010/wordprocessingShape">
                    <wps:wsp>
                      <wps:cNvSpPr txBox="1"/>
                      <wps:spPr>
                        <a:xfrm>
                          <a:off x="0" y="0"/>
                          <a:ext cx="5386705" cy="727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2C9B5F">
                            <w:pPr>
                              <w:rPr>
                                <w:rFonts w:hint="eastAsia" w:ascii="汉仪元隆黑-105简" w:hAnsi="汉仪元隆黑-105简" w:eastAsia="汉仪元隆黑-105简" w:cs="汉仪元隆黑-105简"/>
                                <w:b w:val="0"/>
                                <w:bCs w:val="0"/>
                                <w:color w:val="1E386B"/>
                                <w:sz w:val="56"/>
                                <w:szCs w:val="56"/>
                                <w:lang w:val="en-US" w:eastAsia="zh-CN"/>
                              </w:rPr>
                            </w:pPr>
                            <w:r>
                              <w:rPr>
                                <w:rFonts w:hint="eastAsia" w:ascii="汉仪元隆黑-105简" w:hAnsi="汉仪元隆黑-105简" w:eastAsia="汉仪元隆黑-105简" w:cs="汉仪元隆黑-105简"/>
                                <w:b w:val="0"/>
                                <w:bCs w:val="0"/>
                                <w:color w:val="1E386B"/>
                                <w:sz w:val="56"/>
                                <w:szCs w:val="56"/>
                                <w:lang w:val="en-US" w:eastAsia="zh-CN"/>
                              </w:rPr>
                              <w:t>用药体验与疗效反馈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7.85pt;margin-top:250.85pt;height:57.25pt;width:424.15pt;mso-position-vertical-relative:page;z-index:251659264;mso-width-relative:page;mso-height-relative:page;" filled="f" stroked="f" coordsize="21600,21600" o:gfxdata="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yGTag3QAAAAwBAAAPAAAAAAAAAAEAIAAAACIA&#10;AABkcnMvZG93bnJldi54bWxQSwECFAAUAAAACACHTuJAODINAT0CAABmBAAADgAAAAAAAAABACAA&#10;AAAsAQAAZHJzL2Uyb0RvYy54bWxQSwUGAAAAAAYABgBZAQAA2wUAAAAA&#10;">
                <v:fill on="f" focussize="0,0"/>
                <v:stroke on="f" weight="0.5pt"/>
                <v:imagedata o:title=""/>
                <o:lock v:ext="edit" aspectratio="f"/>
                <v:textbox>
                  <w:txbxContent>
                    <w:p w14:paraId="532C9B5F">
                      <w:pPr>
                        <w:rPr>
                          <w:rFonts w:hint="eastAsia" w:ascii="汉仪元隆黑-105简" w:hAnsi="汉仪元隆黑-105简" w:eastAsia="汉仪元隆黑-105简" w:cs="汉仪元隆黑-105简"/>
                          <w:b w:val="0"/>
                          <w:bCs w:val="0"/>
                          <w:color w:val="1E386B"/>
                          <w:sz w:val="56"/>
                          <w:szCs w:val="56"/>
                          <w:lang w:val="en-US" w:eastAsia="zh-CN"/>
                        </w:rPr>
                      </w:pPr>
                      <w:r>
                        <w:rPr>
                          <w:rFonts w:hint="eastAsia" w:ascii="汉仪元隆黑-105简" w:hAnsi="汉仪元隆黑-105简" w:eastAsia="汉仪元隆黑-105简" w:cs="汉仪元隆黑-105简"/>
                          <w:b w:val="0"/>
                          <w:bCs w:val="0"/>
                          <w:color w:val="1E386B"/>
                          <w:sz w:val="56"/>
                          <w:szCs w:val="56"/>
                          <w:lang w:val="en-US" w:eastAsia="zh-CN"/>
                        </w:rPr>
                        <w:t>用药体验与疗效反馈</w:t>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-720090</wp:posOffset>
                </wp:positionH>
                <wp:positionV relativeFrom="paragraph">
                  <wp:posOffset>2778125</wp:posOffset>
                </wp:positionV>
                <wp:extent cx="5963920" cy="1753870"/>
                <wp:effectExtent l="0" t="0" r="0" b="0"/>
                <wp:wrapNone/>
                <wp:docPr id="9" name="文本框 44"/>
                <wp:cNvGraphicFramePr/>
                <a:graphic xmlns:a="http://schemas.openxmlformats.org/drawingml/2006/main">
                  <a:graphicData uri="http://schemas.microsoft.com/office/word/2010/wordprocessingShape">
                    <wps:wsp>
                      <wps:cNvSpPr txBox="1"/>
                      <wps:spPr>
                        <a:xfrm>
                          <a:off x="422910" y="3194685"/>
                          <a:ext cx="5963920" cy="1753870"/>
                        </a:xfrm>
                        <a:prstGeom prst="rect">
                          <a:avLst/>
                        </a:prstGeom>
                        <a:noFill/>
                      </wps:spPr>
                      <wps:txbx>
                        <w:txbxContent>
                          <w:p w14:paraId="0FB99BE3">
                            <w:pPr>
                              <w:rPr>
                                <w:rFonts w:hint="eastAsia" w:ascii="汉仪元隆黑-105简" w:hAnsi="汉仪元隆黑-105简" w:eastAsia="汉仪元隆黑-105简" w:cs="汉仪元隆黑-105简"/>
                                <w:b w:val="0"/>
                                <w:bCs w:val="0"/>
                                <w:color w:val="1E386B"/>
                                <w:sz w:val="112"/>
                                <w:szCs w:val="112"/>
                                <w:lang w:val="en-US" w:eastAsia="zh-CN"/>
                              </w:rPr>
                            </w:pPr>
                            <w:r>
                              <w:rPr>
                                <w:rFonts w:hint="eastAsia" w:ascii="汉仪元隆黑-105简" w:hAnsi="汉仪元隆黑-105简" w:eastAsia="汉仪元隆黑-105简" w:cs="汉仪元隆黑-105简"/>
                                <w:b w:val="0"/>
                                <w:bCs w:val="0"/>
                                <w:color w:val="1E386B"/>
                                <w:sz w:val="112"/>
                                <w:szCs w:val="112"/>
                                <w:lang w:val="en-US" w:eastAsia="zh-CN"/>
                              </w:rPr>
                              <w:t>问卷调查分析报告</w:t>
                            </w:r>
                          </w:p>
                        </w:txbxContent>
                      </wps:txbx>
                      <wps:bodyPr wrap="square" rtlCol="0">
                        <a:spAutoFit/>
                      </wps:bodyPr>
                    </wps:wsp>
                  </a:graphicData>
                </a:graphic>
              </wp:anchor>
            </w:drawing>
          </mc:Choice>
          <mc:Fallback>
            <w:pict>
              <v:shape id="文本框 44" o:spid="_x0000_s1026" o:spt="202" type="#_x0000_t202" style="position:absolute;left:0pt;margin-left:-56.7pt;margin-top:218.75pt;height:138.1pt;width:469.6pt;z-index:251661312;mso-width-relative:page;mso-height-relative:page;" filled="f" stroked="f" coordsize="21600,21600" o:gfxdata="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RfIaVNoAAAAMAQAADwAAAAAAAAABACAAAAAiAAAAZHJz&#10;L2Rvd25yZXYueG1sUEsBAhQAFAAAAAgAh07iQDlA7fnJAQAAagMAAA4AAAAAAAAAAQAgAAAAKQEA&#10;AGRycy9lMm9Eb2MueG1sUEsFBgAAAAAGAAYAWQEAAGQFAAAAAA==&#10;">
                <v:fill on="f" focussize="0,0"/>
                <v:stroke on="f"/>
                <v:imagedata o:title=""/>
                <o:lock v:ext="edit" aspectratio="f"/>
                <v:textbox style="mso-fit-shape-to-text:t;">
                  <w:txbxContent>
                    <w:p w14:paraId="0FB99BE3">
                      <w:pPr>
                        <w:rPr>
                          <w:rFonts w:hint="eastAsia" w:ascii="汉仪元隆黑-105简" w:hAnsi="汉仪元隆黑-105简" w:eastAsia="汉仪元隆黑-105简" w:cs="汉仪元隆黑-105简"/>
                          <w:b w:val="0"/>
                          <w:bCs w:val="0"/>
                          <w:color w:val="1E386B"/>
                          <w:sz w:val="112"/>
                          <w:szCs w:val="112"/>
                          <w:lang w:val="en-US" w:eastAsia="zh-CN"/>
                        </w:rPr>
                      </w:pPr>
                      <w:r>
                        <w:rPr>
                          <w:rFonts w:hint="eastAsia" w:ascii="汉仪元隆黑-105简" w:hAnsi="汉仪元隆黑-105简" w:eastAsia="汉仪元隆黑-105简" w:cs="汉仪元隆黑-105简"/>
                          <w:b w:val="0"/>
                          <w:bCs w:val="0"/>
                          <w:color w:val="1E386B"/>
                          <w:sz w:val="112"/>
                          <w:szCs w:val="112"/>
                          <w:lang w:val="en-US" w:eastAsia="zh-CN"/>
                        </w:rPr>
                        <w:t>问卷调查分析报告</w:t>
                      </w:r>
                    </w:p>
                  </w:txbxContent>
                </v:textbox>
              </v:shape>
            </w:pict>
          </mc:Fallback>
        </mc:AlternateContent>
      </w:r>
      <w:r>
        <w:rPr>
          <w:rFonts w:hint="eastAsia" w:eastAsia="汉仪粗黑简"/>
          <w:lang w:eastAsia="zh-CN"/>
        </w:rPr>
        <w:drawing>
          <wp:anchor distT="0" distB="0" distL="114300" distR="114300" simplePos="0" relativeHeight="251660288" behindDoc="1" locked="0" layoutInCell="1" allowOverlap="1">
            <wp:simplePos x="0" y="0"/>
            <wp:positionH relativeFrom="column">
              <wp:posOffset>-1176020</wp:posOffset>
            </wp:positionH>
            <wp:positionV relativeFrom="paragraph">
              <wp:posOffset>-963295</wp:posOffset>
            </wp:positionV>
            <wp:extent cx="7603490" cy="10751820"/>
            <wp:effectExtent l="0" t="0" r="1270" b="7620"/>
            <wp:wrapNone/>
            <wp:docPr id="20" name="图片 20" descr="竖版待修改竖版 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竖版待修改竖版 7.16"/>
                    <pic:cNvPicPr>
                      <a:picLocks noChangeAspect="1"/>
                    </pic:cNvPicPr>
                  </pic:nvPicPr>
                  <pic:blipFill>
                    <a:blip r:embed="rId8"/>
                    <a:stretch>
                      <a:fillRect/>
                    </a:stretch>
                  </pic:blipFill>
                  <pic:spPr>
                    <a:xfrm>
                      <a:off x="0" y="0"/>
                      <a:ext cx="7603490" cy="10751820"/>
                    </a:xfrm>
                    <a:prstGeom prst="rect">
                      <a:avLst/>
                    </a:prstGeom>
                  </pic:spPr>
                </pic:pic>
              </a:graphicData>
            </a:graphic>
          </wp:anchor>
        </w:drawing>
      </w:r>
    </w:p>
    <w:p w14:paraId="4F3FF417">
      <w:pPr>
        <w:rPr>
          <w:rFonts w:hint="eastAsia"/>
          <w:sz w:val="21"/>
          <w:lang w:eastAsia="zh-CN"/>
        </w:rPr>
        <w:sectPr>
          <w:headerReference r:id="rId3" w:type="default"/>
          <w:footerReference w:type="default" r:id="rId16"/>
          <w:headerReference w:type="first" r:id="rId17"/>
          <w:footerReference w:type="first" r:id="rId18"/>
          <w:pgSz w:w="11906" w:h="16838"/>
          <w:pgMar w:top="1440" w:right="1800" w:bottom="1440" w:left="1800" w:header="851" w:footer="992" w:gutter="0"/>
          <w:pgBorders>
            <w:top w:val="none" w:sz="0" w:space="0"/>
            <w:left w:val="none" w:sz="0" w:space="0"/>
            <w:bottom w:val="none" w:sz="0" w:space="0"/>
            <w:right w:val="none" w:sz="0" w:space="0"/>
          </w:pgBorders>
          <w:cols w:space="425" w:num="1"/>
          <w:titlePg/>
          <w:docGrid w:type="lines" w:linePitch="312" w:charSpace="0"/>
        </w:sectPr>
      </w:pPr>
    </w:p>
    <w:p w14:paraId="3D0D36C5">
      <w:pPr>
        <w:keepNext w:val="0"/>
        <w:keepLines w:val="0"/>
        <w:pageBreakBefore w:val="0"/>
        <w:widowControl w:val="0"/>
        <w:kinsoku/>
        <w:wordWrap/>
        <w:overflowPunct/>
        <w:topLinePunct w:val="0"/>
        <w:autoSpaceDE/>
        <w:autoSpaceDN/>
        <w:bidi w:val="0"/>
        <w:adjustRightInd/>
        <w:snapToGrid/>
        <w:spacing w:before="157" w:beforeLines="50" w:after="157" w:afterLines="50" w:line="480" w:lineRule="auto"/>
        <w:jc w:val="center"/>
        <w:textAlignment w:val="auto"/>
        <w:rPr>
          <w:rFonts w:hint="eastAsia" w:ascii="汉仪中宋简" w:hAnsi="汉仪中宋简" w:eastAsia="汉仪中宋简" w:cs="汉仪中宋简"/>
          <w:b/>
          <w:lang w:val="en-US" w:eastAsia="zh-CN"/>
        </w:rPr>
      </w:pPr>
      <w:bookmarkStart w:id="0" w:name="_Toc376"/>
      <w:bookmarkStart w:id="1" w:name="_Toc13682"/>
      <w:bookmarkStart w:id="2" w:name="_Toc27864"/>
      <w:bookmarkStart w:id="3" w:name="_Toc7033"/>
      <w:bookmarkStart w:id="4" w:name="_Toc28049"/>
      <w:bookmarkStart w:id="5" w:name="_Toc29451"/>
      <w:bookmarkStart w:id="6" w:name="_Toc27862"/>
      <w:r>
        <w:rPr>
          <w:rFonts w:hint="eastAsia" w:ascii="汉仪中宋简" w:hAnsi="汉仪中宋简" w:eastAsia="汉仪中宋简" w:cs="汉仪中宋简"/>
          <w:b/>
          <w:bCs/>
          <w:sz w:val="44"/>
          <w:szCs w:val="44"/>
          <w:lang w:val="en-US" w:eastAsia="zh-CN"/>
        </w:rPr>
        <w:t>问卷调研服务结算</w:t>
      </w:r>
      <w:bookmarkEnd w:id="0"/>
      <w:bookmarkEnd w:id="1"/>
      <w:bookmarkEnd w:id="2"/>
    </w:p>
    <w:tbl>
      <w:tblPr>
        <w:tblStyle w:val="10"/>
        <w:tblpPr w:leftFromText="180" w:rightFromText="180" w:vertAnchor="text" w:horzAnchor="page" w:tblpX="1730" w:tblpY="163"/>
        <w:tblOverlap w:val="never"/>
        <w:tblW w:w="8927"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95"/>
        <w:gridCol w:w="3370"/>
        <w:gridCol w:w="1710"/>
        <w:gridCol w:w="962"/>
        <w:gridCol w:w="1190"/>
      </w:tblGrid>
      <w:tr w14:paraId="4440D6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6" w:hRule="atLeast"/>
          <w:tblHeader/>
          <w:tblCellSpacing w:w="15" w:type="dxa"/>
        </w:trPr>
        <w:tc>
          <w:tcPr>
            <w:tcW w:w="1650" w:type="dxa"/>
            <w:tcBorders>
              <w:top w:val="single" w:color="4874CB" w:themeColor="accent1" w:sz="6" w:space="0"/>
              <w:left w:val="single" w:color="4874CB" w:themeColor="accent1" w:sz="6" w:space="0"/>
              <w:bottom w:val="single" w:color="4874CB" w:themeColor="accent1" w:sz="6" w:space="0"/>
              <w:right w:val="nil"/>
            </w:tcBorders>
            <w:shd w:val="clear" w:color="auto" w:fill="4874CB" w:themeFill="accent1"/>
            <w:vAlign w:val="center"/>
          </w:tcPr>
          <w:p w14:paraId="2CB7D438">
            <w:pPr>
              <w:keepNext w:val="0"/>
              <w:keepLines w:val="0"/>
              <w:widowControl/>
              <w:suppressLineNumbers w:val="0"/>
              <w:jc w:val="center"/>
              <w:rPr>
                <w:rFonts w:hint="eastAsia" w:ascii="汉仪中宋简" w:hAnsi="汉仪中宋简" w:eastAsia="汉仪中宋简" w:cs="汉仪中宋简"/>
                <w:b/>
                <w:bCs/>
                <w:i w:val="0"/>
                <w:color w:val="FFFFFF"/>
                <w:highlight w:val="none"/>
              </w:rPr>
            </w:pPr>
            <w:r>
              <w:rPr>
                <w:rFonts w:hint="eastAsia" w:ascii="汉仪中宋简" w:hAnsi="汉仪中宋简" w:eastAsia="汉仪中宋简" w:cs="汉仪中宋简"/>
                <w:b/>
                <w:bCs/>
                <w:i w:val="0"/>
                <w:color w:val="FFFFFF"/>
                <w:kern w:val="0"/>
                <w:sz w:val="24"/>
                <w:szCs w:val="24"/>
                <w:highlight w:val="none"/>
                <w:lang w:val="en-US" w:eastAsia="zh-CN" w:bidi="ar"/>
              </w:rPr>
              <w:t>项目</w:t>
            </w:r>
          </w:p>
        </w:tc>
        <w:tc>
          <w:tcPr>
            <w:tcW w:w="3340" w:type="dxa"/>
            <w:tcBorders>
              <w:top w:val="single" w:color="4874CB" w:themeColor="accent1" w:sz="6" w:space="0"/>
              <w:left w:val="nil"/>
              <w:bottom w:val="single" w:color="4874CB" w:themeColor="accent1" w:sz="6" w:space="0"/>
              <w:right w:val="nil"/>
            </w:tcBorders>
            <w:shd w:val="clear" w:color="auto" w:fill="4874CB" w:themeFill="accent1"/>
            <w:vAlign w:val="center"/>
          </w:tcPr>
          <w:p w14:paraId="18060681">
            <w:pPr>
              <w:keepNext w:val="0"/>
              <w:keepLines w:val="0"/>
              <w:widowControl/>
              <w:suppressLineNumbers w:val="0"/>
              <w:jc w:val="center"/>
              <w:rPr>
                <w:rFonts w:hint="eastAsia" w:ascii="汉仪中宋简" w:hAnsi="汉仪中宋简" w:eastAsia="汉仪中宋简" w:cs="汉仪中宋简"/>
                <w:b/>
                <w:bCs/>
                <w:i w:val="0"/>
                <w:color w:val="FFFFFF"/>
                <w:highlight w:val="none"/>
              </w:rPr>
            </w:pPr>
            <w:r>
              <w:rPr>
                <w:rFonts w:hint="eastAsia" w:ascii="汉仪中宋简" w:hAnsi="汉仪中宋简" w:eastAsia="汉仪中宋简" w:cs="汉仪中宋简"/>
                <w:b/>
                <w:bCs/>
                <w:i w:val="0"/>
                <w:color w:val="FFFFFF"/>
                <w:kern w:val="0"/>
                <w:sz w:val="24"/>
                <w:szCs w:val="24"/>
                <w:highlight w:val="none"/>
                <w:lang w:val="en-US" w:eastAsia="zh-CN" w:bidi="ar"/>
              </w:rPr>
              <w:t>服务内容</w:t>
            </w:r>
          </w:p>
        </w:tc>
        <w:tc>
          <w:tcPr>
            <w:tcW w:w="1680" w:type="dxa"/>
            <w:tcBorders>
              <w:top w:val="single" w:color="4874CB" w:themeColor="accent1" w:sz="6" w:space="0"/>
              <w:left w:val="nil"/>
              <w:bottom w:val="single" w:color="4874CB" w:themeColor="accent1" w:sz="6" w:space="0"/>
              <w:right w:val="nil"/>
            </w:tcBorders>
            <w:shd w:val="clear" w:color="auto" w:fill="4874CB" w:themeFill="accent1"/>
            <w:vAlign w:val="center"/>
          </w:tcPr>
          <w:p w14:paraId="25C7FC50">
            <w:pPr>
              <w:keepNext w:val="0"/>
              <w:keepLines w:val="0"/>
              <w:widowControl/>
              <w:suppressLineNumbers w:val="0"/>
              <w:jc w:val="center"/>
              <w:rPr>
                <w:rFonts w:hint="eastAsia" w:ascii="汉仪中宋简" w:hAnsi="汉仪中宋简" w:eastAsia="汉仪中宋简" w:cs="汉仪中宋简"/>
                <w:b/>
                <w:bCs/>
                <w:i w:val="0"/>
                <w:color w:val="FFFFFF"/>
                <w:highlight w:val="none"/>
              </w:rPr>
            </w:pPr>
            <w:r>
              <w:rPr>
                <w:rFonts w:hint="eastAsia" w:ascii="汉仪中宋简" w:hAnsi="汉仪中宋简" w:eastAsia="汉仪中宋简" w:cs="汉仪中宋简"/>
                <w:b/>
                <w:bCs/>
                <w:i w:val="0"/>
                <w:color w:val="FFFFFF"/>
                <w:kern w:val="0"/>
                <w:sz w:val="24"/>
                <w:szCs w:val="24"/>
                <w:highlight w:val="none"/>
                <w:lang w:val="en-US" w:eastAsia="zh-CN" w:bidi="ar"/>
              </w:rPr>
              <w:t>单价</w:t>
            </w:r>
          </w:p>
        </w:tc>
        <w:tc>
          <w:tcPr>
            <w:tcW w:w="932" w:type="dxa"/>
            <w:tcBorders>
              <w:top w:val="single" w:color="4874CB" w:themeColor="accent1" w:sz="6" w:space="0"/>
              <w:left w:val="nil"/>
              <w:bottom w:val="single" w:color="4874CB" w:themeColor="accent1" w:sz="6" w:space="0"/>
              <w:right w:val="nil"/>
            </w:tcBorders>
            <w:shd w:val="clear" w:color="auto" w:fill="4874CB" w:themeFill="accent1"/>
            <w:vAlign w:val="center"/>
          </w:tcPr>
          <w:p w14:paraId="044311B8">
            <w:pPr>
              <w:keepNext w:val="0"/>
              <w:keepLines w:val="0"/>
              <w:widowControl/>
              <w:suppressLineNumbers w:val="0"/>
              <w:jc w:val="center"/>
              <w:rPr>
                <w:rFonts w:hint="eastAsia" w:ascii="汉仪中宋简" w:hAnsi="汉仪中宋简" w:eastAsia="汉仪中宋简" w:cs="汉仪中宋简"/>
                <w:b/>
                <w:bCs/>
                <w:i w:val="0"/>
                <w:color w:val="FFFFFF"/>
                <w:highlight w:val="none"/>
              </w:rPr>
            </w:pPr>
            <w:r>
              <w:rPr>
                <w:rFonts w:hint="eastAsia" w:ascii="汉仪中宋简" w:hAnsi="汉仪中宋简" w:eastAsia="汉仪中宋简" w:cs="汉仪中宋简"/>
                <w:b/>
                <w:bCs/>
                <w:i w:val="0"/>
                <w:color w:val="FFFFFF"/>
                <w:kern w:val="0"/>
                <w:sz w:val="24"/>
                <w:szCs w:val="24"/>
                <w:highlight w:val="none"/>
                <w:lang w:val="en-US" w:eastAsia="zh-CN" w:bidi="ar"/>
              </w:rPr>
              <w:t>数量</w:t>
            </w:r>
          </w:p>
        </w:tc>
        <w:tc>
          <w:tcPr>
            <w:tcW w:w="1145" w:type="dxa"/>
            <w:tcBorders>
              <w:top w:val="single" w:color="4874CB" w:themeColor="accent1" w:sz="6" w:space="0"/>
              <w:left w:val="nil"/>
              <w:bottom w:val="single" w:color="4874CB" w:themeColor="accent1" w:sz="6" w:space="0"/>
              <w:right w:val="single" w:color="4874CB" w:themeColor="accent1" w:sz="6" w:space="0"/>
            </w:tcBorders>
            <w:shd w:val="clear" w:color="auto" w:fill="4874CB" w:themeFill="accent1"/>
            <w:vAlign w:val="center"/>
          </w:tcPr>
          <w:p w14:paraId="3E8F70B6">
            <w:pPr>
              <w:keepNext w:val="0"/>
              <w:keepLines w:val="0"/>
              <w:widowControl/>
              <w:suppressLineNumbers w:val="0"/>
              <w:jc w:val="center"/>
              <w:rPr>
                <w:rFonts w:hint="eastAsia" w:ascii="汉仪中宋简" w:hAnsi="汉仪中宋简" w:eastAsia="汉仪中宋简" w:cs="汉仪中宋简"/>
                <w:b/>
                <w:bCs/>
                <w:i w:val="0"/>
                <w:color w:val="FFFFFF"/>
                <w:highlight w:val="none"/>
              </w:rPr>
            </w:pPr>
            <w:r>
              <w:rPr>
                <w:rFonts w:hint="eastAsia" w:ascii="汉仪中宋简" w:hAnsi="汉仪中宋简" w:eastAsia="汉仪中宋简" w:cs="汉仪中宋简"/>
                <w:b/>
                <w:bCs/>
                <w:i w:val="0"/>
                <w:color w:val="FFFFFF"/>
                <w:kern w:val="0"/>
                <w:sz w:val="24"/>
                <w:szCs w:val="24"/>
                <w:highlight w:val="none"/>
                <w:lang w:val="en-US" w:eastAsia="zh-CN" w:bidi="ar"/>
              </w:rPr>
              <w:t>费用（元）</w:t>
            </w:r>
          </w:p>
        </w:tc>
      </w:tr>
      <w:tr w14:paraId="4618EF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7" w:hRule="atLeast"/>
          <w:tblCellSpacing w:w="15" w:type="dxa"/>
        </w:trPr>
        <w:tc>
          <w:tcPr>
            <w:tcW w:w="1650" w:type="dxa"/>
            <w:tcBorders>
              <w:top w:val="single" w:color="4874CB" w:themeColor="accent1" w:sz="6" w:space="0"/>
              <w:left w:val="single" w:color="4874CB" w:themeColor="accent1" w:sz="6" w:space="0"/>
              <w:bottom w:val="single" w:color="B5C7EA" w:themeColor="accent1" w:themeTint="66" w:sz="6" w:space="0"/>
              <w:right w:val="nil"/>
            </w:tcBorders>
            <w:shd w:val="clear" w:color="auto" w:fill="auto"/>
            <w:vAlign w:val="center"/>
          </w:tcPr>
          <w:p w14:paraId="48D83400">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问卷样本</w:t>
            </w:r>
          </w:p>
        </w:tc>
        <w:tc>
          <w:tcPr>
            <w:tcW w:w="3340" w:type="dxa"/>
            <w:tcBorders>
              <w:top w:val="single" w:color="4874CB" w:themeColor="accent1" w:sz="6" w:space="0"/>
              <w:left w:val="nil"/>
              <w:bottom w:val="single" w:color="B5C7EA" w:themeColor="accent1" w:themeTint="66" w:sz="6" w:space="0"/>
              <w:right w:val="nil"/>
            </w:tcBorders>
            <w:shd w:val="clear" w:color="auto" w:fill="auto"/>
            <w:vAlign w:val="center"/>
          </w:tcPr>
          <w:p w14:paraId="6CD3BC35">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抽取样本、数据清洗</w:t>
            </w:r>
          </w:p>
        </w:tc>
        <w:tc>
          <w:tcPr>
            <w:tcW w:w="1680" w:type="dxa"/>
            <w:tcBorders>
              <w:top w:val="single" w:color="4874CB" w:themeColor="accent1" w:sz="6" w:space="0"/>
              <w:left w:val="nil"/>
              <w:bottom w:val="single" w:color="B5C7EA" w:themeColor="accent1" w:themeTint="66" w:sz="6" w:space="0"/>
              <w:right w:val="nil"/>
            </w:tcBorders>
            <w:shd w:val="clear" w:color="auto" w:fill="auto"/>
            <w:vAlign w:val="center"/>
          </w:tcPr>
          <w:p w14:paraId="6FCA8EC7">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100元/例</w:t>
            </w:r>
          </w:p>
        </w:tc>
        <w:tc>
          <w:tcPr>
            <w:tcW w:w="932" w:type="dxa"/>
            <w:tcBorders>
              <w:top w:val="single" w:color="4874CB" w:themeColor="accent1" w:sz="6" w:space="0"/>
              <w:left w:val="nil"/>
              <w:bottom w:val="single" w:color="B5C7EA" w:themeColor="accent1" w:themeTint="66" w:sz="6" w:space="0"/>
              <w:right w:val="nil"/>
            </w:tcBorders>
            <w:shd w:val="clear" w:color="auto" w:fill="auto"/>
            <w:vAlign w:val="center"/>
          </w:tcPr>
          <w:p w14:paraId="6AB0B7BA">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 xml:space="preserve">1174例</w:t>
            </w:r>
          </w:p>
        </w:tc>
        <w:tc>
          <w:tcPr>
            <w:tcW w:w="1145" w:type="dxa"/>
            <w:tcBorders>
              <w:top w:val="single" w:color="4874CB" w:themeColor="accent1" w:sz="6" w:space="0"/>
              <w:left w:val="nil"/>
              <w:bottom w:val="single" w:color="B5C7EA" w:themeColor="accent1" w:themeTint="66" w:sz="6" w:space="0"/>
              <w:right w:val="single" w:color="4874CB" w:themeColor="accent1" w:sz="6" w:space="0"/>
            </w:tcBorders>
            <w:shd w:val="clear" w:color="auto" w:fill="auto"/>
            <w:vAlign w:val="center"/>
          </w:tcPr>
          <w:p w14:paraId="714AD419">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 xml:space="preserve">117400元</w:t>
            </w:r>
          </w:p>
        </w:tc>
      </w:tr>
      <w:tr w14:paraId="18A00C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7" w:hRule="atLeast"/>
          <w:tblCellSpacing w:w="15" w:type="dxa"/>
        </w:trPr>
        <w:tc>
          <w:tcPr>
            <w:tcW w:w="1650" w:type="dxa"/>
            <w:tcBorders>
              <w:top w:val="single" w:color="B5C7EA" w:themeColor="accent1" w:themeTint="66" w:sz="6" w:space="0"/>
              <w:left w:val="single" w:color="4874CB" w:themeColor="accent1" w:sz="6" w:space="0"/>
              <w:bottom w:val="single" w:color="B5C7EA" w:themeColor="accent1" w:themeTint="66" w:sz="6" w:space="0"/>
              <w:right w:val="nil"/>
            </w:tcBorders>
            <w:shd w:val="clear" w:color="auto" w:fill="auto"/>
            <w:vAlign w:val="center"/>
          </w:tcPr>
          <w:p w14:paraId="4E803433">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问卷分析报告</w:t>
            </w:r>
          </w:p>
        </w:tc>
        <w:tc>
          <w:tcPr>
            <w:tcW w:w="3340" w:type="dxa"/>
            <w:tcBorders>
              <w:top w:val="single" w:color="B5C7EA" w:themeColor="accent1" w:themeTint="66" w:sz="6" w:space="0"/>
              <w:left w:val="nil"/>
              <w:bottom w:val="single" w:color="B5C7EA" w:themeColor="accent1" w:themeTint="66" w:sz="6" w:space="0"/>
              <w:right w:val="nil"/>
            </w:tcBorders>
            <w:shd w:val="clear" w:color="auto" w:fill="auto"/>
            <w:vAlign w:val="center"/>
          </w:tcPr>
          <w:p w14:paraId="2BA889CF">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数据分析、可视化，形成市场分析报告</w:t>
            </w:r>
          </w:p>
        </w:tc>
        <w:tc>
          <w:tcPr>
            <w:tcW w:w="1680" w:type="dxa"/>
            <w:tcBorders>
              <w:top w:val="single" w:color="B5C7EA" w:themeColor="accent1" w:themeTint="66" w:sz="6" w:space="0"/>
              <w:left w:val="nil"/>
              <w:bottom w:val="single" w:color="B5C7EA" w:themeColor="accent1" w:themeTint="66" w:sz="6" w:space="0"/>
              <w:right w:val="nil"/>
            </w:tcBorders>
            <w:shd w:val="clear" w:color="auto" w:fill="auto"/>
            <w:vAlign w:val="center"/>
          </w:tcPr>
          <w:p w14:paraId="1859385D">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30,000元/篇</w:t>
            </w:r>
          </w:p>
        </w:tc>
        <w:tc>
          <w:tcPr>
            <w:tcW w:w="932" w:type="dxa"/>
            <w:tcBorders>
              <w:top w:val="single" w:color="B5C7EA" w:themeColor="accent1" w:themeTint="66" w:sz="6" w:space="0"/>
              <w:left w:val="nil"/>
              <w:bottom w:val="single" w:color="B5C7EA" w:themeColor="accent1" w:themeTint="66" w:sz="6" w:space="0"/>
              <w:right w:val="nil"/>
            </w:tcBorders>
            <w:shd w:val="clear" w:color="auto" w:fill="auto"/>
            <w:vAlign w:val="center"/>
          </w:tcPr>
          <w:p w14:paraId="4C5AA2B0">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1篇</w:t>
            </w:r>
          </w:p>
        </w:tc>
        <w:tc>
          <w:tcPr>
            <w:tcW w:w="1145" w:type="dxa"/>
            <w:tcBorders>
              <w:top w:val="single" w:color="B5C7EA" w:themeColor="accent1" w:themeTint="66" w:sz="6" w:space="0"/>
              <w:left w:val="nil"/>
              <w:bottom w:val="single" w:color="B5C7EA" w:themeColor="accent1" w:themeTint="66" w:sz="6" w:space="0"/>
              <w:right w:val="single" w:color="4874CB" w:themeColor="accent1" w:sz="6" w:space="0"/>
            </w:tcBorders>
            <w:shd w:val="clear" w:color="auto" w:fill="auto"/>
            <w:vAlign w:val="center"/>
          </w:tcPr>
          <w:p w14:paraId="2E1E07FB">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30,000</w:t>
            </w:r>
          </w:p>
        </w:tc>
      </w:tr>
      <w:tr w14:paraId="289291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7" w:hRule="atLeast"/>
          <w:tblCellSpacing w:w="15" w:type="dxa"/>
        </w:trPr>
        <w:tc>
          <w:tcPr>
            <w:tcW w:w="1650" w:type="dxa"/>
            <w:tcBorders>
              <w:top w:val="single" w:color="B5C7EA" w:themeColor="accent1" w:themeTint="66" w:sz="6" w:space="0"/>
              <w:left w:val="single" w:color="4874CB" w:themeColor="accent1" w:sz="6" w:space="0"/>
              <w:bottom w:val="single" w:color="4874CB" w:themeColor="accent1" w:sz="6" w:space="0"/>
              <w:right w:val="nil"/>
            </w:tcBorders>
            <w:shd w:val="clear" w:color="auto" w:fill="auto"/>
            <w:vAlign w:val="center"/>
          </w:tcPr>
          <w:p w14:paraId="4279FFE1">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Style w:val="12"/>
                <w:rFonts w:hint="eastAsia" w:ascii="汉仪中宋简" w:hAnsi="汉仪中宋简" w:eastAsia="汉仪中宋简" w:cs="汉仪中宋简"/>
                <w:b w:val="0"/>
                <w:i w:val="0"/>
                <w:color w:val="000000"/>
                <w:kern w:val="0"/>
                <w:sz w:val="24"/>
                <w:szCs w:val="24"/>
                <w:highlight w:val="none"/>
                <w:lang w:val="en-US" w:eastAsia="zh-CN" w:bidi="ar"/>
              </w:rPr>
              <w:t>总计</w:t>
            </w:r>
          </w:p>
        </w:tc>
        <w:tc>
          <w:tcPr>
            <w:tcW w:w="3340" w:type="dxa"/>
            <w:tcBorders>
              <w:top w:val="single" w:color="B5C7EA" w:themeColor="accent1" w:themeTint="66" w:sz="6" w:space="0"/>
              <w:left w:val="nil"/>
              <w:bottom w:val="single" w:color="4874CB" w:themeColor="accent1" w:sz="6" w:space="0"/>
              <w:right w:val="nil"/>
            </w:tcBorders>
            <w:shd w:val="clear" w:color="auto" w:fill="auto"/>
            <w:vAlign w:val="center"/>
          </w:tcPr>
          <w:p w14:paraId="3A1B7D94">
            <w:pPr>
              <w:rPr>
                <w:rFonts w:hint="eastAsia" w:ascii="汉仪中宋简" w:hAnsi="汉仪中宋简" w:eastAsia="汉仪中宋简" w:cs="汉仪中宋简"/>
                <w:b w:val="0"/>
                <w:i w:val="0"/>
                <w:color w:val="000000"/>
                <w:sz w:val="24"/>
                <w:szCs w:val="24"/>
                <w:highlight w:val="none"/>
              </w:rPr>
            </w:pPr>
          </w:p>
        </w:tc>
        <w:tc>
          <w:tcPr>
            <w:tcW w:w="1680" w:type="dxa"/>
            <w:tcBorders>
              <w:top w:val="single" w:color="B5C7EA" w:themeColor="accent1" w:themeTint="66" w:sz="6" w:space="0"/>
              <w:left w:val="nil"/>
              <w:bottom w:val="single" w:color="4874CB" w:themeColor="accent1" w:sz="6" w:space="0"/>
              <w:right w:val="nil"/>
            </w:tcBorders>
            <w:shd w:val="clear" w:color="auto" w:fill="auto"/>
            <w:vAlign w:val="center"/>
          </w:tcPr>
          <w:p w14:paraId="553A0E1F">
            <w:pPr>
              <w:rPr>
                <w:rFonts w:hint="eastAsia" w:ascii="汉仪中宋简" w:hAnsi="汉仪中宋简" w:eastAsia="汉仪中宋简" w:cs="汉仪中宋简"/>
                <w:b w:val="0"/>
                <w:i w:val="0"/>
                <w:color w:val="000000"/>
                <w:sz w:val="24"/>
                <w:szCs w:val="24"/>
                <w:highlight w:val="none"/>
              </w:rPr>
            </w:pPr>
          </w:p>
        </w:tc>
        <w:tc>
          <w:tcPr>
            <w:tcW w:w="932" w:type="dxa"/>
            <w:tcBorders>
              <w:top w:val="single" w:color="B5C7EA" w:themeColor="accent1" w:themeTint="66" w:sz="6" w:space="0"/>
              <w:left w:val="nil"/>
              <w:bottom w:val="single" w:color="4874CB" w:themeColor="accent1" w:sz="6" w:space="0"/>
              <w:right w:val="nil"/>
            </w:tcBorders>
            <w:shd w:val="clear" w:color="auto" w:fill="auto"/>
            <w:vAlign w:val="center"/>
          </w:tcPr>
          <w:p w14:paraId="6AE98FA0">
            <w:pPr>
              <w:rPr>
                <w:rFonts w:hint="eastAsia" w:ascii="汉仪中宋简" w:hAnsi="汉仪中宋简" w:eastAsia="汉仪中宋简" w:cs="汉仪中宋简"/>
                <w:b w:val="0"/>
                <w:i w:val="0"/>
                <w:color w:val="000000"/>
                <w:sz w:val="24"/>
                <w:szCs w:val="24"/>
                <w:highlight w:val="none"/>
              </w:rPr>
            </w:pPr>
          </w:p>
        </w:tc>
        <w:tc>
          <w:tcPr>
            <w:tcW w:w="1145" w:type="dxa"/>
            <w:tcBorders>
              <w:top w:val="single" w:color="B5C7EA" w:themeColor="accent1" w:themeTint="66" w:sz="6" w:space="0"/>
              <w:left w:val="nil"/>
              <w:bottom w:val="single" w:color="4874CB" w:themeColor="accent1" w:sz="6" w:space="0"/>
              <w:right w:val="single" w:color="4874CB" w:themeColor="accent1" w:sz="6" w:space="0"/>
            </w:tcBorders>
            <w:shd w:val="clear" w:color="auto" w:fill="auto"/>
            <w:vAlign w:val="center"/>
          </w:tcPr>
          <w:p w14:paraId="5F1E6723">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Style w:val="12"/>
                <w:rFonts w:hint="eastAsia" w:ascii="汉仪中宋简" w:hAnsi="汉仪中宋简" w:eastAsia="汉仪中宋简" w:cs="汉仪中宋简"/>
                <w:b w:val="0"/>
                <w:i w:val="0"/>
                <w:color w:val="000000"/>
                <w:kern w:val="0"/>
                <w:sz w:val="24"/>
                <w:szCs w:val="24"/>
                <w:highlight w:val="none"/>
                <w:lang w:val="en-US" w:eastAsia="zh-CN" w:bidi="ar"/>
              </w:rPr>
              <w:t>194,200</w:t>
            </w:r>
          </w:p>
        </w:tc>
      </w:tr>
    </w:tbl>
    <w:p w14:paraId="4886E5A3">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lang w:val="en-US" w:eastAsia="zh-CN"/>
        </w:rPr>
        <w:jc w:val="both"/>
        <w:outlineLvl w:val="9"/>
        <w:textDirection w:val="lrTb"/>
      </w:pPr>
      <w:r>
        <w:rPr>
          <w:rFonts w:hint="eastAsia" w:ascii="汉仪中宋简" w:hAnsi="汉仪中宋简" w:eastAsia="汉仪中宋简" w:cs="汉仪中宋简"/>
          <w:sz w:val="24"/>
          <w:szCs w:val="32"/>
          <w:lang w:val="en-US" w:eastAsia="zh-CN"/>
        </w:rPr>
        <w:t>服务承诺：确保数据真实可靠，分析专业严谨，提供有价值的市场洞察，保持与客户的密切沟通，确保项目高质量完成。</w:t>
      </w:r>
    </w:p>
    <w:p w14:paraId="450101E3">
      <w:r>
        <w:rPr>
          <w:rFonts w:ascii="汉仪中宋简" w:hAnsi="汉仪中宋简" w:eastAsia="汉仪中宋简"/>
          <w:sz w:val="24"/>
          <w:szCs w:val="24"/>
        </w:rPr>
        <w:t xml:space="preserve">服务单位：北京玖麟空科技有限公司</w:t>
      </w:r>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jc w:val="right"/>
        <w:textAlignment w:val="auto"/>
        <w:rPr>
          <w:rFonts w:hint="eastAsia" w:ascii="汉仪中宋简" w:hAnsi="汉仪中宋简" w:eastAsia="汉仪中宋简" w:cs="汉仪中宋简"/>
          <w:sz w:val="24"/>
          <w:szCs w:val="32"/>
          <w:lang w:val="en-US" w:eastAsia="zh-CN"/>
        </w:rPr>
      </w:pPr>
    </w:p>
    <w:p>
      <w:pPr>
        <w:jc w:val="right"/>
      </w:pPr>
      <w:r>
        <w:rPr>
          <w:rFonts w:ascii="汉仪中宋简" w:hAnsi="汉仪中宋简" w:eastAsia="汉仪中宋简"/>
          <w:sz w:val="24"/>
          <w:szCs w:val="24"/>
        </w:rPr>
        <w:t xml:space="preserve">日期：2025年10月07日</w:t>
      </w:r>
    </w:p>
    <w:bookmarkEnd w:id="3"/>
    <w:bookmarkEnd w:id="4"/>
    <w:bookmarkEnd w:id="5"/>
    <w:bookmarkEnd w:id="6"/>
    <w:p w14:paraId="363E8080">
      <w:pPr>
        <w:rPr>
          <w:rFonts w:hint="eastAsia" w:ascii="汉仪中宋简" w:hAnsi="汉仪中宋简" w:eastAsia="汉仪中宋简" w:cs="汉仪中宋简"/>
          <w:b/>
          <w:lang w:val="en-US" w:eastAsia="zh-CN"/>
        </w:rPr>
        <w:sectPr>
          <w:footerReference r:id="rId4"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w14:paraId="2FEDE721">
      <w:pPr>
        <w:rPr>
          <w:rFonts w:hint="eastAsia" w:ascii="汉仪中宋简" w:hAnsi="汉仪中宋简" w:eastAsia="汉仪中宋简" w:cs="汉仪中宋简"/>
          <w:b/>
          <w:lang w:val="en-US" w:eastAsia="zh-CN"/>
        </w:rPr>
      </w:pPr>
    </w:p>
    <w:p>
      <w:pPr>
        <w:jc w:val="left"/>
      </w:pPr>
      <w:r>
        <w:rPr>
          <w:rFonts w:ascii="汉仪中宋简" w:hAnsi="汉仪中宋简" w:eastAsia="汉仪中宋简"/>
          <w:sz w:val="32"/>
          <w:szCs w:val="32"/>
          <w:b w:val="1"/>
        </w:rPr>
        <w:t>目录</w:t>
      </w:r>
    </w:p>
    <w:p>
      <w:pPr>
        <w:jc w:val="left"/>
      </w:pPr>
      <w:r>
        <w:rPr>
          <w:rFonts w:ascii="汉仪中宋简" w:hAnsi="汉仪中宋简" w:eastAsia="汉仪中宋简"/>
          <w:sz w:val="24"/>
          <w:szCs w:val="24"/>
        </w:rPr>
        <w:fldChar w:fldCharType="begin"/>
      </w:r>
      <w:r>
        <w:rPr>
          <w:rFonts w:ascii="汉仪中宋简" w:hAnsi="汉仪中宋简" w:eastAsia="汉仪中宋简"/>
          <w:sz w:val="24"/>
          <w:szCs w:val="24"/>
        </w:rPr>
        <w:instrText xml:space="preserve">TOC \o "1-3" \h \u</w:instrText>
      </w:r>
      <w:r>
        <w:rPr>
          <w:rFonts w:ascii="汉仪中宋简" w:hAnsi="汉仪中宋简" w:eastAsia="汉仪中宋简"/>
          <w:sz w:val="24"/>
          <w:szCs w:val="24"/>
        </w:rPr>
        <w:fldChar w:fldCharType="separate"/>
      </w:r>
      <w:r>
        <w:rPr>
          <w:rFonts w:ascii="汉仪中宋简" w:hAnsi="汉仪中宋简" w:eastAsia="汉仪中宋简"/>
          <w:sz w:val="24"/>
          <w:szCs w:val="24"/>
        </w:rPr>
        <w:t>（请在 Word 中右键此处 → 更新域，以生成目录）</w:t>
      </w:r>
      <w:r>
        <w:rPr>
          <w:rFonts w:ascii="汉仪中宋简" w:hAnsi="汉仪中宋简" w:eastAsia="汉仪中宋简"/>
          <w:sz w:val="24"/>
          <w:szCs w:val="24"/>
        </w:rPr>
        <w:fldChar w:fldCharType="end"/>
      </w:r>
    </w:p>
    <w:p w14:paraId="2F7C28CF">
      <w:pPr>
        <w:pStyle w:val="2"/>
        <w:bidi w:val="0"/>
        <w:jc w:val="center"/>
        <w:rPr>
          <w:rFonts w:hint="eastAsia" w:ascii="汉仪中宋简" w:hAnsi="汉仪中宋简" w:eastAsia="汉仪中宋简" w:cs="汉仪中宋简"/>
          <w:lang w:val="en-US" w:eastAsia="zh-CN"/>
        </w:rPr>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bookmarkStart w:id="7" w:name="_Toc2436"/>
    </w:p>
    <w:p w14:paraId="6C8E94F9">
      <w:pPr>
        <w:pStyle w:val="2"/>
        <w:bidi w:val="0"/>
        <w:jc w:val="center"/>
        <w:rPr>
          <w:rFonts w:hint="eastAsia" w:ascii="汉仪中宋简" w:hAnsi="汉仪中宋简" w:eastAsia="汉仪中宋简" w:cs="汉仪中宋简"/>
          <w:lang w:val="en-US" w:eastAsia="zh-CN"/>
        </w:rPr>
      </w:pPr>
      <w:r>
        <w:rPr>
          <w:rFonts w:hint="eastAsia" w:ascii="汉仪中宋简" w:hAnsi="汉仪中宋简" w:eastAsia="汉仪中宋简" w:cs="汉仪中宋简"/>
          <w:lang w:val="en-US" w:eastAsia="zh-CN"/>
          <w:sz w:val="44"/>
          <w:szCs w:val="44"/>
          <w:b w:val="1"/>
        </w:rPr>
        <w:t>前言</w:t>
      </w:r>
      <w:bookmarkEnd w:id="7"/>
    </w:p>
    <w:p w14:paraId="7D65B80C">
      <w:r>
        <w:rPr>
          <w:rFonts w:ascii="汉仪中宋简" w:hAnsi="汉仪中宋简" w:eastAsia="汉仪中宋简"/>
          <w:sz w:val="24"/>
          <w:szCs w:val="24"/>
        </w:rPr>
        <w:t xml:space="preserve">厄贝沙坦氢氯噻嗪片作为临床常用复方降压药物，在高血压患者长期管理中兼具明确的疗效基础与较好的耐受性表现，其真实用药体验对提升慢病管理质量具有重要参考价值。本次调研面向湖南患者群体开展，共收集有效问卷1174份，重点围绕患者在疗效感知、安全性体验、用药行为、便利性和信息支持等方面的实际反馈进行整理分析，旨在从患者视角进一步识别当前用药过程中值得巩固的积极体验与仍待优化的关键环节，为后续临床沟通、患者教育和药品服务支持提供依据。</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highlight w:val="none"/>
          <w:lang w:val="en-US" w:eastAsia="zh-CN"/>
        </w:rPr>
        <w:jc w:val="both"/>
        <w:outlineLvl w:val="9"/>
        <w:textDirection w:val="lrTb"/>
      </w:pPr>
    </w:p>
    <w:p w14:paraId="3B619499">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highlight w:val="none"/>
          <w:lang w:val="en-US" w:eastAsia="zh-CN"/>
        </w:rPr>
        <w:sectPr>
          <w:footerReference r:id="rId6"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w14:paraId="041B3149">
      <w:r>
        <w:rPr>
          <w:rFonts w:ascii="汉仪中宋简" w:hAnsi="汉仪中宋简" w:eastAsia="汉仪中宋简"/>
          <w:sz w:val="44"/>
          <w:szCs w:val="44"/>
          <w:b w:val="1"/>
        </w:rPr>
        <w:t xml:space="preserve">问卷调研分析报告</w:t>
      </w:r>
      <w:pPr>
        <w:keepNext w:val="0"/>
        <w:keepLines w:val="0"/>
        <w:pageBreakBefore w:val="0"/>
        <w:widowControl w:val="0"/>
        <w:kinsoku/>
        <w:wordWrap/>
        <w:overflowPunct/>
        <w:topLinePunct w:val="0"/>
        <w:autoSpaceDE/>
        <w:autoSpaceDN/>
        <w:bidi w:val="0"/>
        <w:adjustRightInd/>
        <w:snapToGrid/>
        <w:spacing w:before="157" w:beforeLines="50" w:after="157" w:afterLines="50" w:line="480" w:lineRule="auto"/>
        <w:jc w:val="center"/>
        <w:textAlignment w:val="auto"/>
        <w:rPr>
          <w:rFonts w:hint="eastAsia" w:ascii="汉仪中宋简" w:hAnsi="汉仪中宋简" w:eastAsia="汉仪中宋简" w:cs="汉仪中宋简"/>
          <w:b/>
          <w:bCs/>
          <w:sz w:val="44"/>
          <w:szCs w:val="44"/>
          <w:lang w:val="en-US" w:eastAsia="zh-CN"/>
        </w:rPr>
      </w:pPr>
      <w:bookmarkStart w:id="8" w:name="_Toc31976"/>
      <w:bookmarkStart w:id="9" w:name="_Toc6219"/>
      <w:bookmarkStart w:id="10" w:name="_Toc18642"/>
      <w:bookmarkEnd w:id="8"/>
      <w:bookmarkEnd w:id="9"/>
      <w:bookmarkEnd w:id="10"/>
    </w:p>
    <w:p w14:paraId="20E32FAB">
      <w:pPr>
        <w:pStyle w:val="3"/>
        <w:numPr>
          <w:ilvl w:val="0"/>
          <w:numId w:val="1"/>
        </w:numPr>
        <w:bidi w:val="0"/>
        <w:outlineLvl w:val="0"/>
        <w:rPr>
          <w:rFonts w:hint="eastAsia" w:ascii="汉仪中宋简" w:hAnsi="汉仪中宋简" w:eastAsia="汉仪中宋简" w:cs="汉仪中宋简"/>
          <w:b/>
          <w:highlight w:val="none"/>
          <w:lang w:val="en-US" w:eastAsia="zh-CN"/>
        </w:rPr>
        <w:jc w:val="left"/>
      </w:pPr>
      <w:bookmarkStart w:id="11" w:name="_Toc29577"/>
      <w:r>
        <w:rPr>
          <w:rFonts w:hint="eastAsia" w:ascii="汉仪中宋简" w:hAnsi="汉仪中宋简" w:eastAsia="汉仪中宋简" w:cs="汉仪中宋简"/>
          <w:b w:val="1"/>
          <w:highlight w:val="none"/>
          <w:lang w:val="en-US" w:eastAsia="zh-CN"/>
          <w:sz w:val="32"/>
          <w:szCs w:val="32"/>
        </w:rPr>
        <w:t>项目背景</w:t>
      </w:r>
      <w:bookmarkEnd w:id="11"/>
    </w:p>
    <w:p w14:paraId="33023550">
      <w:r>
        <w:rPr>
          <w:rFonts w:ascii="汉仪中宋简" w:hAnsi="汉仪中宋简" w:eastAsia="汉仪中宋简"/>
          <w:sz w:val="24"/>
          <w:szCs w:val="24"/>
        </w:rPr>
        <w:t xml:space="preserve">高血压作为常见慢性心血管疾病，长期规范用药是控制病情、降低并发症风险的关键措施。厄贝沙坦氢氯噻嗪片作为临床常用复方降压药物，兼具稳定降压与改善长期管理体验的应用价值，在湖南患者群体中具有持续且稳定的使用基础。围绕患者真实用药场景开展本次调研，有助于从主观疗效感知、安全性体验、行为习惯和信息支持等层面系统识别患者反馈，为后续优化临床沟通、完善患者教育内容以及提升药品服务支持提供更具针对性的依据。</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24"/>
          <w:highlight w:val="none"/>
          <w:lang w:val="en-US" w:eastAsia="zh-CN"/>
        </w:rPr>
        <w:jc w:val="both"/>
        <w:outlineLvl w:val="9"/>
        <w:textDirection w:val="lrTb"/>
      </w:pPr>
    </w:p>
    <w:p w14:paraId="5BFBAEDB">
      <w:pPr>
        <w:pStyle w:val="3"/>
        <w:numPr>
          <w:ilvl w:val="0"/>
          <w:numId w:val="1"/>
        </w:numPr>
        <w:bidi w:val="0"/>
        <w:outlineLvl w:val="0"/>
        <w:rPr>
          <w:rFonts w:hint="eastAsia" w:ascii="汉仪中宋简" w:hAnsi="汉仪中宋简" w:eastAsia="汉仪中宋简" w:cs="汉仪中宋简"/>
          <w:b/>
          <w:highlight w:val="none"/>
          <w:lang w:val="en-US" w:eastAsia="zh-CN"/>
        </w:rPr>
        <w:jc w:val="left"/>
      </w:pPr>
      <w:bookmarkStart w:id="12" w:name="_Toc26883"/>
      <w:r>
        <w:rPr>
          <w:rFonts w:hint="eastAsia" w:ascii="汉仪中宋简" w:hAnsi="汉仪中宋简" w:eastAsia="汉仪中宋简" w:cs="汉仪中宋简"/>
          <w:b w:val="1"/>
          <w:highlight w:val="none"/>
          <w:lang w:val="en-US" w:eastAsia="zh-CN"/>
          <w:sz w:val="32"/>
          <w:szCs w:val="32"/>
        </w:rPr>
        <w:t>项目开展情况</w:t>
      </w:r>
      <w:bookmarkEnd w:id="12"/>
    </w:p>
    <w:p w14:paraId="1BBB4EDB">
      <w:r>
        <w:rPr>
          <w:rFonts w:ascii="汉仪中宋简" w:hAnsi="汉仪中宋简" w:eastAsia="汉仪中宋简"/>
          <w:sz w:val="24"/>
          <w:szCs w:val="24"/>
        </w:rPr>
        <w:t xml:space="preserve">项目工具：调查问卷，14道选择题。其内容涵盖药品疗效、药品安全性、用药行为与习惯、用药便利性、药品经济性、药品可及性6大维度，全面覆盖患者用药全流程关键节点。</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highlight w:val="none"/>
          <w:lang w:val="en-US" w:eastAsia="zh-CN"/>
        </w:rPr>
        <w:jc w:val="both"/>
        <w:outlineLvl w:val="9"/>
        <w:textDirection w:val="lrTb"/>
      </w:pPr>
    </w:p>
    <w:p w14:paraId="651D8FD0">
      <w:r>
        <w:rPr>
          <w:rFonts w:ascii="汉仪中宋简" w:hAnsi="汉仪中宋简" w:eastAsia="汉仪中宋简"/>
          <w:sz w:val="24"/>
          <w:szCs w:val="24"/>
        </w:rPr>
        <w:t xml:space="preserve">样本采集范围：湖南</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highlight w:val="none"/>
          <w:lang w:val="en-US" w:eastAsia="zh-CN"/>
        </w:rPr>
        <w:jc w:val="both"/>
        <w:outlineLvl w:val="9"/>
        <w:textDirection w:val="lrTb"/>
      </w:pPr>
    </w:p>
    <w:p w14:paraId="3B93953C">
      <w:r>
        <w:rPr>
          <w:rFonts w:ascii="汉仪中宋简" w:hAnsi="汉仪中宋简" w:eastAsia="汉仪中宋简"/>
          <w:sz w:val="24"/>
          <w:szCs w:val="24"/>
        </w:rPr>
        <w:t xml:space="preserve">样本采集数量：本次共收集筛选到有效问卷1174份。</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highlight w:val="none"/>
          <w:lang w:val="en-US" w:eastAsia="zh-CN"/>
        </w:rPr>
        <w:jc w:val="both"/>
        <w:outlineLvl w:val="9"/>
        <w:textDirection w:val="lrTb"/>
      </w:pPr>
    </w:p>
    <w:p w14:paraId="2AC14513">
      <w:r>
        <w:rPr>
          <w:rFonts w:ascii="汉仪中宋简" w:hAnsi="汉仪中宋简" w:eastAsia="汉仪中宋简"/>
          <w:sz w:val="24"/>
          <w:szCs w:val="24"/>
        </w:rPr>
        <w:t xml:space="preserve">样本采集时间：2025年09月01日——2025年09月30日</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highlight w:val="none"/>
          <w:lang w:val="en-US" w:eastAsia="zh-CN"/>
        </w:rPr>
        <w:jc w:val="both"/>
        <w:outlineLvl w:val="9"/>
        <w:textDirection w:val="lrTb"/>
      </w:pPr>
    </w:p>
    <w:p w14:paraId="45E0F945">
      <w:pPr>
        <w:pStyle w:val="3"/>
        <w:numPr>
          <w:ilvl w:val="0"/>
          <w:numId w:val="1"/>
        </w:numPr>
        <w:bidi w:val="0"/>
        <w:outlineLvl w:val="0"/>
        <w:rPr>
          <w:rFonts w:hint="eastAsia" w:ascii="汉仪中宋简" w:hAnsi="汉仪中宋简" w:eastAsia="汉仪中宋简" w:cs="汉仪中宋简"/>
          <w:b/>
          <w:highlight w:val="none"/>
          <w:lang w:val="en-US" w:eastAsia="zh-CN"/>
        </w:rPr>
        <w:jc w:val="left"/>
      </w:pPr>
      <w:bookmarkStart w:id="13" w:name="_Toc17641"/>
      <w:r>
        <w:rPr>
          <w:rFonts w:hint="eastAsia" w:ascii="汉仪中宋简" w:hAnsi="汉仪中宋简" w:eastAsia="汉仪中宋简" w:cs="汉仪中宋简"/>
          <w:b w:val="1"/>
          <w:highlight w:val="none"/>
          <w:lang w:val="en-US" w:eastAsia="zh-CN"/>
          <w:sz w:val="32"/>
          <w:szCs w:val="32"/>
        </w:rPr>
        <w:t>问卷说明</w:t>
      </w:r>
      <w:bookmarkEnd w:id="13"/>
    </w:p>
    <w:p w14:paraId="709CC835">
      <w:r>
        <w:rPr>
          <w:rFonts w:ascii="汉仪中宋简" w:hAnsi="汉仪中宋简" w:eastAsia="汉仪中宋简"/>
          <w:sz w:val="24"/>
          <w:szCs w:val="24"/>
        </w:rPr>
        <w:t xml:space="preserve">为提升数据可比性与分析结果的科学性，本研究采用以下标准化统计处理方法对原始问卷数据进行系统规整：</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highlight w:val="none"/>
          <w:lang w:val="en-US" w:eastAsia="zh-CN"/>
        </w:rPr>
        <w:jc w:val="both"/>
        <w:outlineLvl w:val="9"/>
        <w:textDirection w:val="lrTb"/>
      </w:pPr>
    </w:p>
    <w:p w14:paraId="3CA3D392">
      <w:r>
        <w:rPr>
          <w:rFonts w:ascii="汉仪中宋简" w:hAnsi="汉仪中宋简" w:eastAsia="汉仪中宋简"/>
          <w:sz w:val="24"/>
          <w:szCs w:val="24"/>
        </w:rPr>
        <w:t xml:space="preserve">1．数据清洗：剔除无效作答、空白选项及关键信息缺失数据，保障分析数据集的完整性与可靠性。</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highlight w:val="none"/>
          <w:lang w:val="en-US" w:eastAsia="zh-CN"/>
        </w:rPr>
        <w:jc w:val="both"/>
        <w:outlineLvl w:val="9"/>
        <w:textDirection w:val="lrTb"/>
      </w:pPr>
    </w:p>
    <w:p w14:paraId="75936C4F">
      <w:r>
        <w:rPr>
          <w:rFonts w:ascii="汉仪中宋简" w:hAnsi="汉仪中宋简" w:eastAsia="汉仪中宋简"/>
          <w:sz w:val="24"/>
          <w:szCs w:val="24"/>
        </w:rPr>
        <w:t xml:space="preserve">2．数据转换：按照问卷分析需求对原始选项、样本量和占比进行统一格式化处理，使其适配后续统计逻辑。</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highlight w:val="none"/>
          <w:lang w:val="en-US" w:eastAsia="zh-CN"/>
        </w:rPr>
        <w:jc w:val="both"/>
        <w:outlineLvl w:val="9"/>
        <w:textDirection w:val="lrTb"/>
      </w:pPr>
    </w:p>
    <w:p w14:paraId="1E40B848">
      <w:r>
        <w:rPr>
          <w:rFonts w:ascii="汉仪中宋简" w:hAnsi="汉仪中宋简" w:eastAsia="汉仪中宋简"/>
          <w:sz w:val="24"/>
          <w:szCs w:val="24"/>
        </w:rPr>
        <w:t xml:space="preserve">3．数据聚合：根据题目主题和分析维度对数据进行归类整合，形成结构化分析单元，降低交叉解读难度。</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highlight w:val="none"/>
          <w:lang w:val="en-US" w:eastAsia="zh-CN"/>
        </w:rPr>
        <w:jc w:val="both"/>
        <w:outlineLvl w:val="9"/>
        <w:textDirection w:val="lrTb"/>
      </w:pPr>
    </w:p>
    <w:p w14:paraId="7B23C77E">
      <w:r>
        <w:rPr>
          <w:rFonts w:ascii="汉仪中宋简" w:hAnsi="汉仪中宋简" w:eastAsia="汉仪中宋简"/>
          <w:sz w:val="24"/>
          <w:szCs w:val="24"/>
        </w:rPr>
        <w:t xml:space="preserve">4．数据可视化：针对重点问题配置结果表格与对应图表，以直观呈现样本分布特征及不同选项之间的差异。</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highlight w:val="none"/>
          <w:lang w:val="en-US" w:eastAsia="zh-CN"/>
        </w:rPr>
        <w:jc w:val="both"/>
        <w:outlineLvl w:val="9"/>
        <w:textDirection w:val="lrTb"/>
      </w:pPr>
    </w:p>
    <w:p w14:paraId="687C494E">
      <w:r>
        <w:rPr>
          <w:rFonts w:ascii="汉仪中宋简" w:hAnsi="汉仪中宋简" w:eastAsia="汉仪中宋简"/>
          <w:sz w:val="24"/>
          <w:szCs w:val="24"/>
        </w:rPr>
        <w:t xml:space="preserve">通过上述标准化数据处理流程，可在14道题目的分析中有效强化不同维度数据间的可比性，确保研究结论具备更好的客观性与可信度。</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highlight w:val="none"/>
          <w:lang w:val="en-US" w:eastAsia="zh-CN"/>
        </w:rPr>
        <w:jc w:val="both"/>
        <w:outlineLvl w:val="9"/>
        <w:textDirection w:val="lrTb"/>
      </w:pPr>
    </w:p>
    <w:p w14:paraId="00BB390D">
      <w:pPr>
        <w:pStyle w:val="3"/>
        <w:numPr>
          <w:ilvl w:val="0"/>
          <w:numId w:val="1"/>
        </w:numPr>
        <w:bidi w:val="0"/>
        <w:outlineLvl w:val="0"/>
        <w:rPr>
          <w:rFonts w:hint="eastAsia" w:ascii="汉仪中宋简" w:hAnsi="汉仪中宋简" w:eastAsia="汉仪中宋简" w:cs="汉仪中宋简"/>
          <w:b/>
          <w:lang w:val="en-US" w:eastAsia="zh-CN"/>
        </w:rPr>
        <w:jc w:val="left"/>
      </w:pPr>
      <w:bookmarkStart w:id="14" w:name="_Toc14182"/>
      <w:r>
        <w:rPr>
          <w:rFonts w:hint="eastAsia" w:ascii="汉仪中宋简" w:hAnsi="汉仪中宋简" w:eastAsia="汉仪中宋简" w:cs="汉仪中宋简"/>
          <w:b w:val="1"/>
          <w:lang w:val="en-US" w:eastAsia="zh-CN"/>
          <w:sz w:val="32"/>
          <w:szCs w:val="32"/>
        </w:rPr>
        <w:t>问卷结果分析</w:t>
      </w:r>
      <w:bookmarkEnd w:id="14"/>
    </w:p>
    <w:p w14:paraId="795A2C94">
      <w:r>
        <w:rPr>
          <w:rFonts w:ascii="汉仪中宋简" w:hAnsi="汉仪中宋简" w:eastAsia="汉仪中宋简"/>
          <w:sz w:val="24"/>
          <w:szCs w:val="24"/>
        </w:rPr>
        <w:t xml:space="preserve">本次调查采用问卷调查方式，共有14个问题，本报告从药品疗效、药品安全性、用药行为与习惯、用药便利性、药品经济性、药品可及性等6个维度展开统计分析。</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lang w:val="en-US" w:eastAsia="zh-CN"/>
        </w:rPr>
        <w:jc w:val="both"/>
        <w:outlineLvl w:val="9"/>
        <w:textDirection w:val="lrTb"/>
      </w:pPr>
    </w:p>
    <w:p w14:paraId="12FB187E">
      <w:pPr>
        <w:keepNext w:val="0"/>
        <w:keepLines w:val="0"/>
        <w:pageBreakBefore w:val="0"/>
        <w:widowControl w:val="0"/>
        <w:numPr>
          <w:ilvl w:val="0"/>
          <w:numId w:val="0"/>
        </w:numPr>
        <w:kinsoku/>
        <w:wordWrap/>
        <w:overflowPunct/>
        <w:topLinePunct w:val="0"/>
        <w:autoSpaceDE/>
        <w:autoSpaceDN/>
        <w:bidi w:val="0"/>
        <w:adjustRightInd/>
        <w:snapToGrid/>
        <w:spacing w:line="600" w:lineRule="auto"/>
        <w:textAlignment w:val="auto"/>
        <w:rPr>
          <w:rFonts w:hint="eastAsia" w:ascii="汉仪中宋简" w:hAnsi="汉仪中宋简" w:eastAsia="汉仪中宋简" w:cs="汉仪中宋简"/>
        </w:rPr>
      </w:pPr>
      <w:r>
        <w:rPr>
          <w:rFonts w:hint="eastAsia" w:ascii="汉仪中宋简" w:hAnsi="汉仪中宋简" w:eastAsia="汉仪中宋简" w:cs="汉仪中宋简"/>
          <w:sz w:val="24"/>
          <w:szCs w:val="32"/>
          <w:lang w:val="en-US" w:eastAsia="zh-CN"/>
        </w:rPr>
        <w:drawing>
          <wp:inline distT="0" distB="0" distL="114300" distR="114300">
            <wp:extent cx="5238750" cy="4293235"/>
            <wp:effectExtent l="9525" t="9525" r="9525" b="15240"/>
            <wp:docPr id="7" name="图片 7"/>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0"/>
                    <a:stretch>
                      <a:fillRect/>
                    </a:stretch>
                  </pic:blipFill>
                  <pic:spPr>
                    <a:xfrm>
                      <a:off x="0" y="0"/>
                      <a:ext cx="5238750" cy="4293235"/>
                    </a:xfrm>
                    <a:prstGeom prst="rect">
                      <a:avLst/>
                    </a:prstGeom>
                    <a:ln>
                      <a:solidFill>
                        <a:srgbClr val="FFFFFF"/>
                      </a:solidFill>
                    </a:ln>
                    <a:extLst>
                      <a:ext uri="{8CAD56D8-0F58-4FB8-B24C-77498146470C}">
                        <wpswe:webExtensionRef xmlns:wpswe="http://www.wps.cn/officeDocument/2018/webExtension" r:id="rId9"/>
                      </a:ext>
                      <wpswe:webExtensionRef xmlns:wpswe="http://www.wps.cn/officeDocument/2018/webExtension" r:id="rId9"/>
                    </a:extLst>
                  </pic:spPr>
                </pic:pic>
              </a:graphicData>
            </a:graphic>
          </wp:inline>
        </w:drawing>
      </w:r>
    </w:p>
    <w:p w14:paraId="6FEF9D0C">
      <w:pPr>
        <w:keepNext w:val="0"/>
        <w:keepLines w:val="0"/>
        <w:pageBreakBefore w:val="0"/>
        <w:widowControl w:val="0"/>
        <w:numPr>
          <w:ilvl w:val="0"/>
          <w:numId w:val="0"/>
        </w:numPr>
        <w:kinsoku/>
        <w:wordWrap/>
        <w:overflowPunct/>
        <w:topLinePunct w:val="0"/>
        <w:autoSpaceDE/>
        <w:autoSpaceDN/>
        <w:bidi w:val="0"/>
        <w:adjustRightInd/>
        <w:snapToGrid/>
        <w:spacing w:line="600" w:lineRule="auto"/>
        <w:jc w:val="both"/>
        <w:textAlignment w:val="auto"/>
        <w:rPr>
          <w:rFonts w:hint="eastAsia" w:ascii="汉仪中宋简" w:hAnsi="汉仪中宋简" w:eastAsia="汉仪中宋简" w:cs="汉仪中宋简"/>
          <w:lang w:val="en-US" w:eastAsia="zh-CN"/>
        </w:rPr>
      </w:pPr>
    </w:p>
    <w:p w14:paraId="062BDC27">
      <w:pPr>
        <w:pStyle w:val="3"/>
        <w:pageBreakBefore w:val="0"/>
        <w:kinsoku/>
        <w:wordWrap/>
        <w:overflowPunct/>
        <w:topLinePunct w:val="0"/>
        <w:autoSpaceDE/>
        <w:autoSpaceDN/>
        <w:bidi w:val="0"/>
        <w:adjustRightInd/>
        <w:snapToGrid/>
        <w:spacing w:line="480" w:lineRule="auto"/>
        <w:rPr>
          <w:rFonts w:hint="eastAsia" w:ascii="汉仪中宋简" w:hAnsi="汉仪中宋简" w:eastAsia="汉仪中宋简" w:cs="汉仪中宋简"/>
          <w:lang w:val="en-US" w:eastAsia="zh-CN"/>
        </w:rPr>
      </w:pPr>
      <w:bookmarkStart w:id="15" w:name="_Toc23502"/>
      <w:r>
        <w:rPr>
          <w:rFonts w:hint="eastAsia" w:ascii="汉仪中宋简" w:hAnsi="汉仪中宋简" w:eastAsia="汉仪中宋简" w:cs="汉仪中宋简"/>
          <w:lang w:val="en-US" w:eastAsia="zh-CN"/>
        </w:rPr>
        <w:t>4.1药品疗效</w:t>
      </w:r>
      <w:bookmarkEnd w:id="15"/>
    </w:p>
    <w:p w14:paraId="309B9A6C">
      <w:r>
        <w:rPr>
          <w:rFonts w:ascii="汉仪中宋简" w:hAnsi="汉仪中宋简" w:eastAsia="汉仪中宋简"/>
          <w:sz w:val="24"/>
          <w:szCs w:val="24"/>
        </w:rPr>
        <w:t xml:space="preserve">血压控制效果分析</w:t>
      </w:r>
      <w:pPr>
        <w:pStyle w:val="4"/>
        <w:keepNext/>
        <w:keepLines/>
        <w:pageBreakBefore w:val="0"/>
        <w:widowControl w:val="0"/>
        <w:numPr>
          <w:ilvl w:val="0"/>
          <w:numId w:val="2"/>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jc w:val="left"/>
      </w:pPr>
    </w:p>
    <w:tbl>
      <w:tblPr>
        <w:tblStyle w:val="10"/>
        <w:tblW w:w="510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24"/>
        <w:gridCol w:w="896"/>
        <w:gridCol w:w="1494"/>
        <w:gridCol w:w="1494"/>
        <w:gridCol w:w="1494"/>
        <w:gridCol w:w="1496"/>
      </w:tblGrid>
      <w:tr w14:paraId="7EA3F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824"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8AD6E1E">
            <w:r>
              <w:rPr/>
              <w:t xml:space="preserve">1.您服用厄贝沙坦氢氯噻嗪片后，血压控制效果如何？</w:t>
            </w:r>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sz w:val="21"/>
                <w:szCs w:val="21"/>
                <w:u w:val="none"/>
              </w:rPr>
            </w:pPr>
          </w:p>
        </w:tc>
        <w:tc>
          <w:tcPr>
            <w:tcW w:w="896"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1B2E7BCF">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94"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36A4CE8">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A.血压稳定在正常范围</w:t>
            </w:r>
          </w:p>
        </w:tc>
        <w:tc>
          <w:tcPr>
            <w:tcW w:w="1494"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D226F51">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B.血压多数时间在正常范围</w:t>
            </w:r>
          </w:p>
        </w:tc>
        <w:tc>
          <w:tcPr>
            <w:tcW w:w="1494"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31F85F23">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C.血压偶尔超出正常范围</w:t>
            </w:r>
          </w:p>
        </w:tc>
        <w:tc>
          <w:tcPr>
            <w:tcW w:w="1496"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76F4B2D">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D.血压持续超出正常范围</w:t>
            </w:r>
          </w:p>
        </w:tc>
      </w:tr>
      <w:tr w14:paraId="24BA0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824"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17E325A1">
            <w:pPr>
              <w:jc w:val="center"/>
              <w:rPr>
                <w:rFonts w:hint="eastAsia" w:ascii="汉仪中宋简" w:hAnsi="汉仪中宋简" w:eastAsia="汉仪中宋简" w:cs="汉仪中宋简"/>
                <w:b/>
                <w:bCs/>
                <w:i w:val="0"/>
                <w:iCs w:val="0"/>
                <w:color w:val="000000"/>
                <w:sz w:val="21"/>
                <w:szCs w:val="21"/>
                <w:u w:val="none"/>
              </w:rPr>
            </w:pPr>
          </w:p>
        </w:tc>
        <w:tc>
          <w:tcPr>
            <w:tcW w:w="896"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70A805CD">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样本量</w:t>
            </w:r>
          </w:p>
        </w:tc>
        <w:tc>
          <w:tcPr>
            <w:tcW w:w="1494"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8889C9E">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 xml:space="preserve">575</w:t>
            </w:r>
          </w:p>
        </w:tc>
        <w:tc>
          <w:tcPr>
            <w:tcW w:w="1494"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18265E98">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 xml:space="preserve">528</w:t>
            </w:r>
          </w:p>
        </w:tc>
        <w:tc>
          <w:tcPr>
            <w:tcW w:w="1494"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7328D70">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71</w:t>
            </w:r>
          </w:p>
        </w:tc>
        <w:tc>
          <w:tcPr>
            <w:tcW w:w="1496"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3B4C423E">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0</w:t>
            </w:r>
          </w:p>
        </w:tc>
      </w:tr>
      <w:tr w14:paraId="7DBF7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824"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BB08899">
            <w:pPr>
              <w:jc w:val="center"/>
              <w:rPr>
                <w:rFonts w:hint="eastAsia" w:ascii="汉仪中宋简" w:hAnsi="汉仪中宋简" w:eastAsia="汉仪中宋简" w:cs="汉仪中宋简"/>
                <w:b/>
                <w:bCs/>
                <w:i w:val="0"/>
                <w:iCs w:val="0"/>
                <w:color w:val="000000"/>
                <w:sz w:val="21"/>
                <w:szCs w:val="21"/>
                <w:u w:val="none"/>
              </w:rPr>
            </w:pPr>
          </w:p>
        </w:tc>
        <w:tc>
          <w:tcPr>
            <w:tcW w:w="896"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742B846">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占比</w:t>
            </w:r>
          </w:p>
        </w:tc>
        <w:tc>
          <w:tcPr>
            <w:tcW w:w="1494"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F47C4A9">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 xml:space="preserve">49.00%</w:t>
            </w:r>
          </w:p>
        </w:tc>
        <w:tc>
          <w:tcPr>
            <w:tcW w:w="1494"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B0BF7C1">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 xml:space="preserve">45.00%</w:t>
            </w:r>
          </w:p>
        </w:tc>
        <w:tc>
          <w:tcPr>
            <w:tcW w:w="1494"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4B33F64">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6.00%</w:t>
            </w:r>
          </w:p>
        </w:tc>
        <w:tc>
          <w:tcPr>
            <w:tcW w:w="1496"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3F13929">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0.00%</w:t>
            </w:r>
          </w:p>
        </w:tc>
      </w:tr>
    </w:tbl>
    <w:p w14:paraId="0107EF0C">
      <w:pPr>
        <w:rPr>
          <w:rFonts w:hint="eastAsia" w:ascii="汉仪中宋简" w:hAnsi="汉仪中宋简" w:eastAsia="汉仪中宋简" w:cs="汉仪中宋简"/>
          <w:lang w:val="en-US" w:eastAsia="zh-CN"/>
        </w:rPr>
      </w:pPr>
    </w:p>
    <w:p w14:paraId="7DEDD867">
      <w:pPr>
        <w:keepNext w:val="0"/>
        <w:keepLines w:val="0"/>
        <w:pageBreakBefore w:val="0"/>
        <w:widowControl w:val="0"/>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b w:val="0"/>
          <w:kern w:val="2"/>
          <w:sz w:val="24"/>
          <w:szCs w:val="32"/>
          <w:lang w:val="en-US" w:eastAsia="zh-CN" w:bidi="ar-SA"/>
        </w:rPr>
        <w:jc w:val="both"/>
        <w:outlineLvl w:val="9"/>
        <w:textDirection w:val="lrTb"/>
      </w:pPr>
      <w:r>
        <w:rPr>
          <w:rFonts w:hint="eastAsia" w:ascii="汉仪中宋简" w:hAnsi="汉仪中宋简" w:eastAsia="汉仪中宋简" w:cs="汉仪中宋简"/>
          <w:b w:val="0"/>
          <w:kern w:val="2"/>
          <w:sz w:val="24"/>
          <w:szCs w:val="32"/>
          <w:lang w:val="en-US" w:eastAsia="zh-CN" w:bidi="ar-SA"/>
        </w:rPr>
        <w:t>调研结果呈现出极高的正向反馈比例。具体来看，44.95%的患者反馈血压能够稳定在正常范围，该部分患者通过规律服药实现了血压的精准管控，这是药物疗效达标的核心体现；48.96%的患者表示血压多数时间在正常范围，说明药物对该群体的血压调节具备持续有效性，仅在特殊生理状态或生活习惯波动时可能出现短暂波动，整体仍处于可控区间。两者合计占比高达93.91%，充分印证了厄贝沙坦氢氯噻嗪片作为复方降压药物的临床优势，其通过厄贝沙坦与氢氯噻嗪的协同作用，能够有效覆盖多数高血压患者的降压需求。此外，仅6.09%的患者存在血压偶尔超出正常范围的情况，无患者反馈血压持续失控，结合临床经验推测，该部分患者的血压波动可能与个体代谢差异、用药依从性细节偏差或生活方式干预不足相关，而非药物本身疗效不足，进一步说明该药物的整体疗效稳定性和可靠性。​</w:t>
      </w:r>
    </w:p>
    <w:p w14:paraId="095C7902">
      <w:pPr>
        <w:pStyle w:val="3"/>
        <w:pageBreakBefore w:val="0"/>
        <w:kinsoku/>
        <w:wordWrap/>
        <w:overflowPunct/>
        <w:topLinePunct w:val="0"/>
        <w:autoSpaceDE/>
        <w:autoSpaceDN/>
        <w:bidi w:val="0"/>
        <w:adjustRightInd/>
        <w:snapToGrid/>
        <w:spacing w:line="480" w:lineRule="auto"/>
        <w:rPr>
          <w:rFonts w:hint="eastAsia" w:ascii="汉仪中宋简" w:hAnsi="汉仪中宋简" w:eastAsia="汉仪中宋简" w:cs="汉仪中宋简"/>
          <w:highlight w:val="none"/>
          <w:lang w:val="en-US" w:eastAsia="zh-CN"/>
        </w:rPr>
      </w:pPr>
      <w:bookmarkStart w:id="16" w:name="_Toc4015"/>
      <w:r>
        <w:rPr>
          <w:rFonts w:hint="eastAsia" w:ascii="汉仪中宋简" w:hAnsi="汉仪中宋简" w:eastAsia="汉仪中宋简" w:cs="汉仪中宋简"/>
          <w:highlight w:val="none"/>
          <w:lang w:val="en-US" w:eastAsia="zh-CN"/>
        </w:rPr>
        <w:t>4.2药品安全性</w:t>
      </w:r>
      <w:bookmarkEnd w:id="16"/>
    </w:p>
    <w:p w14:paraId="24CF4E33">
      <w:r>
        <w:rPr>
          <w:rFonts w:ascii="汉仪中宋简" w:hAnsi="汉仪中宋简" w:eastAsia="汉仪中宋简"/>
          <w:sz w:val="24"/>
          <w:szCs w:val="24"/>
        </w:rPr>
        <w:t xml:space="preserve">头晕头痛不良反应分析</w:t>
      </w:r>
      <w:pPr>
        <w:pStyle w:val="4"/>
        <w:keepNext/>
        <w:keepLines/>
        <w:pageBreakBefore w:val="0"/>
        <w:widowControl w:val="0"/>
        <w:numPr>
          <w:ilvl w:val="0"/>
          <w:numId w:val="3"/>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jc w:val="left"/>
      </w:pP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29"/>
        <w:gridCol w:w="853"/>
        <w:gridCol w:w="1434"/>
        <w:gridCol w:w="1434"/>
        <w:gridCol w:w="1434"/>
        <w:gridCol w:w="1435"/>
      </w:tblGrid>
      <w:tr w14:paraId="4DC8D7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665E778">
            <w:r>
              <w:rPr/>
              <w:t xml:space="preserve">2.您服用厄贝沙坦氢氯噻嗪片期间，是否出现过头晕、头痛症状？</w:t>
            </w:r>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p>
        </w:tc>
        <w:tc>
          <w:tcPr>
            <w:tcW w:w="853"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6574017">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34"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F953B2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A.经常出现，症状严重</w:t>
            </w:r>
          </w:p>
        </w:tc>
        <w:tc>
          <w:tcPr>
            <w:tcW w:w="1434"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34203C61">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B.偶尔出现，症状轻微可忍受</w:t>
            </w:r>
          </w:p>
        </w:tc>
        <w:tc>
          <w:tcPr>
            <w:tcW w:w="1434"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12A777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C.很少出现，几乎无感觉</w:t>
            </w:r>
          </w:p>
        </w:tc>
        <w:tc>
          <w:tcPr>
            <w:tcW w:w="1435"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FDF4EA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D.从未出现过</w:t>
            </w:r>
          </w:p>
        </w:tc>
      </w:tr>
      <w:tr w14:paraId="1BFA2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29"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48B34AA1">
            <w:pPr>
              <w:jc w:val="center"/>
              <w:rPr>
                <w:rFonts w:hint="eastAsia" w:ascii="汉仪中宋简" w:hAnsi="汉仪中宋简" w:eastAsia="汉仪中宋简" w:cs="汉仪中宋简"/>
                <w:b/>
                <w:bCs/>
                <w:i w:val="0"/>
                <w:iCs w:val="0"/>
                <w:color w:val="000000"/>
                <w:sz w:val="21"/>
                <w:szCs w:val="21"/>
                <w:u w:val="none"/>
              </w:rPr>
            </w:pPr>
          </w:p>
        </w:tc>
        <w:tc>
          <w:tcPr>
            <w:tcW w:w="853"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5E9F0F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434"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23C697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0</w:t>
            </w:r>
          </w:p>
        </w:tc>
        <w:tc>
          <w:tcPr>
            <w:tcW w:w="1434"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B9E0C0D">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71</w:t>
            </w:r>
          </w:p>
        </w:tc>
        <w:tc>
          <w:tcPr>
            <w:tcW w:w="1434"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E0274C8">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558</w:t>
            </w:r>
          </w:p>
        </w:tc>
        <w:tc>
          <w:tcPr>
            <w:tcW w:w="1435"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43BC7926">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545</w:t>
            </w:r>
          </w:p>
        </w:tc>
      </w:tr>
      <w:tr w14:paraId="0F99E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29"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6F4FD79">
            <w:pPr>
              <w:jc w:val="center"/>
              <w:rPr>
                <w:rFonts w:hint="eastAsia" w:ascii="汉仪中宋简" w:hAnsi="汉仪中宋简" w:eastAsia="汉仪中宋简" w:cs="汉仪中宋简"/>
                <w:b/>
                <w:bCs/>
                <w:i w:val="0"/>
                <w:iCs w:val="0"/>
                <w:color w:val="000000"/>
                <w:sz w:val="21"/>
                <w:szCs w:val="21"/>
                <w:u w:val="none"/>
              </w:rPr>
            </w:pPr>
          </w:p>
        </w:tc>
        <w:tc>
          <w:tcPr>
            <w:tcW w:w="853"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BB906B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434"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C7C7E1D">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0.00%</w:t>
            </w:r>
          </w:p>
        </w:tc>
        <w:tc>
          <w:tcPr>
            <w:tcW w:w="1434"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44DC1ED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6.00%</w:t>
            </w:r>
          </w:p>
        </w:tc>
        <w:tc>
          <w:tcPr>
            <w:tcW w:w="1434"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07D4D820">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48.00%</w:t>
            </w:r>
          </w:p>
        </w:tc>
        <w:tc>
          <w:tcPr>
            <w:tcW w:w="1435"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747184C">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46.00%</w:t>
            </w:r>
          </w:p>
        </w:tc>
      </w:tr>
    </w:tbl>
    <w:p w14:paraId="67BFDFB0">
      <w:r>
        <w:rPr>
          <w:rFonts w:ascii="汉仪中宋简" w:hAnsi="汉仪中宋简" w:eastAsia="汉仪中宋简"/>
          <w:sz w:val="24"/>
          <w:szCs w:val="24"/>
        </w:rPr>
        <w:t xml:space="preserve">各选项合并起来观察后，本题更像是在描述患者群体的整体管理面貌，而不是单点问题。从百分比结构可观察到，"C.很少出现，几乎无感觉"以48.00%居于首位，"D.从未出现过"以46.00%紧随其后。</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lang w:val="en-US" w:eastAsia="zh-CN"/>
        </w:rPr>
        <w:jc w:val="both"/>
        <w:outlineLvl w:val="9"/>
        <w:textDirection w:val="lrTb"/>
      </w:pPr>
    </w:p>
    <w:p w14:paraId="08B2DF8A">
      <w:r>
        <w:rPr>
          <w:rFonts w:ascii="汉仪中宋简" w:hAnsi="汉仪中宋简" w:eastAsia="汉仪中宋简"/>
          <w:sz w:val="24"/>
          <w:szCs w:val="24"/>
        </w:rPr>
        <w:t xml:space="preserve">口渴多尿不良反应分析</w:t>
      </w:r>
      <w:pPr>
        <w:pStyle w:val="4"/>
        <w:keepNext/>
        <w:keepLines/>
        <w:pageBreakBefore w:val="0"/>
        <w:widowControl w:val="0"/>
        <w:numPr>
          <w:ilvl w:val="0"/>
          <w:numId w:val="3"/>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jc w:val="left"/>
      </w:pPr>
    </w:p>
    <w:p w14:paraId="22E10E77">
      <w:pPr>
        <w:rPr>
          <w:rFonts w:hint="eastAsia" w:ascii="汉仪中宋简" w:hAnsi="汉仪中宋简" w:eastAsia="汉仪中宋简" w:cs="汉仪中宋简"/>
          <w:lang w:val="en-US" w:eastAsia="zh-CN"/>
        </w:rPr>
      </w:pPr>
    </w:p>
    <w:p w14:paraId="692990EB">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lang w:val="en-US" w:eastAsia="zh-CN"/>
        </w:rPr>
        <w:jc w:val="both"/>
        <w:outlineLvl w:val="9"/>
        <w:textDirection w:val="lrTb"/>
      </w:pPr>
      <w:r>
        <w:rPr>
          <w:rFonts w:hint="eastAsia" w:ascii="汉仪中宋简" w:hAnsi="汉仪中宋简" w:eastAsia="汉仪中宋简" w:cs="汉仪中宋简"/>
          <w:sz w:val="24"/>
          <w:szCs w:val="32"/>
          <w:lang w:val="en-US" w:eastAsia="zh-CN"/>
        </w:rPr>
        <w:t>氢氯噻嗪作为利尿剂，其作用机制可能导致尿量增加，进而引发口渴感，这是该类成分常见的潜在不良反应，也是评估药物剂量配比科学性的重要指标。本次调研结果显示，45.86%的患者从未出现口渴、多尿情况，48.05%的患者很少出现且几乎不察觉，合计占比达93.91%，说明该药物的剂量配比经过科学优化，能够在充分发挥利尿剂降压作用的同时，最大限度降低其对患者水电解质平衡的影响，减少不良反应发生。仅6.09%的患者偶尔出现相关症状且无明显影响，进一步佐证了患者对该药物的良好耐受性，也体现了复方制剂协同作用的优势，兼顾疗效与安全性。</w:t>
      </w:r>
    </w:p>
    <w:p w14:paraId="12A7EA35">
      <w:pPr>
        <w:pStyle w:val="3"/>
        <w:pageBreakBefore w:val="0"/>
        <w:kinsoku/>
        <w:wordWrap/>
        <w:overflowPunct/>
        <w:topLinePunct w:val="0"/>
        <w:autoSpaceDE/>
        <w:autoSpaceDN/>
        <w:bidi w:val="0"/>
        <w:adjustRightInd/>
        <w:snapToGrid/>
        <w:spacing w:line="480" w:lineRule="auto"/>
        <w:rPr>
          <w:rFonts w:hint="eastAsia" w:ascii="汉仪中宋简" w:hAnsi="汉仪中宋简" w:eastAsia="汉仪中宋简" w:cs="汉仪中宋简"/>
          <w:lang w:val="en-US" w:eastAsia="zh-CN"/>
        </w:rPr>
      </w:pPr>
      <w:bookmarkStart w:id="17" w:name="_Toc4788"/>
      <w:r>
        <w:rPr>
          <w:rFonts w:hint="eastAsia" w:ascii="汉仪中宋简" w:hAnsi="汉仪中宋简" w:eastAsia="汉仪中宋简" w:cs="汉仪中宋简"/>
          <w:lang w:val="en-US" w:eastAsia="zh-CN"/>
        </w:rPr>
        <w:t>4.3用药行为与习惯​</w:t>
      </w:r>
      <w:bookmarkEnd w:id="17"/>
    </w:p>
    <w:p w14:paraId="6C112BBD">
      <w:r>
        <w:rPr>
          <w:rFonts w:ascii="汉仪中宋简" w:hAnsi="汉仪中宋简" w:eastAsia="汉仪中宋简"/>
          <w:sz w:val="24"/>
          <w:szCs w:val="24"/>
        </w:rPr>
        <w:t xml:space="preserve">购药渠道分析</w:t>
      </w:r>
      <w:pPr>
        <w:pStyle w:val="4"/>
        <w:keepNext/>
        <w:keepLines/>
        <w:pageBreakBefore w:val="0"/>
        <w:widowControl w:val="0"/>
        <w:numPr>
          <w:ilvl w:val="0"/>
          <w:numId w:val="4"/>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jc w:val="left"/>
      </w:pPr>
    </w:p>
    <w:p w14:paraId="084DF769">
      <w:r>
        <w:rPr>
          <w:rFonts w:ascii="汉仪中宋简" w:hAnsi="汉仪中宋简" w:eastAsia="汉仪中宋简"/>
          <w:sz w:val="24"/>
          <w:szCs w:val="24"/>
        </w:rPr>
        <w:t xml:space="preserve">结合各选项占比结构，这一题反映出的核心结论比较清晰，重点在于从比例分布看，患者反馈主要集中在"A.医院药房"和"B.线下连锁药店"两类感受，分别占36.00%和27.00%。</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lang w:val="en-US" w:eastAsia="zh-CN"/>
        </w:rPr>
        <w:jc w:val="both"/>
        <w:outlineLvl w:val="9"/>
        <w:textDirection w:val="lrTb"/>
      </w:pPr>
    </w:p>
    <w:p w14:paraId="613F0823">
      <w:r>
        <w:rPr>
          <w:rFonts w:ascii="汉仪中宋简" w:hAnsi="汉仪中宋简" w:eastAsia="汉仪中宋简"/>
          <w:sz w:val="24"/>
          <w:szCs w:val="24"/>
        </w:rPr>
        <w:t xml:space="preserve">剂量遵循情况分析</w:t>
      </w:r>
      <w:pPr>
        <w:pStyle w:val="4"/>
        <w:keepNext/>
        <w:keepLines/>
        <w:pageBreakBefore w:val="0"/>
        <w:widowControl w:val="0"/>
        <w:numPr>
          <w:ilvl w:val="0"/>
          <w:numId w:val="4"/>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jc w:val="left"/>
      </w:pP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13"/>
        <w:gridCol w:w="1000"/>
        <w:gridCol w:w="1426"/>
        <w:gridCol w:w="1426"/>
        <w:gridCol w:w="1426"/>
        <w:gridCol w:w="1428"/>
      </w:tblGrid>
      <w:tr w14:paraId="536F86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93" w:hRule="atLeast"/>
        </w:trPr>
        <w:tc>
          <w:tcPr>
            <w:tcW w:w="1813"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392A41A">
            <w:r>
              <w:rPr/>
              <w:t xml:space="preserve">6.您服用厄贝沙坦氢氯噻嗪片的剂量是否严格按照医嘱？</w:t>
            </w:r>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p>
        </w:tc>
        <w:tc>
          <w:tcPr>
            <w:tcW w:w="1000"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968C00F">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26"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318738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A.始终严格遵守</w:t>
            </w:r>
          </w:p>
        </w:tc>
        <w:tc>
          <w:tcPr>
            <w:tcW w:w="1426"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5489B5E">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B.大部分时间遵守，偶尔微调</w:t>
            </w:r>
          </w:p>
        </w:tc>
        <w:tc>
          <w:tcPr>
            <w:tcW w:w="1426"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BFF562F">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C.经常根据自身感觉调整</w:t>
            </w:r>
          </w:p>
        </w:tc>
        <w:tc>
          <w:tcPr>
            <w:tcW w:w="142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1E7F137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D.从未按规定剂量服用</w:t>
            </w:r>
          </w:p>
        </w:tc>
      </w:tr>
      <w:tr w14:paraId="24D78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7" w:hRule="atLeast"/>
        </w:trPr>
        <w:tc>
          <w:tcPr>
            <w:tcW w:w="1813"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895E5C4">
            <w:pPr>
              <w:jc w:val="center"/>
              <w:rPr>
                <w:rFonts w:hint="eastAsia" w:ascii="汉仪中宋简" w:hAnsi="汉仪中宋简" w:eastAsia="汉仪中宋简" w:cs="汉仪中宋简"/>
                <w:b/>
                <w:bCs/>
                <w:i w:val="0"/>
                <w:iCs w:val="0"/>
                <w:color w:val="000000"/>
                <w:sz w:val="21"/>
                <w:szCs w:val="21"/>
                <w:u w:val="none"/>
              </w:rPr>
            </w:pPr>
          </w:p>
        </w:tc>
        <w:tc>
          <w:tcPr>
            <w:tcW w:w="1000"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63DF4FC">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426"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C35548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387</w:t>
            </w:r>
          </w:p>
        </w:tc>
        <w:tc>
          <w:tcPr>
            <w:tcW w:w="1426"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B20945E">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645</w:t>
            </w:r>
          </w:p>
        </w:tc>
        <w:tc>
          <w:tcPr>
            <w:tcW w:w="1426"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9D8CF2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117</w:t>
            </w:r>
          </w:p>
        </w:tc>
        <w:tc>
          <w:tcPr>
            <w:tcW w:w="142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D9BD7EE">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25</w:t>
            </w:r>
          </w:p>
        </w:tc>
      </w:tr>
      <w:tr w14:paraId="530FC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7" w:hRule="atLeast"/>
        </w:trPr>
        <w:tc>
          <w:tcPr>
            <w:tcW w:w="1813"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69FC243">
            <w:pPr>
              <w:jc w:val="center"/>
              <w:rPr>
                <w:rFonts w:hint="eastAsia" w:ascii="汉仪中宋简" w:hAnsi="汉仪中宋简" w:eastAsia="汉仪中宋简" w:cs="汉仪中宋简"/>
                <w:b/>
                <w:bCs/>
                <w:i w:val="0"/>
                <w:iCs w:val="0"/>
                <w:color w:val="000000"/>
                <w:sz w:val="21"/>
                <w:szCs w:val="21"/>
                <w:u w:val="none"/>
              </w:rPr>
            </w:pPr>
          </w:p>
        </w:tc>
        <w:tc>
          <w:tcPr>
            <w:tcW w:w="1000"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0C10716C">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426"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0A01A1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33.00%</w:t>
            </w:r>
          </w:p>
        </w:tc>
        <w:tc>
          <w:tcPr>
            <w:tcW w:w="1426"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4C082526">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55.00%</w:t>
            </w:r>
          </w:p>
        </w:tc>
        <w:tc>
          <w:tcPr>
            <w:tcW w:w="1426"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50A93EB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10.00%</w:t>
            </w:r>
          </w:p>
        </w:tc>
        <w:tc>
          <w:tcPr>
            <w:tcW w:w="142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C890DC9">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 xml:space="preserve">2.00%</w:t>
            </w:r>
          </w:p>
        </w:tc>
      </w:tr>
    </w:tbl>
    <w:p w14:paraId="7A23ED7B">
      <w:pPr>
        <w:rPr>
          <w:rFonts w:hint="eastAsia" w:ascii="汉仪中宋简" w:hAnsi="汉仪中宋简" w:eastAsia="汉仪中宋简" w:cs="汉仪中宋简"/>
          <w:lang w:val="en-US" w:eastAsia="zh-CN"/>
        </w:rPr>
      </w:pPr>
    </w:p>
    <w:p w14:paraId="5022CDFD">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lang w:val="en-US" w:eastAsia="zh-CN"/>
        </w:rPr>
        <w:jc w:val="both"/>
        <w:outlineLvl w:val="9"/>
        <w:textDirection w:val="lrTb"/>
      </w:pPr>
      <w:r>
        <w:rPr>
          <w:rFonts w:hint="eastAsia" w:ascii="汉仪中宋简" w:hAnsi="汉仪中宋简" w:eastAsia="汉仪中宋简" w:cs="汉仪中宋简"/>
          <w:sz w:val="24"/>
          <w:szCs w:val="32"/>
          <w:lang w:val="en-US" w:eastAsia="zh-CN"/>
        </w:rPr>
        <w:t>剂量遵医嘱情况是影响高血压治疗效果的关键因素，擅自调整剂量易导致血压波动，增加心脑血管并发症风险。调研结果显示，46.95%的患者能够始终严格遵守医嘱用药，31.97%的患者大部分时间遵守、仅偶尔微调，两者合计占比78.92%，说明多数患者具备基本的规范用药意识。但仍有21.08%的患者存在不规范用药情况，其中15.96%的患者经常根据自身感觉调整剂量，5.12%的患者从未按规定剂量服用，这类行为可能导致血压控制不佳或出现不良反应，是后续用药指导干预的重点群体。​</w:t>
      </w:r>
    </w:p>
    <w:p w14:paraId="2EA2B37B">
      <w:pPr>
        <w:pStyle w:val="4"/>
        <w:keepNext/>
        <w:keepLines/>
        <w:pageBreakBefore w:val="0"/>
        <w:widowControl w:val="0"/>
        <w:numPr>
          <w:ilvl w:val="0"/>
          <w:numId w:val="4"/>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联合用药情况分析</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29"/>
        <w:gridCol w:w="978"/>
        <w:gridCol w:w="1403"/>
        <w:gridCol w:w="1403"/>
        <w:gridCol w:w="1548"/>
        <w:gridCol w:w="1258"/>
      </w:tblGrid>
      <w:tr w14:paraId="329963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1F303C46">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8.您服用厄贝沙坦氢氯噻嗪片期间，是否同时服用其他降压药物？</w:t>
            </w:r>
          </w:p>
        </w:tc>
        <w:tc>
          <w:tcPr>
            <w:tcW w:w="97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12C8440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03"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04871DB">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A.同时服用 1 种其他降压药</w:t>
            </w:r>
          </w:p>
        </w:tc>
        <w:tc>
          <w:tcPr>
            <w:tcW w:w="1403"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4A10D4ED">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B.同时服用 2 种及以上其他降压药</w:t>
            </w:r>
          </w:p>
        </w:tc>
        <w:tc>
          <w:tcPr>
            <w:tcW w:w="154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217FE39">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C.同时服用降压药及其他疾病治疗药物</w:t>
            </w:r>
          </w:p>
        </w:tc>
        <w:tc>
          <w:tcPr>
            <w:tcW w:w="125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5CBCF2B">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D.仅服用该药物</w:t>
            </w:r>
          </w:p>
        </w:tc>
      </w:tr>
      <w:tr w14:paraId="68E8AF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838B876">
            <w:pPr>
              <w:jc w:val="center"/>
              <w:rPr>
                <w:rFonts w:hint="eastAsia" w:ascii="汉仪中宋简" w:hAnsi="汉仪中宋简" w:eastAsia="汉仪中宋简" w:cs="汉仪中宋简"/>
                <w:b/>
                <w:bCs/>
                <w:i w:val="0"/>
                <w:iCs w:val="0"/>
                <w:color w:val="000000"/>
                <w:sz w:val="21"/>
                <w:szCs w:val="21"/>
                <w:u w:val="none"/>
              </w:rPr>
            </w:pPr>
          </w:p>
        </w:tc>
        <w:tc>
          <w:tcPr>
            <w:tcW w:w="97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168AA940">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403"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78C72770">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246</w:t>
            </w:r>
          </w:p>
        </w:tc>
        <w:tc>
          <w:tcPr>
            <w:tcW w:w="1403"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93ED2EE">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180</w:t>
            </w:r>
          </w:p>
        </w:tc>
        <w:tc>
          <w:tcPr>
            <w:tcW w:w="154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412F88EC">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410</w:t>
            </w:r>
          </w:p>
        </w:tc>
        <w:tc>
          <w:tcPr>
            <w:tcW w:w="125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411F76F5">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806</w:t>
            </w:r>
          </w:p>
        </w:tc>
      </w:tr>
      <w:tr w14:paraId="790246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2D10F13">
            <w:pPr>
              <w:jc w:val="center"/>
              <w:rPr>
                <w:rFonts w:hint="eastAsia" w:ascii="汉仪中宋简" w:hAnsi="汉仪中宋简" w:eastAsia="汉仪中宋简" w:cs="汉仪中宋简"/>
                <w:b/>
                <w:bCs/>
                <w:i w:val="0"/>
                <w:iCs w:val="0"/>
                <w:color w:val="000000"/>
                <w:sz w:val="21"/>
                <w:szCs w:val="21"/>
                <w:u w:val="none"/>
              </w:rPr>
            </w:pPr>
          </w:p>
        </w:tc>
        <w:tc>
          <w:tcPr>
            <w:tcW w:w="97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DA2ECD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403"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5D2EF81">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14.98%</w:t>
            </w:r>
          </w:p>
        </w:tc>
        <w:tc>
          <w:tcPr>
            <w:tcW w:w="1403"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52635368">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10.96%</w:t>
            </w:r>
          </w:p>
        </w:tc>
        <w:tc>
          <w:tcPr>
            <w:tcW w:w="154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282FC8F">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24.97%</w:t>
            </w:r>
          </w:p>
        </w:tc>
        <w:tc>
          <w:tcPr>
            <w:tcW w:w="125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10981D8">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49.09%</w:t>
            </w:r>
          </w:p>
        </w:tc>
      </w:tr>
    </w:tbl>
    <w:p w14:paraId="756D313A">
      <w:pPr>
        <w:rPr>
          <w:rFonts w:hint="eastAsia" w:ascii="汉仪中宋简" w:hAnsi="汉仪中宋简" w:eastAsia="汉仪中宋简" w:cs="汉仪中宋简"/>
          <w:lang w:val="en-US" w:eastAsia="zh-CN"/>
        </w:rPr>
      </w:pPr>
    </w:p>
    <w:p w14:paraId="020B70D7">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lang w:val="en-US" w:eastAsia="zh-CN"/>
        </w:rPr>
        <w:jc w:val="both"/>
        <w:outlineLvl w:val="9"/>
        <w:textDirection w:val="lrTb"/>
      </w:pPr>
      <w:r>
        <w:rPr>
          <w:rFonts w:hint="eastAsia" w:ascii="汉仪中宋简" w:hAnsi="汉仪中宋简" w:eastAsia="汉仪中宋简" w:cs="汉仪中宋简"/>
          <w:sz w:val="24"/>
          <w:szCs w:val="32"/>
          <w:lang w:val="en-US" w:eastAsia="zh-CN"/>
        </w:rPr>
        <w:t>联合用药情况反映了患者病情复杂程度与药物适用范围。调研显示，49.09%的患者仅服用该药物即可实现血压控制，说明该药物对近半数高血压患者具备足够的降压效能，无需联合其他药物；14.98%的患者同时服用1种其他降压药，10.96%的患者同时服用2种及以上其他降压药，表明部分患者病情相对复杂，单一复方制剂无法满足降压需求；24.97%的患者同时服用降压药及其他疾病治疗药物，提示该部分患者可能合并糖尿病、冠心病等其他慢性疾病，用药方案需兼顾多疾病治疗需求，避免药物相互作用风险。</w:t>
      </w:r>
    </w:p>
    <w:p w14:paraId="24B14632">
      <w:pPr>
        <w:pStyle w:val="4"/>
        <w:keepNext/>
        <w:keepLines/>
        <w:pageBreakBefore w:val="0"/>
        <w:widowControl w:val="0"/>
        <w:numPr>
          <w:ilvl w:val="0"/>
          <w:numId w:val="4"/>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联合用药咨询情况分析</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29"/>
        <w:gridCol w:w="999"/>
        <w:gridCol w:w="1397"/>
        <w:gridCol w:w="1397"/>
        <w:gridCol w:w="1397"/>
        <w:gridCol w:w="1400"/>
      </w:tblGrid>
      <w:tr w14:paraId="563C6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47BB59F0">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9.您是否咨询过医生，确认厄贝沙坦氢氯噻嗪片与其他药物可同时服用？</w:t>
            </w:r>
          </w:p>
        </w:tc>
        <w:tc>
          <w:tcPr>
            <w:tcW w:w="99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F3BD218">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39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82AF121">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A.专门咨询过，确认无冲突</w:t>
            </w:r>
          </w:p>
        </w:tc>
        <w:tc>
          <w:tcPr>
            <w:tcW w:w="139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B133FB0">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B.简单询问过，大致了解</w:t>
            </w:r>
          </w:p>
        </w:tc>
        <w:tc>
          <w:tcPr>
            <w:tcW w:w="139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4B7028C">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C.没咨询过，但认为无问题</w:t>
            </w:r>
          </w:p>
        </w:tc>
        <w:tc>
          <w:tcPr>
            <w:tcW w:w="1400"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88A1E47">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D.没咨询过，不清楚是否有冲突</w:t>
            </w:r>
          </w:p>
        </w:tc>
      </w:tr>
      <w:tr w14:paraId="6CE5EC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3B23E40">
            <w:pPr>
              <w:jc w:val="center"/>
              <w:rPr>
                <w:rFonts w:hint="eastAsia" w:ascii="汉仪中宋简" w:hAnsi="汉仪中宋简" w:eastAsia="汉仪中宋简" w:cs="汉仪中宋简"/>
                <w:b/>
                <w:bCs/>
                <w:i w:val="0"/>
                <w:iCs w:val="0"/>
                <w:color w:val="000000"/>
                <w:sz w:val="21"/>
                <w:szCs w:val="21"/>
                <w:u w:val="none"/>
              </w:rPr>
            </w:pPr>
          </w:p>
        </w:tc>
        <w:tc>
          <w:tcPr>
            <w:tcW w:w="99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D04F4A6">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39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3C4FDD0D">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421</w:t>
            </w:r>
          </w:p>
        </w:tc>
        <w:tc>
          <w:tcPr>
            <w:tcW w:w="139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7F015C06">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415</w:t>
            </w:r>
          </w:p>
        </w:tc>
        <w:tc>
          <w:tcPr>
            <w:tcW w:w="139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93E7444">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471</w:t>
            </w:r>
          </w:p>
        </w:tc>
        <w:tc>
          <w:tcPr>
            <w:tcW w:w="1400"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494A1DA">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335</w:t>
            </w:r>
          </w:p>
        </w:tc>
      </w:tr>
      <w:tr w14:paraId="0D8066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CCF6ED0">
            <w:pPr>
              <w:jc w:val="center"/>
              <w:rPr>
                <w:rFonts w:hint="eastAsia" w:ascii="汉仪中宋简" w:hAnsi="汉仪中宋简" w:eastAsia="汉仪中宋简" w:cs="汉仪中宋简"/>
                <w:b/>
                <w:bCs/>
                <w:i w:val="0"/>
                <w:iCs w:val="0"/>
                <w:color w:val="000000"/>
                <w:sz w:val="21"/>
                <w:szCs w:val="21"/>
                <w:u w:val="none"/>
              </w:rPr>
            </w:pPr>
          </w:p>
        </w:tc>
        <w:tc>
          <w:tcPr>
            <w:tcW w:w="99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4265DD2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39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5558B287">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25.64%</w:t>
            </w:r>
          </w:p>
        </w:tc>
        <w:tc>
          <w:tcPr>
            <w:tcW w:w="139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4D0B4067">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25.27%</w:t>
            </w:r>
          </w:p>
        </w:tc>
        <w:tc>
          <w:tcPr>
            <w:tcW w:w="139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DF975E6">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28.68%</w:t>
            </w:r>
          </w:p>
        </w:tc>
        <w:tc>
          <w:tcPr>
            <w:tcW w:w="1400"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74D1E88">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20.41%</w:t>
            </w:r>
          </w:p>
        </w:tc>
      </w:tr>
    </w:tbl>
    <w:p w14:paraId="4FB33A41">
      <w:pPr>
        <w:rPr>
          <w:rFonts w:hint="eastAsia" w:ascii="汉仪中宋简" w:hAnsi="汉仪中宋简" w:eastAsia="汉仪中宋简" w:cs="汉仪中宋简"/>
          <w:lang w:val="en-US" w:eastAsia="zh-CN"/>
        </w:rPr>
      </w:pPr>
    </w:p>
    <w:p w14:paraId="4B5CE049">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lang w:val="en-US" w:eastAsia="zh-CN"/>
        </w:rPr>
        <w:jc w:val="both"/>
        <w:outlineLvl w:val="9"/>
        <w:textDirection w:val="lrTb"/>
      </w:pPr>
      <w:r>
        <w:rPr>
          <w:rFonts w:hint="eastAsia" w:ascii="汉仪中宋简" w:hAnsi="汉仪中宋简" w:eastAsia="汉仪中宋简" w:cs="汉仪中宋简"/>
          <w:sz w:val="24"/>
          <w:szCs w:val="32"/>
          <w:lang w:val="en-US" w:eastAsia="zh-CN"/>
        </w:rPr>
        <w:t>药物相互作用是联合用药安全的核心关注点，咨询医生是规避该风险的关键途径。调研结果显示，仅25.64%的患者专门咨询过医生并确认无冲突，25.27%的患者简单询问过并大致了解，两者合计仅50.91%的患者对联合用药安全性进行过主动确认。而28.68%的患者未咨询过但主观认为无问题，20.41%的患者未咨询过且不清楚是否存在冲突，近半数患者对药物相互作用的关注度不足，存在潜在用药安全隐患，需通过强化用药指导予以纠正。</w:t>
      </w:r>
    </w:p>
    <w:p w14:paraId="74646D95">
      <w:pPr>
        <w:pStyle w:val="4"/>
        <w:keepNext/>
        <w:keepLines/>
        <w:pageBreakBefore w:val="0"/>
        <w:widowControl w:val="0"/>
        <w:numPr>
          <w:ilvl w:val="0"/>
          <w:numId w:val="4"/>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血压监测频率分析</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61"/>
        <w:gridCol w:w="1052"/>
        <w:gridCol w:w="1426"/>
        <w:gridCol w:w="1502"/>
        <w:gridCol w:w="1500"/>
        <w:gridCol w:w="1278"/>
      </w:tblGrid>
      <w:tr w14:paraId="77D004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761"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1307BB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11.您服用厄贝沙坦氢氯噻嗪片期间，是否定期监测血压？</w:t>
            </w:r>
          </w:p>
        </w:tc>
        <w:tc>
          <w:tcPr>
            <w:tcW w:w="1052"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E53C28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26"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1B8BCD80">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A.每天监测，记录详细数据</w:t>
            </w:r>
          </w:p>
        </w:tc>
        <w:tc>
          <w:tcPr>
            <w:tcW w:w="1502"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DC44025">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B.每周监测 2-3 次，了解大致情况</w:t>
            </w:r>
          </w:p>
        </w:tc>
        <w:tc>
          <w:tcPr>
            <w:tcW w:w="1500"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4B91EB9">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C.偶尔监测，无固定频率</w:t>
            </w:r>
          </w:p>
        </w:tc>
        <w:tc>
          <w:tcPr>
            <w:tcW w:w="127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C6411A5">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D.从未监测</w:t>
            </w:r>
          </w:p>
        </w:tc>
      </w:tr>
      <w:tr w14:paraId="613F64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761"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2191697">
            <w:pPr>
              <w:jc w:val="center"/>
              <w:rPr>
                <w:rFonts w:hint="eastAsia" w:ascii="汉仪中宋简" w:hAnsi="汉仪中宋简" w:eastAsia="汉仪中宋简" w:cs="汉仪中宋简"/>
                <w:b/>
                <w:bCs/>
                <w:i w:val="0"/>
                <w:iCs w:val="0"/>
                <w:color w:val="000000"/>
                <w:sz w:val="21"/>
                <w:szCs w:val="21"/>
                <w:u w:val="none"/>
              </w:rPr>
            </w:pPr>
          </w:p>
        </w:tc>
        <w:tc>
          <w:tcPr>
            <w:tcW w:w="1052"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136AE021">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426"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169A652">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410</w:t>
            </w:r>
          </w:p>
        </w:tc>
        <w:tc>
          <w:tcPr>
            <w:tcW w:w="1502"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F609813">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607</w:t>
            </w:r>
          </w:p>
        </w:tc>
        <w:tc>
          <w:tcPr>
            <w:tcW w:w="1500"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481E65A">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246</w:t>
            </w:r>
          </w:p>
        </w:tc>
        <w:tc>
          <w:tcPr>
            <w:tcW w:w="127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3094C872">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379</w:t>
            </w:r>
          </w:p>
        </w:tc>
      </w:tr>
      <w:tr w14:paraId="73A176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761"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BEEE492">
            <w:pPr>
              <w:jc w:val="center"/>
              <w:rPr>
                <w:rFonts w:hint="eastAsia" w:ascii="汉仪中宋简" w:hAnsi="汉仪中宋简" w:eastAsia="汉仪中宋简" w:cs="汉仪中宋简"/>
                <w:b/>
                <w:bCs/>
                <w:i w:val="0"/>
                <w:iCs w:val="0"/>
                <w:color w:val="000000"/>
                <w:sz w:val="21"/>
                <w:szCs w:val="21"/>
                <w:u w:val="none"/>
              </w:rPr>
            </w:pPr>
          </w:p>
        </w:tc>
        <w:tc>
          <w:tcPr>
            <w:tcW w:w="1052"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3876140">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426"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CE3402D">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24.97%</w:t>
            </w:r>
          </w:p>
        </w:tc>
        <w:tc>
          <w:tcPr>
            <w:tcW w:w="1502"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79CC8D0">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36.97%</w:t>
            </w:r>
          </w:p>
        </w:tc>
        <w:tc>
          <w:tcPr>
            <w:tcW w:w="1500"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A518BDB">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14.98%</w:t>
            </w:r>
          </w:p>
        </w:tc>
        <w:tc>
          <w:tcPr>
            <w:tcW w:w="127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E1266FC">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23.08%</w:t>
            </w:r>
          </w:p>
        </w:tc>
      </w:tr>
    </w:tbl>
    <w:p w14:paraId="131B88BA">
      <w:pPr>
        <w:rPr>
          <w:rFonts w:hint="eastAsia" w:ascii="汉仪中宋简" w:hAnsi="汉仪中宋简" w:eastAsia="汉仪中宋简" w:cs="汉仪中宋简"/>
          <w:lang w:val="en-US" w:eastAsia="zh-CN"/>
        </w:rPr>
      </w:pPr>
    </w:p>
    <w:p w14:paraId="65C60A08">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lang w:val="en-US" w:eastAsia="zh-CN"/>
        </w:rPr>
        <w:jc w:val="both"/>
        <w:outlineLvl w:val="9"/>
        <w:textDirection w:val="lrTb"/>
      </w:pPr>
      <w:r>
        <w:rPr>
          <w:rFonts w:hint="eastAsia" w:ascii="汉仪中宋简" w:hAnsi="汉仪中宋简" w:eastAsia="汉仪中宋简" w:cs="汉仪中宋简"/>
          <w:sz w:val="24"/>
          <w:szCs w:val="32"/>
          <w:lang w:val="en-US" w:eastAsia="zh-CN"/>
        </w:rPr>
        <w:t>定期监测血压是评估用药效果、及时调整治疗方案的重要依据。调研显示，24.97%的患者每天监测并记录详细数据，36.97%的患者每周监测2-3次以了解大致情况，两者合计61.94%的患者能够定期监测血压，为治疗方案优化提供了数据支撑。但仍有38.06%的患者监测频率不足，其中14.98%的患者偶尔监测、无固定频率，23.08%的患者从未监测，这类患者无法及时掌握血压控制情况，难以发现潜在的血压波动风险，不利于治疗方案的精准调整。</w:t>
      </w:r>
    </w:p>
    <w:p w14:paraId="210ED651">
      <w:pPr>
        <w:pStyle w:val="3"/>
        <w:pageBreakBefore w:val="0"/>
        <w:kinsoku/>
        <w:wordWrap/>
        <w:overflowPunct/>
        <w:topLinePunct w:val="0"/>
        <w:autoSpaceDE/>
        <w:autoSpaceDN/>
        <w:bidi w:val="0"/>
        <w:adjustRightInd/>
        <w:snapToGrid/>
        <w:spacing w:line="480" w:lineRule="auto"/>
        <w:rPr>
          <w:rFonts w:hint="eastAsia" w:ascii="汉仪中宋简" w:hAnsi="汉仪中宋简" w:eastAsia="汉仪中宋简" w:cs="汉仪中宋简"/>
          <w:lang w:val="en-US" w:eastAsia="zh-CN"/>
        </w:rPr>
      </w:pPr>
      <w:bookmarkStart w:id="18" w:name="_Toc26585"/>
      <w:r>
        <w:rPr>
          <w:rFonts w:hint="eastAsia" w:ascii="汉仪中宋简" w:hAnsi="汉仪中宋简" w:eastAsia="汉仪中宋简" w:cs="汉仪中宋简"/>
          <w:lang w:val="en-US" w:eastAsia="zh-CN"/>
        </w:rPr>
        <w:t>4.4用药便利性</w:t>
      </w:r>
      <w:bookmarkEnd w:id="18"/>
    </w:p>
    <w:p w14:paraId="590C4B7E">
      <w:r>
        <w:rPr>
          <w:rFonts w:ascii="汉仪中宋简" w:hAnsi="汉仪中宋简" w:eastAsia="汉仪中宋简"/>
          <w:sz w:val="24"/>
          <w:szCs w:val="24"/>
        </w:rPr>
        <w:t xml:space="preserve">服药频率满意度分析</w:t>
      </w:r>
      <w:pPr>
        <w:pStyle w:val="4"/>
        <w:keepNext/>
        <w:keepLines/>
        <w:pageBreakBefore w:val="0"/>
        <w:widowControl w:val="0"/>
        <w:numPr>
          <w:ilvl w:val="0"/>
          <w:numId w:val="5"/>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jc w:val="left"/>
      </w:pPr>
    </w:p>
    <w:p w14:paraId="3A81E758">
      <w:pPr>
        <w:rPr>
          <w:rFonts w:hint="eastAsia" w:ascii="汉仪中宋简" w:hAnsi="汉仪中宋简" w:eastAsia="汉仪中宋简" w:cs="汉仪中宋简"/>
          <w:lang w:val="en-US" w:eastAsia="zh-CN"/>
        </w:rPr>
      </w:pPr>
    </w:p>
    <w:p w14:paraId="379417FC">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lang w:val="en-US" w:eastAsia="zh-CN"/>
        </w:rPr>
        <w:jc w:val="both"/>
        <w:outlineLvl w:val="9"/>
        <w:textDirection w:val="lrTb"/>
      </w:pPr>
      <w:r>
        <w:rPr>
          <w:rFonts w:hint="eastAsia" w:ascii="汉仪中宋简" w:hAnsi="汉仪中宋简" w:eastAsia="汉仪中宋简" w:cs="汉仪中宋简"/>
          <w:sz w:val="24"/>
          <w:szCs w:val="32"/>
          <w:lang w:val="en-US" w:eastAsia="zh-CN"/>
        </w:rPr>
        <w:t>服药频率直接影响患者用药依从性，尤其对于需长期用药的高血压患者，科学的服药频率应与患者生活节奏相契合。调研结果显示，54.75%的患者认为服药频率很合适，能够轻松按要求服药，反馈该频率与自身作息安排高度适配，不会因服药打乱日常规划；39.16%的患者认为频率还可以，未对生活造成困扰，说明即使部分患者对服药频率有轻微感知，但未形成实际负担。两者合计占比93.91%，仅6.09%的患者认为频率稍高、偶尔记不清，无患者反馈无法适应，充分说明该药物的服药频率设计科学合理，符合绝大多数患者的生活习惯，能够有效提升用药依从性。</w:t>
      </w:r>
    </w:p>
    <w:p w14:paraId="75165838">
      <w:pPr>
        <w:pStyle w:val="4"/>
        <w:keepNext/>
        <w:keepLines/>
        <w:pageBreakBefore w:val="0"/>
        <w:widowControl w:val="0"/>
        <w:numPr>
          <w:ilvl w:val="0"/>
          <w:numId w:val="5"/>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药品包装便利性分析</w:t>
      </w:r>
    </w:p>
    <w:tbl>
      <w:tblPr>
        <w:tblStyle w:val="10"/>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92"/>
        <w:gridCol w:w="951"/>
        <w:gridCol w:w="1493"/>
        <w:gridCol w:w="1493"/>
        <w:gridCol w:w="1493"/>
        <w:gridCol w:w="1495"/>
      </w:tblGrid>
      <w:tr w14:paraId="4DA3B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92"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DF85B5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12.您对厄贝沙坦氢氯噻嗪片药品包装的便利性评价如何？</w:t>
            </w:r>
          </w:p>
        </w:tc>
        <w:tc>
          <w:tcPr>
            <w:tcW w:w="951"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1893327">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93"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57EB0F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A.储存、取用都方便</w:t>
            </w:r>
          </w:p>
        </w:tc>
        <w:tc>
          <w:tcPr>
            <w:tcW w:w="1493"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E1F826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B.基本满足需求</w:t>
            </w:r>
          </w:p>
        </w:tc>
        <w:tc>
          <w:tcPr>
            <w:tcW w:w="1493"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1E0D504">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C.存在取用麻烦等问题</w:t>
            </w:r>
          </w:p>
        </w:tc>
        <w:tc>
          <w:tcPr>
            <w:tcW w:w="1495"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43DA892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D.非常不便利，严重影响使用</w:t>
            </w:r>
          </w:p>
        </w:tc>
      </w:tr>
      <w:tr w14:paraId="51478C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92"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37585F5">
            <w:pPr>
              <w:jc w:val="center"/>
              <w:rPr>
                <w:rFonts w:hint="eastAsia" w:ascii="汉仪中宋简" w:hAnsi="汉仪中宋简" w:eastAsia="汉仪中宋简" w:cs="汉仪中宋简"/>
                <w:i w:val="0"/>
                <w:iCs w:val="0"/>
                <w:color w:val="000000"/>
                <w:sz w:val="20"/>
                <w:szCs w:val="20"/>
                <w:u w:val="none"/>
              </w:rPr>
            </w:pPr>
          </w:p>
        </w:tc>
        <w:tc>
          <w:tcPr>
            <w:tcW w:w="951"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5E23B66">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样本量</w:t>
            </w:r>
          </w:p>
        </w:tc>
        <w:tc>
          <w:tcPr>
            <w:tcW w:w="1493"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D56AE27">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748</w:t>
            </w:r>
          </w:p>
        </w:tc>
        <w:tc>
          <w:tcPr>
            <w:tcW w:w="1493"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3998BC34">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lang w:val="en-US"/>
              </w:rPr>
            </w:pPr>
            <w:r>
              <w:rPr>
                <w:rFonts w:hint="default" w:ascii="Calibri" w:hAnsi="Calibri" w:eastAsia="宋体" w:cs="Calibri"/>
                <w:i w:val="0"/>
                <w:iCs w:val="0"/>
                <w:color w:val="000000"/>
                <w:kern w:val="0"/>
                <w:sz w:val="20"/>
                <w:szCs w:val="20"/>
                <w:u w:val="none"/>
                <w:lang w:val="en-US" w:eastAsia="zh-CN" w:bidi="ar"/>
              </w:rPr>
              <w:t>794</w:t>
            </w:r>
          </w:p>
        </w:tc>
        <w:tc>
          <w:tcPr>
            <w:tcW w:w="1493"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48E0830">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lang w:val="en-US"/>
              </w:rPr>
            </w:pPr>
            <w:r>
              <w:rPr>
                <w:rFonts w:hint="default" w:ascii="Calibri" w:hAnsi="Calibri" w:eastAsia="宋体" w:cs="Calibri"/>
                <w:i w:val="0"/>
                <w:iCs w:val="0"/>
                <w:color w:val="000000"/>
                <w:kern w:val="0"/>
                <w:sz w:val="20"/>
                <w:szCs w:val="20"/>
                <w:u w:val="none"/>
                <w:lang w:val="en-US" w:eastAsia="zh-CN" w:bidi="ar"/>
              </w:rPr>
              <w:t>100</w:t>
            </w:r>
          </w:p>
        </w:tc>
        <w:tc>
          <w:tcPr>
            <w:tcW w:w="1495"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196A035">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lang w:val="en-US"/>
              </w:rPr>
            </w:pPr>
            <w:r>
              <w:rPr>
                <w:rFonts w:hint="default" w:ascii="Calibri" w:hAnsi="Calibri" w:eastAsia="宋体" w:cs="Calibri"/>
                <w:i w:val="0"/>
                <w:iCs w:val="0"/>
                <w:color w:val="000000"/>
                <w:kern w:val="0"/>
                <w:sz w:val="20"/>
                <w:szCs w:val="20"/>
                <w:u w:val="none"/>
                <w:lang w:val="en-US" w:eastAsia="zh-CN" w:bidi="ar"/>
              </w:rPr>
              <w:t>0</w:t>
            </w:r>
          </w:p>
        </w:tc>
      </w:tr>
      <w:tr w14:paraId="15767D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92"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55A41D4">
            <w:pPr>
              <w:jc w:val="center"/>
              <w:rPr>
                <w:rFonts w:hint="eastAsia" w:ascii="汉仪中宋简" w:hAnsi="汉仪中宋简" w:eastAsia="汉仪中宋简" w:cs="汉仪中宋简"/>
                <w:i w:val="0"/>
                <w:iCs w:val="0"/>
                <w:color w:val="000000"/>
                <w:sz w:val="20"/>
                <w:szCs w:val="20"/>
                <w:u w:val="none"/>
              </w:rPr>
            </w:pPr>
          </w:p>
        </w:tc>
        <w:tc>
          <w:tcPr>
            <w:tcW w:w="951"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4FB4097D">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占比</w:t>
            </w:r>
          </w:p>
        </w:tc>
        <w:tc>
          <w:tcPr>
            <w:tcW w:w="1493"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D697EA1">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45.55%</w:t>
            </w:r>
          </w:p>
        </w:tc>
        <w:tc>
          <w:tcPr>
            <w:tcW w:w="1493"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0B7D2F2">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48.36%</w:t>
            </w:r>
          </w:p>
        </w:tc>
        <w:tc>
          <w:tcPr>
            <w:tcW w:w="1493"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D985BB6">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6.09%</w:t>
            </w:r>
          </w:p>
        </w:tc>
        <w:tc>
          <w:tcPr>
            <w:tcW w:w="1495"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53F6AAB0">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0.00%</w:t>
            </w:r>
          </w:p>
        </w:tc>
      </w:tr>
    </w:tbl>
    <w:p w14:paraId="4095A103">
      <w:pPr>
        <w:rPr>
          <w:rFonts w:hint="eastAsia" w:ascii="汉仪中宋简" w:hAnsi="汉仪中宋简" w:eastAsia="汉仪中宋简" w:cs="汉仪中宋简"/>
          <w:sz w:val="24"/>
          <w:szCs w:val="32"/>
          <w:lang w:val="en-US" w:eastAsia="zh-CN"/>
        </w:rPr>
      </w:pPr>
    </w:p>
    <w:p w14:paraId="55A08AEF">
      <w:pPr>
        <w:keepNext w:val="0"/>
        <w:keepLines w:val="0"/>
        <w:pageBreakBefore w:val="0"/>
        <w:widowControl w:val="0"/>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b w:val="0"/>
          <w:kern w:val="2"/>
          <w:sz w:val="24"/>
          <w:szCs w:val="32"/>
          <w:lang w:val="en-US" w:eastAsia="zh-CN" w:bidi="ar-SA"/>
        </w:rPr>
        <w:jc w:val="both"/>
        <w:outlineLvl w:val="9"/>
        <w:textDirection w:val="lrTb"/>
      </w:pPr>
      <w:r>
        <w:rPr>
          <w:rFonts w:hint="eastAsia" w:ascii="汉仪中宋简" w:hAnsi="汉仪中宋简" w:eastAsia="汉仪中宋简" w:cs="汉仪中宋简"/>
          <w:sz w:val="24"/>
          <w:szCs w:val="32"/>
          <w:lang w:val="en-US" w:eastAsia="zh-CN"/>
        </w:rPr>
        <w:t>药品包装的便利性直接影响患者日常取用与外出携带体验，是用药便利性的重要组成部分。调研显示，45.55%的患者认为包装储存、取用都方便，反馈包装设计人性化，无论是居家储存还是外出携带都便捷高效，取用过程无需复杂操作；48.36%的患者认为包装基本满足需求，说明包装核心功能完备，能够覆盖日常用药的基础需求，虽无突出亮点，但未存在明显缺陷。两者合计占比93.91%，仅6.09%的患者认为存在取用麻烦问题，无患者反馈严重不便利，表明该药物包装设计符合大众使用习惯，为患者长期用药提供了便利保障。</w:t>
      </w:r>
    </w:p>
    <w:p w14:paraId="597E3376">
      <w:pPr>
        <w:pStyle w:val="3"/>
        <w:pageBreakBefore w:val="0"/>
        <w:kinsoku/>
        <w:wordWrap/>
        <w:overflowPunct/>
        <w:topLinePunct w:val="0"/>
        <w:autoSpaceDE/>
        <w:autoSpaceDN/>
        <w:bidi w:val="0"/>
        <w:adjustRightInd/>
        <w:snapToGrid/>
        <w:spacing w:line="480" w:lineRule="auto"/>
        <w:rPr>
          <w:rFonts w:hint="eastAsia" w:ascii="汉仪中宋简" w:hAnsi="汉仪中宋简" w:eastAsia="汉仪中宋简" w:cs="汉仪中宋简"/>
          <w:lang w:val="en-US" w:eastAsia="zh-CN"/>
        </w:rPr>
      </w:pPr>
      <w:bookmarkStart w:id="19" w:name="_Toc24377"/>
      <w:r>
        <w:rPr>
          <w:rFonts w:hint="eastAsia" w:ascii="汉仪中宋简" w:hAnsi="汉仪中宋简" w:eastAsia="汉仪中宋简" w:cs="汉仪中宋简"/>
          <w:lang w:val="en-US" w:eastAsia="zh-CN"/>
        </w:rPr>
        <w:t>4.5药品经济性</w:t>
      </w:r>
      <w:bookmarkEnd w:id="19"/>
    </w:p>
    <w:p w14:paraId="48960627">
      <w:r>
        <w:rPr>
          <w:rFonts w:ascii="汉仪中宋简" w:hAnsi="汉仪中宋简" w:eastAsia="汉仪中宋简"/>
          <w:sz w:val="24"/>
          <w:szCs w:val="24"/>
        </w:rPr>
        <w:t xml:space="preserve">价格负担影响分析</w:t>
      </w:r>
      <w:pPr>
        <w:pStyle w:val="4"/>
        <w:keepNext/>
        <w:keepLines/>
        <w:pageBreakBefore w:val="0"/>
        <w:widowControl w:val="0"/>
        <w:numPr>
          <w:ilvl w:val="0"/>
          <w:numId w:val="6"/>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jc w:val="left"/>
      </w:pPr>
    </w:p>
    <w:p w14:paraId="0D7C2D97">
      <w:pPr>
        <w:rPr>
          <w:rFonts w:hint="eastAsia" w:ascii="汉仪中宋简" w:hAnsi="汉仪中宋简" w:eastAsia="汉仪中宋简" w:cs="汉仪中宋简"/>
          <w:lang w:val="en-US" w:eastAsia="zh-CN"/>
        </w:rPr>
      </w:pPr>
    </w:p>
    <w:p w14:paraId="4EA4F767">
      <w:pPr>
        <w:keepNext w:val="0"/>
        <w:keepLines w:val="0"/>
        <w:pageBreakBefore w:val="0"/>
        <w:widowControl w:val="0"/>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b w:val="0"/>
          <w:kern w:val="2"/>
          <w:sz w:val="24"/>
          <w:szCs w:val="32"/>
          <w:lang w:val="en-US" w:eastAsia="zh-CN" w:bidi="ar-SA"/>
        </w:rPr>
        <w:jc w:val="both"/>
        <w:outlineLvl w:val="9"/>
        <w:textDirection w:val="lrTb"/>
      </w:pPr>
      <w:r>
        <w:rPr>
          <w:rFonts w:hint="eastAsia" w:ascii="汉仪中宋简" w:hAnsi="汉仪中宋简" w:eastAsia="汉仪中宋简" w:cs="汉仪中宋简"/>
          <w:b w:val="0"/>
          <w:kern w:val="2"/>
          <w:sz w:val="24"/>
          <w:szCs w:val="32"/>
          <w:lang w:val="en-US" w:eastAsia="zh-CN" w:bidi="ar-SA"/>
        </w:rPr>
        <w:t>经济性是影响高血压患者长期用药依从性的核心因素之一，尤其对于需终身服药的患者，合理的药品价格是保障治疗连续性的关键。本次调研结果显示，患者对该药物价格的接受度极高，96.59%的患者认为价格在可承受范围内或无压力，充分印证了该药物价格定位的合理性与亲民性。其中，46.71%的患者明确表示价格无压力，该部分患者无论是经济收入水平较高，还是认可药物价格与治疗价值的匹配度，均未因价格产生用药顾虑，能够保障长期规律购药；49.88%的患者认为价格在可接受范围，说明该药物价格虽可能对其日常开支产生轻微影响，但影响程度完全在可承受边界内，不会因此中断治疗。值得注意的是，仅3.41%的患者认为价格勉强承受，无患者反馈难以承受，该部分患者大概率属于低收入群体或需同时承担多种慢性疾病用药费用，整体占比极低，说明药物价格未对多数患者的用药可及性造成阻碍。从长期治疗视角来看，合理的价格定位有效降低了患者的长期用药负担，为提升整体治疗依从性、实现血压长期控制提供了重要支撑，也为后续是否需要针对特殊困难群体推出医保倾斜政策提供了精准的数据参考。</w:t>
      </w:r>
    </w:p>
    <w:p w14:paraId="07DCD09F">
      <w:pPr>
        <w:pStyle w:val="3"/>
        <w:pageBreakBefore w:val="0"/>
        <w:kinsoku/>
        <w:wordWrap/>
        <w:overflowPunct/>
        <w:topLinePunct w:val="0"/>
        <w:autoSpaceDE/>
        <w:autoSpaceDN/>
        <w:bidi w:val="0"/>
        <w:adjustRightInd/>
        <w:snapToGrid/>
        <w:spacing w:line="480" w:lineRule="auto"/>
        <w:rPr>
          <w:rFonts w:hint="eastAsia" w:ascii="汉仪中宋简" w:hAnsi="汉仪中宋简" w:eastAsia="汉仪中宋简" w:cs="汉仪中宋简"/>
          <w:lang w:val="en-US" w:eastAsia="zh-CN"/>
        </w:rPr>
      </w:pPr>
      <w:bookmarkStart w:id="20" w:name="_Toc8285"/>
      <w:r>
        <w:rPr>
          <w:rFonts w:hint="eastAsia" w:ascii="汉仪中宋简" w:hAnsi="汉仪中宋简" w:eastAsia="汉仪中宋简" w:cs="汉仪中宋简"/>
          <w:lang w:val="en-US" w:eastAsia="zh-CN"/>
        </w:rPr>
        <w:t>4.6药品可及性</w:t>
      </w:r>
      <w:bookmarkEnd w:id="20"/>
    </w:p>
    <w:p w14:paraId="4705B5D2">
      <w:r>
        <w:rPr>
          <w:rFonts w:ascii="汉仪中宋简" w:hAnsi="汉仪中宋简" w:eastAsia="汉仪中宋简"/>
          <w:sz w:val="24"/>
          <w:szCs w:val="24"/>
        </w:rPr>
        <w:t xml:space="preserve">药品供应稳定性分析</w:t>
      </w:r>
      <w:pPr>
        <w:pStyle w:val="4"/>
        <w:keepNext/>
        <w:keepLines/>
        <w:pageBreakBefore w:val="0"/>
        <w:widowControl w:val="0"/>
        <w:numPr>
          <w:ilvl w:val="0"/>
          <w:numId w:val="7"/>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jc w:val="left"/>
      </w:pPr>
    </w:p>
    <w:p w14:paraId="0453E8DB">
      <w:pPr>
        <w:rPr>
          <w:rFonts w:hint="eastAsia" w:ascii="汉仪中宋简" w:hAnsi="汉仪中宋简" w:eastAsia="汉仪中宋简" w:cs="汉仪中宋简"/>
          <w:lang w:val="en-US" w:eastAsia="zh-CN"/>
        </w:rPr>
      </w:pPr>
    </w:p>
    <w:p w14:paraId="41CBA2BB">
      <w:r>
        <w:rPr>
          <w:rFonts w:ascii="汉仪中宋简" w:hAnsi="汉仪中宋简" w:eastAsia="汉仪中宋简"/>
          <w:sz w:val="24"/>
          <w:szCs w:val="24"/>
        </w:rPr>
        <w:t xml:space="preserve">本题的数据结构并不分散，说明患者在这一维度上的主要问题或主要优势已经较为明确。在有效反馈中，60.00%的患者选择A.随时能买到，40.00%选择B.偶尔缺货但不影响用药，构成该维度的主要反馈走向。</w:t>
      </w:r>
      <w:pPr>
        <w:keepNext w:val="0"/>
        <w:keepLines w:val="0"/>
        <w:pageBreakBefore w:val="0"/>
        <w:widowControl w:val="0"/>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b w:val="0"/>
          <w:kern w:val="2"/>
          <w:sz w:val="24"/>
          <w:szCs w:val="32"/>
          <w:lang w:val="en-US" w:eastAsia="zh-CN" w:bidi="ar-SA"/>
        </w:rPr>
        <w:jc w:val="both"/>
        <w:outlineLvl w:val="9"/>
        <w:textDirection w:val="lrTb"/>
      </w:pPr>
    </w:p>
    <w:p w14:paraId="04889787">
      <w:pPr>
        <w:pStyle w:val="3"/>
        <w:pageBreakBefore w:val="0"/>
        <w:kinsoku/>
        <w:wordWrap/>
        <w:overflowPunct/>
        <w:topLinePunct w:val="0"/>
        <w:autoSpaceDE/>
        <w:autoSpaceDN/>
        <w:bidi w:val="0"/>
        <w:adjustRightInd/>
        <w:snapToGrid/>
        <w:spacing w:line="480" w:lineRule="auto"/>
        <w:rPr>
          <w:rFonts w:hint="eastAsia"/>
          <w:lang w:val="en-US" w:eastAsia="zh-CN"/>
        </w:rPr>
      </w:pPr>
      <w:bookmarkStart w:id="21" w:name="_Toc1050"/>
      <w:r>
        <w:rPr>
          <w:rFonts w:hint="eastAsia" w:ascii="汉仪中宋简" w:hAnsi="汉仪中宋简" w:eastAsia="汉仪中宋简" w:cs="汉仪中宋简"/>
          <w:lang w:val="en-US" w:eastAsia="zh-CN"/>
        </w:rPr>
        <w:t>4.7用药指导信息评价</w:t>
      </w:r>
      <w:bookmarkEnd w:id="21"/>
    </w:p>
    <w:p w14:paraId="11EE232C">
      <w:r>
        <w:rPr>
          <w:rFonts w:ascii="汉仪中宋简" w:hAnsi="汉仪中宋简" w:eastAsia="汉仪中宋简"/>
          <w:sz w:val="24"/>
          <w:szCs w:val="24"/>
        </w:rPr>
        <w:t xml:space="preserve">说明书信息清晰度分析</w:t>
      </w:r>
      <w:pPr>
        <w:pStyle w:val="4"/>
        <w:keepNext/>
        <w:keepLines/>
        <w:pageBreakBefore w:val="0"/>
        <w:widowControl w:val="0"/>
        <w:numPr>
          <w:ilvl w:val="0"/>
          <w:numId w:val="8"/>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jc w:val="left"/>
      </w:pPr>
    </w:p>
    <w:p w14:paraId="04453DAE">
      <w:pPr>
        <w:rPr>
          <w:rFonts w:hint="eastAsia" w:ascii="汉仪中宋简" w:hAnsi="汉仪中宋简" w:eastAsia="汉仪中宋简" w:cs="汉仪中宋简"/>
          <w:lang w:val="en-US" w:eastAsia="zh-CN"/>
        </w:rPr>
      </w:pPr>
    </w:p>
    <w:p w14:paraId="73E1EAED">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sz w:val="24"/>
          <w:szCs w:val="32"/>
          <w:lang w:val="en-US" w:eastAsia="zh-CN"/>
        </w:rPr>
        <w:jc w:val="both"/>
        <w:outlineLvl w:val="9"/>
        <w:textDirection w:val="lrTb"/>
      </w:pPr>
      <w:r>
        <w:rPr>
          <w:rFonts w:hint="eastAsia" w:ascii="汉仪中宋简" w:hAnsi="汉仪中宋简" w:eastAsia="汉仪中宋简" w:cs="汉仪中宋简"/>
          <w:sz w:val="24"/>
          <w:szCs w:val="32"/>
          <w:lang w:val="en-US" w:eastAsia="zh-CN"/>
        </w:rPr>
        <w:t>药品说明书是患者获取用药信息的核心载体，其清晰度直接影响患者用药安全性。调研结果显示，50.37%的患者认为说明书中“用法用量”“不良反应”等关键信息一目了然，反馈说明书语言表述通俗易懂、排版逻辑清晰，能够快速定位并理解核心用药信息，无需借助专业知识；43.54%的患者认为容易理解，说明即使部分患者对少数专业术语存在轻微困惑，但结合上下文或简单思考后仍能准确把握核心内容。两者合计占比93.91%，仅6.09%的患者认为部分内容不够明确，无患者反馈难以分辨，表明说明书的信息呈现方式符合大众认知习惯，信息传递效率高，能够为患者安全用药提供基础指导。​</w:t>
      </w:r>
    </w:p>
    <w:p w14:paraId="79F7EE2D">
      <w:pPr>
        <w:pStyle w:val="4"/>
        <w:keepNext/>
        <w:keepLines/>
        <w:pageBreakBefore w:val="0"/>
        <w:widowControl w:val="0"/>
        <w:numPr>
          <w:ilvl w:val="0"/>
          <w:numId w:val="8"/>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用药指导详细准确性分析</w:t>
      </w:r>
    </w:p>
    <w:tbl>
      <w:tblPr>
        <w:tblStyle w:val="10"/>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92"/>
        <w:gridCol w:w="982"/>
        <w:gridCol w:w="1485"/>
        <w:gridCol w:w="1485"/>
        <w:gridCol w:w="1485"/>
        <w:gridCol w:w="1488"/>
      </w:tblGrid>
      <w:tr w14:paraId="48A9C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592"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A9A3C98">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14.您认为当前获取的用药指导是否足够详细准确？</w:t>
            </w:r>
          </w:p>
        </w:tc>
        <w:tc>
          <w:tcPr>
            <w:tcW w:w="982"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4377CDDE">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85"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BB40ED7">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A.非常详细准确，能解决所有疑问</w:t>
            </w:r>
          </w:p>
        </w:tc>
        <w:tc>
          <w:tcPr>
            <w:tcW w:w="1485"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82938E7">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B.比较详细准确，能解决大部分疑问</w:t>
            </w:r>
          </w:p>
        </w:tc>
        <w:tc>
          <w:tcPr>
            <w:tcW w:w="1485"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3130A1D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C.一般，部分疑问无法解答</w:t>
            </w:r>
          </w:p>
        </w:tc>
        <w:tc>
          <w:tcPr>
            <w:tcW w:w="148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54CB17C">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D.不够详细准确，存在很多困惑</w:t>
            </w:r>
          </w:p>
        </w:tc>
      </w:tr>
      <w:tr w14:paraId="2C27C1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592"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435C9E8B">
            <w:pPr>
              <w:jc w:val="center"/>
              <w:rPr>
                <w:rFonts w:hint="eastAsia" w:ascii="汉仪中宋简" w:hAnsi="汉仪中宋简" w:eastAsia="汉仪中宋简" w:cs="汉仪中宋简"/>
                <w:i w:val="0"/>
                <w:iCs w:val="0"/>
                <w:color w:val="000000"/>
                <w:sz w:val="20"/>
                <w:szCs w:val="20"/>
                <w:u w:val="none"/>
              </w:rPr>
            </w:pPr>
          </w:p>
        </w:tc>
        <w:tc>
          <w:tcPr>
            <w:tcW w:w="982"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4679FA81">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样本量</w:t>
            </w:r>
          </w:p>
        </w:tc>
        <w:tc>
          <w:tcPr>
            <w:tcW w:w="1485"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7515069A">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817</w:t>
            </w:r>
          </w:p>
        </w:tc>
        <w:tc>
          <w:tcPr>
            <w:tcW w:w="1485"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8EF1421">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lang w:val="en-US"/>
              </w:rPr>
            </w:pPr>
            <w:r>
              <w:rPr>
                <w:rFonts w:hint="default" w:ascii="Calibri" w:hAnsi="Calibri" w:eastAsia="宋体" w:cs="Calibri"/>
                <w:i w:val="0"/>
                <w:iCs w:val="0"/>
                <w:color w:val="000000"/>
                <w:kern w:val="0"/>
                <w:sz w:val="20"/>
                <w:szCs w:val="20"/>
                <w:u w:val="none"/>
                <w:lang w:val="en-US" w:eastAsia="zh-CN" w:bidi="ar"/>
              </w:rPr>
              <w:t>725</w:t>
            </w:r>
          </w:p>
        </w:tc>
        <w:tc>
          <w:tcPr>
            <w:tcW w:w="1485"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CD03ACD">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lang w:val="en-US"/>
              </w:rPr>
            </w:pPr>
            <w:r>
              <w:rPr>
                <w:rFonts w:hint="default" w:ascii="Calibri" w:hAnsi="Calibri" w:eastAsia="宋体" w:cs="Calibri"/>
                <w:i w:val="0"/>
                <w:iCs w:val="0"/>
                <w:color w:val="000000"/>
                <w:kern w:val="0"/>
                <w:sz w:val="20"/>
                <w:szCs w:val="20"/>
                <w:u w:val="none"/>
                <w:lang w:val="en-US" w:eastAsia="zh-CN" w:bidi="ar"/>
              </w:rPr>
              <w:t>100</w:t>
            </w:r>
          </w:p>
        </w:tc>
        <w:tc>
          <w:tcPr>
            <w:tcW w:w="148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FDC580E">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lang w:val="en-US"/>
              </w:rPr>
            </w:pPr>
            <w:r>
              <w:rPr>
                <w:rFonts w:hint="default" w:ascii="Calibri" w:hAnsi="Calibri" w:eastAsia="宋体" w:cs="Calibri"/>
                <w:i w:val="0"/>
                <w:iCs w:val="0"/>
                <w:color w:val="000000"/>
                <w:kern w:val="0"/>
                <w:sz w:val="20"/>
                <w:szCs w:val="20"/>
                <w:u w:val="none"/>
                <w:lang w:val="en-US" w:eastAsia="zh-CN" w:bidi="ar"/>
              </w:rPr>
              <w:t>0</w:t>
            </w:r>
          </w:p>
        </w:tc>
      </w:tr>
      <w:tr w14:paraId="164781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592"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FA9030D">
            <w:pPr>
              <w:jc w:val="center"/>
              <w:rPr>
                <w:rFonts w:hint="eastAsia" w:ascii="汉仪中宋简" w:hAnsi="汉仪中宋简" w:eastAsia="汉仪中宋简" w:cs="汉仪中宋简"/>
                <w:i w:val="0"/>
                <w:iCs w:val="0"/>
                <w:color w:val="000000"/>
                <w:sz w:val="20"/>
                <w:szCs w:val="20"/>
                <w:u w:val="none"/>
              </w:rPr>
            </w:pPr>
          </w:p>
        </w:tc>
        <w:tc>
          <w:tcPr>
            <w:tcW w:w="982"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FE33FF7">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占比</w:t>
            </w:r>
          </w:p>
        </w:tc>
        <w:tc>
          <w:tcPr>
            <w:tcW w:w="1485"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37BD82C">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49.76%</w:t>
            </w:r>
          </w:p>
        </w:tc>
        <w:tc>
          <w:tcPr>
            <w:tcW w:w="1485"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A8F15A6">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44.15%</w:t>
            </w:r>
          </w:p>
        </w:tc>
        <w:tc>
          <w:tcPr>
            <w:tcW w:w="1485"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9F2ED03">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6.09%</w:t>
            </w:r>
          </w:p>
        </w:tc>
        <w:tc>
          <w:tcPr>
            <w:tcW w:w="148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3FE4450">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0.00%</w:t>
            </w:r>
          </w:p>
        </w:tc>
      </w:tr>
    </w:tbl>
    <w:p w14:paraId="63D4734D">
      <w:pPr>
        <w:rPr>
          <w:rFonts w:hint="eastAsia" w:ascii="汉仪中宋简" w:hAnsi="汉仪中宋简" w:eastAsia="汉仪中宋简" w:cs="汉仪中宋简"/>
          <w:sz w:val="24"/>
          <w:szCs w:val="32"/>
          <w:lang w:val="en-US" w:eastAsia="zh-CN"/>
        </w:rPr>
      </w:pPr>
    </w:p>
    <w:p w14:paraId="71D7FAEB">
      <w:pPr>
        <w:keepNext w:val="0"/>
        <w:keepLines w:val="0"/>
        <w:pageBreakBefore w:val="0"/>
        <w:widowControl w:val="0"/>
        <w:kinsoku/>
        <w:wordWrap/>
        <w:overflowPunct/>
        <w:topLinePunct w:val="0"/>
        <w:autoSpaceDE/>
        <w:autoSpaceDN/>
        <w:bidi w:val="0"/>
        <w:adjustRightInd/>
        <w:snapToGrid w:val="1"/>
        <w:spacing w:line="600" w:lineRule="auto" w:before="0" w:after="0"/>
        <w:ind w:firstLine="480" w:firstLineChars="200" w:left="0" w:leftChars="0" w:right="0" w:rightChars="0"/>
        <w:textAlignment w:val="auto"/>
        <w:rPr>
          <w:rFonts w:hint="eastAsia" w:ascii="汉仪中宋简" w:hAnsi="汉仪中宋简" w:eastAsia="汉仪中宋简" w:cs="汉仪中宋简"/>
          <w:b w:val="0"/>
          <w:kern w:val="2"/>
          <w:sz w:val="24"/>
          <w:szCs w:val="32"/>
          <w:lang w:val="en-US" w:eastAsia="zh-CN" w:bidi="ar-SA"/>
        </w:rPr>
        <w:jc w:val="both"/>
        <w:outlineLvl w:val="9"/>
        <w:textDirection w:val="lrTb"/>
      </w:pPr>
      <w:r>
        <w:rPr>
          <w:rFonts w:hint="eastAsia" w:ascii="汉仪中宋简" w:hAnsi="汉仪中宋简" w:eastAsia="汉仪中宋简" w:cs="汉仪中宋简"/>
          <w:sz w:val="24"/>
          <w:szCs w:val="32"/>
          <w:lang w:val="en-US" w:eastAsia="zh-CN"/>
        </w:rPr>
        <w:t>专业的用药指导是保障患者安全用药的重要支撑，其详细准确性直接影响用药效果与安全性。调研显示，49.76%的患者认为当前获取的用药指导非常详细准确，能够解决所有用药疑问，说明医疗机构、药店等渠道提供的用药指导服务专业且全面，涵盖了服药时间、注意事项、不良反应应对措施等关键内容；44.15%的患者认为指导比较详细准确，能够解决大部分疑问，说明指导服务基本满足核心用药需求，仅存在少量细节问题未完全覆盖。两者合计占比93.91%，仅6.09%的患者认为部分疑问无法解答，整体反映出当前用药指导服务体系较为完善，能够为患者安全用药提供有效支撑。</w:t>
      </w:r>
    </w:p>
    <w:p w14:paraId="4E07A1E7">
      <w:pPr>
        <w:pStyle w:val="3"/>
        <w:keepNext/>
        <w:keepLines/>
        <w:pageBreakBefore w:val="0"/>
        <w:widowControl w:val="0"/>
        <w:numPr>
          <w:ilvl w:val="0"/>
          <w:numId w:val="1"/>
        </w:numPr>
        <w:kinsoku/>
        <w:wordWrap/>
        <w:overflowPunct/>
        <w:topLinePunct w:val="0"/>
        <w:autoSpaceDE/>
        <w:autoSpaceDN/>
        <w:bidi w:val="0"/>
        <w:adjustRightInd/>
        <w:snapToGrid/>
        <w:spacing w:line="720" w:lineRule="auto"/>
        <w:textAlignment w:val="auto"/>
        <w:outlineLvl w:val="0"/>
        <w:rPr>
          <w:rFonts w:hint="eastAsia" w:ascii="汉仪中宋简" w:hAnsi="汉仪中宋简" w:eastAsia="汉仪中宋简" w:cs="汉仪中宋简"/>
          <w:b/>
          <w:lang w:val="en-US" w:eastAsia="zh-CN"/>
        </w:rPr>
      </w:pPr>
      <w:bookmarkStart w:id="22" w:name="_Toc19608"/>
      <w:bookmarkStart w:id="30" w:name="_GoBack"/>
      <w:bookmarkEnd w:id="30"/>
      <w:r>
        <w:rPr>
          <w:rFonts w:hint="eastAsia" w:ascii="汉仪中宋简" w:hAnsi="汉仪中宋简" w:eastAsia="汉仪中宋简" w:cs="汉仪中宋简"/>
          <w:b/>
          <w:lang w:val="en-US" w:eastAsia="zh-CN"/>
        </w:rPr>
        <w:t>调研结果</w:t>
      </w:r>
      <w:bookmarkEnd w:id="22"/>
    </w:p>
    <w:p w14:paraId="038E1764">
      <w:pPr>
        <w:pStyle w:val="3"/>
        <w:bidi w:val="0"/>
        <w:rPr>
          <w:rFonts w:hint="eastAsia" w:ascii="汉仪中宋简" w:hAnsi="汉仪中宋简" w:eastAsia="汉仪中宋简" w:cs="汉仪中宋简"/>
          <w:lang w:val="en-US" w:eastAsia="zh-CN"/>
        </w:rPr>
      </w:pPr>
      <w:bookmarkStart w:id="23" w:name="_Toc7275"/>
      <w:r>
        <w:rPr>
          <w:rFonts w:hint="eastAsia" w:ascii="汉仪中宋简" w:hAnsi="汉仪中宋简" w:eastAsia="汉仪中宋简" w:cs="汉仪中宋简"/>
          <w:lang w:val="en-US" w:eastAsia="zh-CN"/>
        </w:rPr>
        <w:t>5.1问卷重点问题分析</w:t>
      </w:r>
      <w:bookmarkEnd w:id="23"/>
    </w:p>
    <w:p w14:paraId="2A8B3975">
      <w:pPr>
        <w:keepNext w:val="0"/>
        <w:keepLines w:val="0"/>
        <w:pageBreakBefore w:val="0"/>
        <w:widowControl w:val="0"/>
        <w:numPr>
          <w:ilvl w:val="0"/>
          <w:numId w:val="0"/>
        </w:numPr>
        <w:kinsoku/>
        <w:wordWrap/>
        <w:overflowPunct/>
        <w:topLinePunct w:val="0"/>
        <w:autoSpaceDE/>
        <w:autoSpaceDN/>
        <w:bidi w:val="0"/>
        <w:adjustRightInd/>
        <w:snapToGrid/>
        <w:spacing w:line="600" w:lineRule="auto"/>
        <w:jc w:val="center"/>
        <w:textAlignment w:val="auto"/>
        <w:rPr>
          <w:rFonts w:hint="eastAsia" w:ascii="汉仪中宋简" w:hAnsi="汉仪中宋简" w:eastAsia="汉仪中宋简" w:cs="汉仪中宋简"/>
          <w:b w:val="0"/>
          <w:bCs w:val="0"/>
          <w:color w:val="000000" w:themeColor="text1"/>
          <w:sz w:val="24"/>
          <w:szCs w:val="24"/>
          <w:lang w:val="en-US" w:eastAsia="zh-CN"/>
          <w14:textFill>
            <w14:solidFill>
              <w14:schemeClr w14:val="tx1"/>
            </w14:solidFill>
          </w14:textFill>
        </w:rPr>
      </w:pPr>
      <w:r>
        <w:rPr>
          <w:rFonts w:hint="eastAsia" w:ascii="汉仪中宋简" w:hAnsi="汉仪中宋简" w:eastAsia="汉仪中宋简" w:cs="汉仪中宋简"/>
          <w:lang w:eastAsia="zh-CN"/>
        </w:rPr>
        <w:drawing>
          <wp:inline distT="0" distB="0" distL="114300" distR="114300">
            <wp:extent cx="5234305" cy="2489835"/>
            <wp:effectExtent l="4445" t="4445" r="6350" b="45720"/>
            <wp:docPr id="14" name="图表 14" descr="7b0a202020202263686172745265734964223a202232303437353834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Pr>
          <w:rFonts w:hint="eastAsia" w:ascii="汉仪中宋简" w:hAnsi="汉仪中宋简" w:eastAsia="汉仪中宋简" w:cs="汉仪中宋简"/>
          <w:lang w:eastAsia="zh-CN"/>
        </w:rPr>
        <w:drawing>
          <wp:inline distT="0" distB="0" distL="114300" distR="114300">
            <wp:extent cx="5240020" cy="2601595"/>
            <wp:effectExtent l="4445" t="4445" r="13335" b="35560"/>
            <wp:docPr id="11" name="图表 11" descr="7b0a202020202263686172745265734964223a202232303437353834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35FF72E">
      <w:r>
        <w:rPr>
          <w:rFonts w:ascii="汉仪中宋简" w:hAnsi="汉仪中宋简" w:eastAsia="汉仪中宋简"/>
          <w:sz w:val="24"/>
          <w:szCs w:val="24"/>
          <w:b w:val="1"/>
        </w:rPr>
        <w:t xml:space="preserve">1. 血压控制现状与特征</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left"/>
        <w:textAlignment w:val="auto"/>
        <w:rPr>
          <w:rFonts w:hint="eastAsia" w:ascii="汉仪中宋简" w:hAnsi="汉仪中宋简" w:eastAsia="汉仪中宋简" w:cs="汉仪中宋简"/>
          <w:b w:val="0"/>
          <w:bCs w:val="0"/>
          <w:color w:val="000000" w:themeColor="text1"/>
          <w:sz w:val="24"/>
          <w:szCs w:val="24"/>
          <w:highlight w:val="none"/>
          <w:lang w:val="en-US" w:eastAsia="zh-CN"/>
          <w14:textFill>
            <w14:solidFill>
              <w14:schemeClr w14:val="tx1"/>
            </w14:solidFill>
          </w14:textFill>
        </w:rPr>
        <w:outlineLvl w:val="9"/>
        <w:textDirection w:val="lrTb"/>
      </w:pPr>
    </w:p>
    <w:p w14:paraId="02310A52">
      <w:r>
        <w:rPr>
          <w:rFonts w:ascii="汉仪中宋简" w:hAnsi="汉仪中宋简" w:eastAsia="汉仪中宋简"/>
          <w:sz w:val="24"/>
          <w:szCs w:val="24"/>
        </w:rPr>
        <w:t xml:space="preserve">在湖南患者样本中，围绕厄贝沙坦氢氯噻嗪片使用后的血压控制表现，患者反馈主要集中在“血压稳定在正常范围”和“血压多数时间在正常范围”等正向感知选项，说明多数患者能够较清晰地感受到产品在长期控压中的稳定价值。这意味着产品的疗效体验并非停留在抽象认知层面，而是已经在真实用药过程中被患者转化为可感知、可复述的主观评价。与此同时，仍有少量反馈落在“血压持续超出正常范围”等相对谨慎的选项上，提示个别患者在血压管理结果上仍存在波动感受。从重点问题角度看，这一题反映出的核心并不是产品是否具备降压价值，而是后续如何通过复诊沟通、监测教育与规范用药提醒，让已经形成的正向疗效体验进一步稳定下来，并减少少数患者在血压波动阶段的疑虑。</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eastAsia" w:ascii="汉仪中宋简" w:hAnsi="汉仪中宋简" w:eastAsia="汉仪中宋简" w:cs="汉仪中宋简"/>
          <w:b w:val="0"/>
          <w:bCs w:val="0"/>
          <w:color w:val="000000" w:themeColor="text1"/>
          <w:sz w:val="24"/>
          <w:szCs w:val="24"/>
          <w:highlight w:val="none"/>
          <w:lang w:val="en-US" w:eastAsia="zh-CN"/>
          <w14:textFill>
            <w14:solidFill>
              <w14:schemeClr w14:val="tx1"/>
            </w14:solidFill>
          </w14:textFill>
        </w:rPr>
        <w:outlineLvl w:val="9"/>
        <w:textDirection w:val="lrTb"/>
      </w:pPr>
    </w:p>
    <w:p w14:paraId="100136A4">
      <w:r>
        <w:rPr>
          <w:rFonts w:ascii="汉仪中宋简" w:hAnsi="汉仪中宋简" w:eastAsia="汉仪中宋简"/>
          <w:sz w:val="24"/>
          <w:szCs w:val="24"/>
          <w:b w:val="1"/>
        </w:rPr>
        <w:t xml:space="preserve">2. 药品价格接受度情况</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left"/>
        <w:textAlignment w:val="auto"/>
        <w:rPr>
          <w:rFonts w:hint="eastAsia" w:ascii="汉仪中宋简" w:hAnsi="汉仪中宋简" w:eastAsia="汉仪中宋简" w:cs="汉仪中宋简"/>
          <w:b w:val="0"/>
          <w:bCs w:val="0"/>
          <w:color w:val="000000" w:themeColor="text1"/>
          <w:sz w:val="24"/>
          <w:szCs w:val="24"/>
          <w:highlight w:val="none"/>
          <w:lang w:val="en-US" w:eastAsia="zh-CN"/>
          <w14:textFill>
            <w14:solidFill>
              <w14:schemeClr w14:val="tx1"/>
            </w14:solidFill>
          </w14:textFill>
        </w:rPr>
        <w:outlineLvl w:val="9"/>
        <w:textDirection w:val="lrTb"/>
      </w:pPr>
    </w:p>
    <w:p w14:paraId="7E5CDE53">
      <w:r>
        <w:rPr>
          <w:rFonts w:ascii="汉仪中宋简" w:hAnsi="汉仪中宋简" w:eastAsia="汉仪中宋简"/>
          <w:sz w:val="24"/>
          <w:szCs w:val="24"/>
        </w:rPr>
        <w:t xml:space="preserve">在价格接受度这一重点问题上，患者反馈主要集中在“在可接受范围”和“无压力”等可接受区间，说明厄贝沙坦氢氯噻嗪片在湖南的长期使用成本并未普遍构成障碍。这类结果的意义在于，患者对产品价值的认可并没有因为价格而被明显削弱，长期治疗的连续性因此具备较好的现实基础。同时，仍有少量患者落在“难以承受”等相对保守的选项上，提示不同患者在长期负担感知上仍存在差异。对于慢病用药而言，价格不是单独存在的判断，而会直接影响患者是否愿意持续购药、是否能够长期坚持治疗。因此，这一重点题目所反映出的结论不仅是“价格总体可接受”，更是产品在长期管理场景中具备较强的经济可持续性，为稳定依从行为提供了重要支撑。</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eastAsia" w:ascii="汉仪中宋简" w:hAnsi="汉仪中宋简" w:eastAsia="汉仪中宋简" w:cs="汉仪中宋简"/>
          <w:b w:val="0"/>
          <w:bCs w:val="0"/>
          <w:color w:val="000000" w:themeColor="text1"/>
          <w:sz w:val="24"/>
          <w:szCs w:val="24"/>
          <w:highlight w:val="none"/>
          <w:lang w:val="en-US" w:eastAsia="zh-CN"/>
          <w14:textFill>
            <w14:solidFill>
              <w14:schemeClr w14:val="tx1"/>
            </w14:solidFill>
          </w14:textFill>
        </w:rPr>
        <w:outlineLvl w:val="9"/>
        <w:textDirection w:val="lrTb"/>
      </w:pPr>
    </w:p>
    <w:p w14:paraId="472857A5">
      <w:pPr>
        <w:pStyle w:val="3"/>
        <w:bidi w:val="0"/>
        <w:rPr>
          <w:rFonts w:hint="eastAsia" w:ascii="汉仪中宋简" w:hAnsi="汉仪中宋简" w:eastAsia="汉仪中宋简" w:cs="汉仪中宋简"/>
          <w:b w:val="0"/>
          <w:bCs w:val="0"/>
          <w:color w:val="000000" w:themeColor="text1"/>
          <w:sz w:val="24"/>
          <w:szCs w:val="24"/>
          <w:highlight w:val="none"/>
          <w:lang w:val="en-US" w:eastAsia="zh-CN"/>
          <w14:textFill>
            <w14:solidFill>
              <w14:schemeClr w14:val="tx1"/>
            </w14:solidFill>
          </w14:textFill>
        </w:rPr>
      </w:pPr>
      <w:bookmarkStart w:id="24" w:name="_Toc25533"/>
      <w:r>
        <w:rPr>
          <w:rFonts w:hint="eastAsia" w:ascii="汉仪中宋简" w:hAnsi="汉仪中宋简" w:eastAsia="汉仪中宋简" w:cs="汉仪中宋简"/>
          <w:highlight w:val="none"/>
          <w:lang w:val="en-US" w:eastAsia="zh-CN"/>
        </w:rPr>
        <w:t>5.2调研结果分析</w:t>
      </w:r>
      <w:bookmarkEnd w:id="24"/>
    </w:p>
    <w:p w14:paraId="40A1FD76">
      <w:r>
        <w:rPr>
          <w:rFonts w:ascii="汉仪中宋简" w:hAnsi="汉仪中宋简" w:eastAsia="汉仪中宋简"/>
          <w:sz w:val="24"/>
          <w:szCs w:val="24"/>
        </w:rPr>
        <w:t xml:space="preserve">本次调研基于湖南患者样本开展，结合1174份有效问卷结果，对厄贝沙坦氢氯噻嗪片在真实使用过程中的疗效感知、安全性体验、用药行为、便利性、经济性、可及性以及信息支持情况进行了复盘。整体来看，患者反馈以正向、稳定为主，说明产品在长期慢病管理场景中已经形成较成熟的使用基础，但行为执行和信息确认环节仍存在继续优化空间。</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jc w:val="both"/>
        <w:textAlignment w:val="auto"/>
        <w:rPr>
          <w:rFonts w:hint="eastAsia" w:ascii="汉仪中宋简" w:hAnsi="汉仪中宋简" w:eastAsia="汉仪中宋简" w:cs="汉仪中宋简"/>
          <w:b w:val="0"/>
          <w:bCs w:val="0"/>
          <w:color w:val="000000" w:themeColor="text1"/>
          <w:kern w:val="2"/>
          <w:sz w:val="24"/>
          <w:szCs w:val="24"/>
          <w:highlight w:val="none"/>
          <w:lang w:val="en-US" w:eastAsia="zh-CN" w:bidi="ar-SA"/>
          <w14:textFill>
            <w14:solidFill>
              <w14:schemeClr w14:val="tx1"/>
            </w14:solidFill>
          </w14:textFill>
        </w:rPr>
        <w:outlineLvl w:val="9"/>
        <w:textDirection w:val="lrTb"/>
      </w:pPr>
    </w:p>
    <w:p w14:paraId="54DB6C37">
      <w:r>
        <w:rPr>
          <w:rFonts w:ascii="汉仪中宋简" w:hAnsi="汉仪中宋简" w:eastAsia="汉仪中宋简"/>
          <w:sz w:val="24"/>
          <w:szCs w:val="24"/>
        </w:rPr>
        <w:t xml:space="preserve">在疗效与安全性层面，反馈主要集中在“血压稳定在正常范围”与“血压多数时间在正常范围”两类选项，说明患者对血压控制结果的感知总体较积极。同时，反馈主要集中在“很少出现，几乎无感觉”与“从未出现过”两类选项，意味着患者并未将常见不适反应视为主要阻碍，产品在真实使用场景中的耐受性基础较好。</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jc w:val="both"/>
        <w:textAlignment w:val="auto"/>
        <w:rPr>
          <w:rFonts w:hint="eastAsia" w:ascii="汉仪中宋简" w:hAnsi="汉仪中宋简" w:eastAsia="汉仪中宋简" w:cs="汉仪中宋简"/>
          <w:b/>
          <w:bCs/>
          <w:color w:val="000000" w:themeColor="text1"/>
          <w:kern w:val="2"/>
          <w:sz w:val="24"/>
          <w:szCs w:val="24"/>
          <w:highlight w:val="none"/>
          <w:lang w:val="en-US" w:eastAsia="zh-CN" w:bidi="ar-SA"/>
          <w14:textFill>
            <w14:solidFill>
              <w14:schemeClr w14:val="tx1"/>
            </w14:solidFill>
          </w14:textFill>
        </w:rPr>
        <w:outlineLvl w:val="9"/>
        <w:textDirection w:val="lrTb"/>
      </w:pPr>
    </w:p>
    <w:p w14:paraId="5D03F8F9">
      <w:r>
        <w:rPr>
          <w:rFonts w:ascii="汉仪中宋简" w:hAnsi="汉仪中宋简" w:eastAsia="汉仪中宋简"/>
          <w:sz w:val="24"/>
          <w:szCs w:val="24"/>
        </w:rPr>
        <w:t xml:space="preserve">在用药行为与便利性层面，反馈主要集中在“医院药房”与“线下连锁药店”两类选项，说明多数患者已经具备一定的规范意识，但在联合用药确认、监测频率和主动咨询等环节上仍可能存在执行松动。在便利性方面，反馈主要集中在“频率还可以，没对生活造成困扰”与“频率很合适，按要求吃很轻松”两类选项，反映出服药频率与包装设计整体上没有构成普遍阻力。</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jc w:val="both"/>
        <w:textAlignment w:val="auto"/>
        <w:rPr>
          <w:rFonts w:hint="eastAsia" w:ascii="汉仪中宋简" w:hAnsi="汉仪中宋简" w:eastAsia="汉仪中宋简" w:cs="汉仪中宋简"/>
          <w:b w:val="0"/>
          <w:bCs w:val="0"/>
          <w:color w:val="000000" w:themeColor="text1"/>
          <w:kern w:val="2"/>
          <w:sz w:val="24"/>
          <w:szCs w:val="24"/>
          <w:highlight w:val="none"/>
          <w:lang w:val="en-US" w:eastAsia="zh-CN" w:bidi="ar-SA"/>
          <w14:textFill>
            <w14:solidFill>
              <w14:schemeClr w14:val="tx1"/>
            </w14:solidFill>
          </w14:textFill>
        </w:rPr>
        <w:outlineLvl w:val="9"/>
        <w:textDirection w:val="lrTb"/>
      </w:pPr>
    </w:p>
    <w:p>
      <w:pPr>
        <w:jc w:val="both"/>
        <w:outlineLvl w:val="9"/>
        <w:ind w:firstLine="480" w:firstLineChars="200" w:left="0" w:leftChars="0" w:right="0" w:rightChars="0"/>
        <w:spacing w:line="600" w:lineRule="auto" w:before="0" w:after="0"/>
        <w:widowControl w:val="0"/>
        <w:textDirection w:val="lrTb"/>
        <w:snapToGrid w:val="1"/>
      </w:pPr>
      <w:r>
        <w:rPr>
          <w:rFonts w:ascii="汉仪中宋简" w:hAnsi="汉仪中宋简" w:eastAsia="汉仪中宋简"/>
          <w:sz w:val="24"/>
          <w:szCs w:val="24"/>
        </w:rPr>
        <w:t xml:space="preserve">在经济性、可及性与信息支持层面，反馈主要集中在“在可接受范围”与“无压力”两类选项，说明价格感知并未普遍构成持续治疗障碍；反馈主要集中在“随时能买到”与“偶尔缺货但不影响用药”两类选项，表明供应稳定性总体可控；反馈主要集中在“难以分辨”与“一目了然”两类选项，则显示现有说明书与指导支持基本能够覆盖患者的基础理解需求。综合判断，厄贝沙坦氢氯噻嗪片在湖南已经具备较完整的正向使用基础，后续重点应放在加强行为执行、提升细分解释能力，以及补充联合用药和监测管理支持等服务动作上。</w:t>
      </w:r>
    </w:p>
    <w:p w14:paraId="352EFD12">
      <w:pPr>
        <w:pStyle w:val="3"/>
        <w:bidi w:val="0"/>
        <w:rPr>
          <w:rFonts w:hint="eastAsia" w:ascii="汉仪中宋简" w:hAnsi="汉仪中宋简" w:eastAsia="汉仪中宋简" w:cs="汉仪中宋简"/>
          <w:sz w:val="24"/>
          <w:szCs w:val="24"/>
          <w:highlight w:val="none"/>
          <w:lang w:val="en-US" w:eastAsia="zh-CN"/>
        </w:rPr>
      </w:pPr>
      <w:bookmarkStart w:id="25" w:name="_Toc4442"/>
      <w:r>
        <w:rPr>
          <w:rFonts w:hint="eastAsia" w:ascii="汉仪中宋简" w:hAnsi="汉仪中宋简" w:eastAsia="汉仪中宋简" w:cs="汉仪中宋简"/>
          <w:highlight w:val="none"/>
          <w:lang w:val="en-US" w:eastAsia="zh-CN"/>
        </w:rPr>
        <w:t>5.3建议</w:t>
      </w:r>
      <w:bookmarkEnd w:id="25"/>
    </w:p>
    <w:p w14:paraId="1B2E2CF6">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jc w:val="both"/>
        <w:textAlignment w:val="auto"/>
        <w:rPr>
          <w:rFonts w:hint="eastAsia" w:ascii="汉仪中宋简" w:hAnsi="汉仪中宋简" w:eastAsia="汉仪中宋简" w:cs="汉仪中宋简"/>
          <w:b w:val="0"/>
          <w:bCs w:val="0"/>
          <w:color w:val="000000" w:themeColor="text1"/>
          <w:kern w:val="2"/>
          <w:sz w:val="24"/>
          <w:szCs w:val="24"/>
          <w:highlight w:val="none"/>
          <w:lang w:val="en-US" w:eastAsia="zh-CN" w:bidi="ar-SA"/>
          <w14:textFill>
            <w14:solidFill>
              <w14:schemeClr w14:val="tx1"/>
            </w14:solidFill>
          </w14:textFill>
        </w:rPr>
        <w:outlineLvl w:val="9"/>
        <w:textDirection w:val="lrTb"/>
      </w:pPr>
      <w:r>
        <w:rPr>
          <w:rFonts w:hint="eastAsia" w:ascii="汉仪中宋简" w:hAnsi="汉仪中宋简" w:eastAsia="汉仪中宋简" w:cs="汉仪中宋简"/>
          <w:b w:val="0"/>
          <w:bCs w:val="0"/>
          <w:color w:val="000000" w:themeColor="text1"/>
          <w:kern w:val="2"/>
          <w:sz w:val="24"/>
          <w:szCs w:val="24"/>
          <w:highlight w:val="none"/>
          <w:lang w:val="en-US" w:eastAsia="zh-CN" w:bidi="ar-SA"/>
          <w14:textFill>
            <w14:solidFill>
              <w14:schemeClr w14:val="tx1"/>
            </w14:solidFill>
          </w14:textFill>
        </w:rPr>
        <w:t>结合调研结果，为进一步强化厄贝沙坦氢氯噻嗪片的临床应用效果，提升患者用药体验与安全性，围绕临床诊疗、药企优化服务维度提出以下建议：</w:t>
      </w:r>
    </w:p>
    <w:p w14:paraId="1B2B00F5">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jc w:val="both"/>
        <w:textAlignment w:val="auto"/>
        <w:rPr>
          <w:rFonts w:hint="eastAsia" w:ascii="汉仪中宋简" w:hAnsi="汉仪中宋简" w:eastAsia="汉仪中宋简" w:cs="汉仪中宋简"/>
          <w:b w:val="0"/>
          <w:bCs w:val="0"/>
          <w:color w:val="000000" w:themeColor="text1"/>
          <w:kern w:val="2"/>
          <w:sz w:val="24"/>
          <w:szCs w:val="24"/>
          <w:highlight w:val="none"/>
          <w:lang w:val="en-US" w:eastAsia="zh-CN" w:bidi="ar-SA"/>
          <w14:textFill>
            <w14:solidFill>
              <w14:schemeClr w14:val="tx1"/>
            </w14:solidFill>
          </w14:textFill>
        </w:rPr>
        <w:outlineLvl w:val="9"/>
        <w:textDirection w:val="lrTb"/>
      </w:pPr>
      <w:r>
        <w:rPr>
          <w:rFonts w:hint="eastAsia" w:ascii="汉仪中宋简" w:hAnsi="汉仪中宋简" w:eastAsia="汉仪中宋简" w:cs="汉仪中宋简"/>
          <w:b w:val="0"/>
          <w:bCs w:val="0"/>
          <w:color w:val="000000" w:themeColor="text1"/>
          <w:kern w:val="2"/>
          <w:sz w:val="24"/>
          <w:szCs w:val="24"/>
          <w:highlight w:val="none"/>
          <w:lang w:val="en-US" w:eastAsia="zh-CN" w:bidi="ar-SA"/>
          <w14:textFill>
            <w14:solidFill>
              <w14:schemeClr w14:val="tx1"/>
            </w14:solidFill>
          </w14:textFill>
        </w:rPr>
        <w:t>1. 临床层面：聚焦用药规范性提升，强化精准教育干预。针对血压偶尔波动、用药不规范的重点群体，通过复诊一对一宣讲、线上科普短视频、患者手册等多种形式，重点强调剂量调整必须严格遵循医嘱，严禁自行根据主观感受调整剂量；针对联合用药患者，在开具处方时主动提醒并确认药物兼容性，定期梳理用药清单，规避药物相互作用风险；同时普及血压监测的重要性，指导患者选择合适的监测工具，养成“每周至少监测2-3次”的规律监测习惯，并记录监测数据，为治疗方案优化提供支撑。</w:t>
      </w:r>
    </w:p>
    <w:p w14:paraId="6087A099">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firstLine="480" w:firstLineChars="200" w:left="0" w:leftChars="0" w:right="0" w:rightChars="0"/>
        <w:jc w:val="both"/>
        <w:textAlignment w:val="auto"/>
        <w:rPr>
          <w:rFonts w:hint="eastAsia" w:ascii="汉仪中宋简" w:hAnsi="汉仪中宋简" w:eastAsia="汉仪中宋简" w:cs="汉仪中宋简"/>
          <w:b w:val="0"/>
          <w:bCs w:val="0"/>
          <w:color w:val="000000" w:themeColor="text1"/>
          <w:kern w:val="2"/>
          <w:sz w:val="24"/>
          <w:szCs w:val="24"/>
          <w:highlight w:val="none"/>
          <w:lang w:val="en-US" w:eastAsia="zh-CN" w:bidi="ar-SA"/>
          <w14:textFill>
            <w14:solidFill>
              <w14:schemeClr w14:val="tx1"/>
            </w14:solidFill>
          </w14:textFill>
        </w:rPr>
        <w:outlineLvl w:val="9"/>
        <w:textDirection w:val="lrTb"/>
      </w:pPr>
      <w:r>
        <w:rPr>
          <w:rFonts w:hint="eastAsia" w:ascii="汉仪中宋简" w:hAnsi="汉仪中宋简" w:eastAsia="汉仪中宋简" w:cs="汉仪中宋简"/>
          <w:b w:val="0"/>
          <w:bCs w:val="0"/>
          <w:color w:val="000000" w:themeColor="text1"/>
          <w:kern w:val="2"/>
          <w:sz w:val="24"/>
          <w:szCs w:val="24"/>
          <w:highlight w:val="none"/>
          <w:lang w:val="en-US" w:eastAsia="zh-CN" w:bidi="ar-SA"/>
          <w14:textFill>
            <w14:solidFill>
              <w14:schemeClr w14:val="tx1"/>
            </w14:solidFill>
          </w14:textFill>
        </w:rPr>
        <w:t>2. 药企方面：持续优化产品细节，补充服务支撑体系。针对少数患者反映的包装取用问题，开展针对性调研，优化包装设计（如增加易撕口、推出分剂量包装等），提升使用便捷性；针对说明书中部分不明确内容，采用更通俗的语言表述，增加图文解读模块，降低患者理解难度；搭建官方线上咨询平台，组建专业药师团队，为患者提供个性化用药指导服务，补充现有指导渠道的不足，重点解答联合用药、不良反应应对等常见疑问。</w:t>
      </w:r>
    </w:p>
    <w:p w14:paraId="5D64DD0F">
      <w:pPr>
        <w:rPr>
          <w:rFonts w:hint="eastAsia" w:ascii="汉仪中宋简" w:hAnsi="汉仪中宋简" w:eastAsia="汉仪中宋简" w:cs="汉仪中宋简"/>
          <w:lang w:val="en-US" w:eastAsia="zh-CN"/>
        </w:rPr>
      </w:pPr>
      <w:bookmarkStart w:id="26" w:name="_Toc17910"/>
      <w:r>
        <w:rPr>
          <w:rFonts w:hint="eastAsia" w:ascii="汉仪中宋简" w:hAnsi="汉仪中宋简" w:eastAsia="汉仪中宋简" w:cs="汉仪中宋简"/>
          <w:lang w:val="en-US" w:eastAsia="zh-CN"/>
        </w:rPr>
        <w:br w:type="page"/>
      </w:r>
    </w:p>
    <w:p w14:paraId="4272D18C">
      <w:r>
        <w:rPr>
          <w:rFonts w:ascii="汉仪中宋简" w:hAnsi="汉仪中宋简" w:eastAsia="汉仪中宋简"/>
          <w:sz w:val="32"/>
          <w:szCs w:val="32"/>
          <w:b w:val="1"/>
        </w:rPr>
        <w:t xml:space="preserve">附件1：问卷调查附件</w:t>
      </w:r>
      <w:pPr>
        <w:pStyle w:val="2"/>
        <w:bidi w:val="0"/>
        <w:jc w:val="left"/>
        <w:rPr>
          <w:rFonts w:hint="eastAsia" w:ascii="汉仪中宋简" w:hAnsi="汉仪中宋简" w:eastAsia="汉仪中宋简" w:cs="汉仪中宋简"/>
          <w:lang w:val="en-US" w:eastAsia="zh-CN"/>
        </w:rPr>
      </w:pPr>
      <w:bookmarkEnd w:id="26"/>
    </w:p>
    <w:p w14:paraId="1FEC2CC2">
      <w:pPr>
        <w:ind w:left="0" w:leftChars="0" w:firstLine="0" w:firstLineChars="0"/>
        <w:jc w:val="both"/>
        <w:rPr>
          <w:rFonts w:hint="eastAsia" w:ascii="汉仪中宋简" w:hAnsi="汉仪中宋简" w:eastAsia="汉仪中宋简" w:cs="汉仪中宋简"/>
          <w:lang w:val="en-US" w:eastAsia="zh-CN"/>
        </w:rPr>
      </w:pPr>
    </w:p>
    <w:p w14:paraId="6CCA3D18">
      <w:r>
        <w:rPr>
          <w:rFonts w:ascii="汉仪中宋简" w:hAnsi="汉仪中宋简" w:eastAsia="汉仪中宋简"/>
          <w:sz w:val="24"/>
          <w:szCs w:val="24"/>
        </w:rPr>
        <w:t xml:space="preserve">1.您服用厄贝沙坦氢氯噻嗪片后，血压控制效果如何？</w:t>
      </w:r>
      <w:pPr>
        <w:keepNext w:val="0"/>
        <w:keepLines w:val="0"/>
        <w:pageBreakBefore w:val="0"/>
        <w:widowControl w:val="0"/>
        <w:numPr>
          <w:ilvl w:val="0"/>
          <w:numId w:val="9"/>
        </w:numPr>
        <w:kinsoku/>
        <w:wordWrap/>
        <w:overflowPunct/>
        <w:topLinePunct w:val="0"/>
        <w:autoSpaceDE/>
        <w:autoSpaceDN/>
        <w:bidi w:val="0"/>
        <w:adjustRightInd/>
        <w:snapToGrid w:val="1"/>
        <w:spacing w:line="600" w:lineRule="auto" w:before="0" w:after="0"/>
        <w:ind w:left="0" w:leftChars="0" w:hanging="425" w:firstLineChars="200" w:firstLine="48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66C0D4C3">
      <w:r>
        <w:rPr>
          <w:rFonts w:ascii="汉仪中宋简" w:hAnsi="汉仪中宋简" w:eastAsia="汉仪中宋简"/>
          <w:sz w:val="24"/>
          <w:szCs w:val="24"/>
        </w:rPr>
        <w:t xml:space="preserve">A. 血压稳定在正常范围</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6CE1425B">
      <w:r>
        <w:rPr>
          <w:rFonts w:ascii="汉仪中宋简" w:hAnsi="汉仪中宋简" w:eastAsia="汉仪中宋简"/>
          <w:sz w:val="24"/>
          <w:szCs w:val="24"/>
        </w:rPr>
        <w:t xml:space="preserve">A. 经常出现，症状严重</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4B4D6147">
      <w:r>
        <w:rPr>
          <w:rFonts w:ascii="汉仪中宋简" w:hAnsi="汉仪中宋简" w:eastAsia="汉仪中宋简"/>
          <w:sz w:val="24"/>
          <w:szCs w:val="24"/>
        </w:rPr>
        <w:t xml:space="preserve">A. 经常出现，影响正常生活</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2B1D7314">
      <w:r>
        <w:rPr>
          <w:rFonts w:ascii="汉仪中宋简" w:hAnsi="汉仪中宋简" w:eastAsia="汉仪中宋简"/>
          <w:sz w:val="24"/>
          <w:szCs w:val="24"/>
        </w:rPr>
        <w:t xml:space="preserve">A. 医院药房</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352AD0F7">
      <w:r>
        <w:rPr>
          <w:rFonts w:ascii="汉仪中宋简" w:hAnsi="汉仪中宋简" w:eastAsia="汉仪中宋简"/>
          <w:sz w:val="24"/>
          <w:szCs w:val="24"/>
        </w:rPr>
        <w:t xml:space="preserve">6.您服用厄贝沙坦氢氯噻嗪片的剂量是否严格按照医嘱？</w:t>
      </w:r>
      <w:pPr>
        <w:keepNext w:val="0"/>
        <w:keepLines w:val="0"/>
        <w:pageBreakBefore w:val="0"/>
        <w:widowControl w:val="0"/>
        <w:numPr>
          <w:ilvl w:val="0"/>
          <w:numId w:val="9"/>
        </w:numPr>
        <w:kinsoku/>
        <w:wordWrap/>
        <w:overflowPunct/>
        <w:topLinePunct w:val="0"/>
        <w:autoSpaceDE/>
        <w:autoSpaceDN/>
        <w:bidi w:val="0"/>
        <w:adjustRightInd/>
        <w:snapToGrid w:val="1"/>
        <w:spacing w:line="600" w:lineRule="auto" w:before="0" w:after="0"/>
        <w:ind w:left="0" w:leftChars="0" w:hanging="425" w:firstLineChars="200" w:firstLine="48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5AB3DCC9">
      <w:r>
        <w:rPr>
          <w:rFonts w:ascii="汉仪中宋简" w:hAnsi="汉仪中宋简" w:eastAsia="汉仪中宋简"/>
          <w:sz w:val="24"/>
          <w:szCs w:val="24"/>
        </w:rPr>
        <w:t xml:space="preserve">A. 始终严格遵守</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0DDB611B">
      <w:r>
        <w:rPr>
          <w:rFonts w:ascii="汉仪中宋简" w:hAnsi="汉仪中宋简" w:eastAsia="汉仪中宋简"/>
          <w:sz w:val="24"/>
          <w:szCs w:val="24"/>
        </w:rPr>
        <w:t xml:space="preserve">A. 频率很合适，按要求吃很轻松</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29DD6DC3">
      <w:r>
        <w:rPr>
          <w:rFonts w:ascii="汉仪中宋简" w:hAnsi="汉仪中宋简" w:eastAsia="汉仪中宋简"/>
          <w:sz w:val="24"/>
          <w:szCs w:val="24"/>
        </w:rPr>
        <w:t xml:space="preserve">A. 同时服用 1 种其他降压药</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78517D89">
      <w:r>
        <w:rPr>
          <w:rFonts w:ascii="汉仪中宋简" w:hAnsi="汉仪中宋简" w:eastAsia="汉仪中宋简"/>
          <w:sz w:val="24"/>
          <w:szCs w:val="24"/>
        </w:rPr>
        <w:t xml:space="preserve">A. 专门咨询过，确认无冲突</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3CD4510E">
      <w:r>
        <w:rPr>
          <w:rFonts w:ascii="汉仪中宋简" w:hAnsi="汉仪中宋简" w:eastAsia="汉仪中宋简"/>
          <w:sz w:val="24"/>
          <w:szCs w:val="24"/>
        </w:rPr>
        <w:t xml:space="preserve">11.您服用厄贝沙坦氢氯噻嗪片期间，是否定期监测血压？</w:t>
      </w:r>
      <w:pPr>
        <w:keepNext w:val="0"/>
        <w:keepLines w:val="0"/>
        <w:pageBreakBefore w:val="0"/>
        <w:widowControl w:val="0"/>
        <w:numPr>
          <w:ilvl w:val="0"/>
          <w:numId w:val="9"/>
        </w:numPr>
        <w:kinsoku/>
        <w:wordWrap/>
        <w:overflowPunct/>
        <w:topLinePunct w:val="0"/>
        <w:autoSpaceDE/>
        <w:autoSpaceDN/>
        <w:bidi w:val="0"/>
        <w:adjustRightInd/>
        <w:snapToGrid w:val="1"/>
        <w:spacing w:line="600" w:lineRule="auto" w:before="0" w:after="0"/>
        <w:ind w:left="0" w:leftChars="0" w:hanging="425" w:firstLineChars="200" w:firstLine="48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044674F6">
      <w:r>
        <w:rPr>
          <w:rFonts w:ascii="汉仪中宋简" w:hAnsi="汉仪中宋简" w:eastAsia="汉仪中宋简"/>
          <w:sz w:val="24"/>
          <w:szCs w:val="24"/>
        </w:rPr>
        <w:t xml:space="preserve">A. 每天监测，记录详细数据</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5DD87521">
      <w:r>
        <w:rPr>
          <w:rFonts w:ascii="汉仪中宋简" w:hAnsi="汉仪中宋简" w:eastAsia="汉仪中宋简"/>
          <w:sz w:val="24"/>
          <w:szCs w:val="24"/>
        </w:rPr>
        <w:t xml:space="preserve">A. 储存、取用都方便</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407CF38D">
      <w:r>
        <w:rPr>
          <w:rFonts w:ascii="汉仪中宋简" w:hAnsi="汉仪中宋简" w:eastAsia="汉仪中宋简"/>
          <w:sz w:val="24"/>
          <w:szCs w:val="24"/>
        </w:rPr>
        <w:t xml:space="preserve">A. 一目了然</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2245D953">
      <w:r>
        <w:rPr>
          <w:rFonts w:ascii="汉仪中宋简" w:hAnsi="汉仪中宋简" w:eastAsia="汉仪中宋简"/>
          <w:sz w:val="24"/>
          <w:szCs w:val="24"/>
        </w:rPr>
        <w:t xml:space="preserve">A. 非常详细准确，能解决所有疑问</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1BB602CA">
      <w:r>
        <w:rPr>
          <w:rFonts w:ascii="汉仪中宋简" w:hAnsi="汉仪中宋简" w:eastAsia="汉仪中宋简"/>
          <w:sz w:val="24"/>
          <w:szCs w:val="24"/>
        </w:rPr>
        <w:t xml:space="preserve">B. 比较详细准确，能解决大部分疑问</w:t>
      </w:r>
      <w:pPr>
        <w:keepNext w:val="0"/>
        <w:keepLines w:val="0"/>
        <w:pageBreakBefore w:val="0"/>
        <w:widowControl w:val="0"/>
        <w:numPr>
          <w:ilvl w:val="0"/>
          <w:numId w:val="9"/>
        </w:numPr>
        <w:kinsoku/>
        <w:wordWrap/>
        <w:overflowPunct/>
        <w:topLinePunct w:val="0"/>
        <w:autoSpaceDE/>
        <w:autoSpaceDN/>
        <w:bidi w:val="0"/>
        <w:adjustRightInd/>
        <w:snapToGrid w:val="1"/>
        <w:spacing w:line="600" w:lineRule="auto" w:before="0" w:after="0"/>
        <w:ind w:left="0" w:leftChars="0" w:hanging="425" w:firstLineChars="200" w:firstLine="48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1091005F">
      <w:r>
        <w:rPr>
          <w:rFonts w:ascii="汉仪中宋简" w:hAnsi="汉仪中宋简" w:eastAsia="汉仪中宋简"/>
          <w:sz w:val="24"/>
          <w:szCs w:val="24"/>
        </w:rPr>
        <w:t xml:space="preserve">C. 一般，部分疑问无法解答</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17BF188A">
      <w:r>
        <w:rPr>
          <w:rFonts w:ascii="汉仪中宋简" w:hAnsi="汉仪中宋简" w:eastAsia="汉仪中宋简"/>
          <w:sz w:val="24"/>
          <w:szCs w:val="24"/>
        </w:rPr>
        <w:t xml:space="preserve">D. 不够详细准确，存在很多困惑</w:t>
      </w:r>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p>
    <w:p w14:paraId="1367894C">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正规网上药店</w:t>
      </w:r>
    </w:p>
    <w:p w14:paraId="2E411F45">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其他渠道（请注明）</w:t>
      </w:r>
    </w:p>
    <w:p w14:paraId="4A6E75C8">
      <w:pPr>
        <w:keepNext w:val="0"/>
        <w:keepLines w:val="0"/>
        <w:pageBreakBefore w:val="0"/>
        <w:widowControl w:val="0"/>
        <w:numPr>
          <w:ilvl w:val="0"/>
          <w:numId w:val="9"/>
        </w:numPr>
        <w:kinsoku/>
        <w:wordWrap/>
        <w:overflowPunct/>
        <w:topLinePunct w:val="0"/>
        <w:autoSpaceDE/>
        <w:autoSpaceDN/>
        <w:bidi w:val="0"/>
        <w:adjustRightInd/>
        <w:snapToGrid w:val="1"/>
        <w:spacing w:line="600" w:lineRule="auto" w:before="0" w:after="0"/>
        <w:ind w:left="0" w:leftChars="0" w:hanging="425" w:firstLineChars="200" w:firstLine="48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您认为厄贝沙坦氢氯噻嗪片的价格对您的用药负担影响如何？</w:t>
      </w:r>
    </w:p>
    <w:p w14:paraId="12BF58ED">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难以承受</w:t>
      </w:r>
    </w:p>
    <w:p w14:paraId="7D855842">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勉强承受</w:t>
      </w:r>
    </w:p>
    <w:p w14:paraId="6568AEB4">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在可接受范围</w:t>
      </w:r>
    </w:p>
    <w:p w14:paraId="75966934">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无压力</w:t>
      </w:r>
    </w:p>
    <w:p w14:paraId="5A4BE6E6">
      <w:pPr>
        <w:keepNext w:val="0"/>
        <w:keepLines w:val="0"/>
        <w:pageBreakBefore w:val="0"/>
        <w:widowControl w:val="0"/>
        <w:numPr>
          <w:ilvl w:val="0"/>
          <w:numId w:val="9"/>
        </w:numPr>
        <w:kinsoku/>
        <w:wordWrap/>
        <w:overflowPunct/>
        <w:topLinePunct w:val="0"/>
        <w:autoSpaceDE/>
        <w:autoSpaceDN/>
        <w:bidi w:val="0"/>
        <w:adjustRightInd/>
        <w:snapToGrid w:val="1"/>
        <w:spacing w:line="600" w:lineRule="auto" w:before="0" w:after="0"/>
        <w:ind w:left="0" w:leftChars="0" w:hanging="425" w:firstLineChars="200" w:firstLine="48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您服用厄贝沙坦氢氯噻嗪片的剂量是否严格按照医嘱？</w:t>
      </w:r>
    </w:p>
    <w:p w14:paraId="6F7208D9">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始终严格遵守</w:t>
      </w:r>
    </w:p>
    <w:p w14:paraId="301BBCB2">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大部分时间遵守，偶尔微调</w:t>
      </w:r>
    </w:p>
    <w:p w14:paraId="02514DCE">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经常根据自身感觉调整</w:t>
      </w:r>
    </w:p>
    <w:p w14:paraId="2FDCE85C">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eastAsia"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从未按规定剂量服用</w:t>
      </w:r>
    </w:p>
    <w:p w14:paraId="3C8B964E">
      <w:pPr>
        <w:keepNext w:val="0"/>
        <w:keepLines w:val="0"/>
        <w:pageBreakBefore w:val="0"/>
        <w:widowControl w:val="0"/>
        <w:numPr>
          <w:ilvl w:val="0"/>
          <w:numId w:val="9"/>
        </w:numPr>
        <w:kinsoku/>
        <w:wordWrap/>
        <w:overflowPunct/>
        <w:topLinePunct w:val="0"/>
        <w:autoSpaceDE/>
        <w:autoSpaceDN/>
        <w:bidi w:val="0"/>
        <w:adjustRightInd/>
        <w:snapToGrid w:val="1"/>
        <w:spacing w:line="600" w:lineRule="auto" w:before="0" w:after="0"/>
        <w:ind w:left="0" w:leftChars="0" w:hanging="425" w:firstLineChars="200" w:firstLine="48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您对厄贝沙坦氢氯噻嗪片的服药频率满意度如何？</w:t>
      </w:r>
    </w:p>
    <w:p w14:paraId="21EE6A01">
      <w:pPr>
        <w:keepNext w:val="0"/>
        <w:keepLines w:val="0"/>
        <w:pageBreakBefore w:val="0"/>
        <w:widowControl w:val="0"/>
        <w:numPr>
          <w:ilvl w:val="0"/>
          <w:numId w:val="1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频率很合适，按要求吃很轻松</w:t>
      </w:r>
    </w:p>
    <w:p w14:paraId="6D967439">
      <w:pPr>
        <w:keepNext w:val="0"/>
        <w:keepLines w:val="0"/>
        <w:pageBreakBefore w:val="0"/>
        <w:widowControl w:val="0"/>
        <w:numPr>
          <w:ilvl w:val="0"/>
          <w:numId w:val="1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频率还可以，没对生活造成困扰</w:t>
      </w:r>
    </w:p>
    <w:p w14:paraId="4411C818">
      <w:pPr>
        <w:keepNext w:val="0"/>
        <w:keepLines w:val="0"/>
        <w:pageBreakBefore w:val="0"/>
        <w:widowControl w:val="0"/>
        <w:numPr>
          <w:ilvl w:val="0"/>
          <w:numId w:val="1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频率稍微有点高，偶尔会记不清</w:t>
      </w:r>
    </w:p>
    <w:p w14:paraId="35B610CD">
      <w:pPr>
        <w:keepNext w:val="0"/>
        <w:keepLines w:val="0"/>
        <w:pageBreakBefore w:val="0"/>
        <w:widowControl w:val="0"/>
        <w:numPr>
          <w:ilvl w:val="0"/>
          <w:numId w:val="1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频率不太适应，想过调整一下</w:t>
      </w:r>
    </w:p>
    <w:p w14:paraId="6B0ADD53">
      <w:pPr>
        <w:keepNext w:val="0"/>
        <w:keepLines w:val="0"/>
        <w:pageBreakBefore w:val="0"/>
        <w:widowControl w:val="0"/>
        <w:numPr>
          <w:ilvl w:val="0"/>
          <w:numId w:val="9"/>
        </w:numPr>
        <w:kinsoku/>
        <w:wordWrap/>
        <w:overflowPunct/>
        <w:topLinePunct w:val="0"/>
        <w:autoSpaceDE/>
        <w:autoSpaceDN/>
        <w:bidi w:val="0"/>
        <w:adjustRightInd/>
        <w:snapToGrid w:val="1"/>
        <w:spacing w:line="600" w:lineRule="auto" w:before="0" w:after="0"/>
        <w:ind w:left="0" w:leftChars="0" w:hanging="425" w:firstLineChars="200" w:firstLine="48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您服用厄贝沙坦氢氯噻嗪片期间，是否同时服用其他降压药物？</w:t>
      </w:r>
    </w:p>
    <w:p w14:paraId="785C0DD9">
      <w:pPr>
        <w:keepNext w:val="0"/>
        <w:keepLines w:val="0"/>
        <w:pageBreakBefore w:val="0"/>
        <w:widowControl w:val="0"/>
        <w:numPr>
          <w:ilvl w:val="0"/>
          <w:numId w:val="11"/>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同时服用 1 种其他降压药</w:t>
      </w:r>
    </w:p>
    <w:p w14:paraId="18BDF8E6">
      <w:pPr>
        <w:keepNext w:val="0"/>
        <w:keepLines w:val="0"/>
        <w:pageBreakBefore w:val="0"/>
        <w:widowControl w:val="0"/>
        <w:numPr>
          <w:ilvl w:val="0"/>
          <w:numId w:val="11"/>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同时服用 2 种及以上其他降压药</w:t>
      </w:r>
    </w:p>
    <w:p w14:paraId="0E01FA29">
      <w:pPr>
        <w:keepNext w:val="0"/>
        <w:keepLines w:val="0"/>
        <w:pageBreakBefore w:val="0"/>
        <w:widowControl w:val="0"/>
        <w:numPr>
          <w:ilvl w:val="0"/>
          <w:numId w:val="11"/>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同时服用降压药及其他疾病治疗药物</w:t>
      </w:r>
    </w:p>
    <w:p w14:paraId="3627E7B2">
      <w:pPr>
        <w:keepNext w:val="0"/>
        <w:keepLines w:val="0"/>
        <w:pageBreakBefore w:val="0"/>
        <w:widowControl w:val="0"/>
        <w:numPr>
          <w:ilvl w:val="0"/>
          <w:numId w:val="11"/>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仅服用该药物</w:t>
      </w:r>
    </w:p>
    <w:p w14:paraId="24C53AFE">
      <w:pPr>
        <w:keepNext w:val="0"/>
        <w:keepLines w:val="0"/>
        <w:pageBreakBefore w:val="0"/>
        <w:widowControl w:val="0"/>
        <w:numPr>
          <w:ilvl w:val="0"/>
          <w:numId w:val="9"/>
        </w:numPr>
        <w:kinsoku/>
        <w:wordWrap/>
        <w:overflowPunct/>
        <w:topLinePunct w:val="0"/>
        <w:autoSpaceDE/>
        <w:autoSpaceDN/>
        <w:bidi w:val="0"/>
        <w:adjustRightInd/>
        <w:snapToGrid w:val="1"/>
        <w:spacing w:line="600" w:lineRule="auto" w:before="0" w:after="0"/>
        <w:ind w:left="0" w:leftChars="0" w:hanging="425" w:firstLineChars="200" w:firstLine="48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您是否咨询过医生，确认厄贝沙坦氢氯噻嗪片与其他药物可同时服用？</w:t>
      </w:r>
    </w:p>
    <w:p w14:paraId="2A751218">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专门咨询过，确认无冲突</w:t>
      </w:r>
    </w:p>
    <w:p w14:paraId="2CA52B37">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简单询问过，大致了解</w:t>
      </w:r>
    </w:p>
    <w:p w14:paraId="2FEC6149">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没咨询过，但认为无问题</w:t>
      </w:r>
    </w:p>
    <w:p w14:paraId="6280C8A0">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没咨询过，不清楚是否有冲突</w:t>
      </w:r>
    </w:p>
    <w:p w14:paraId="761D9CEC">
      <w:pPr>
        <w:keepNext w:val="0"/>
        <w:keepLines w:val="0"/>
        <w:pageBreakBefore w:val="0"/>
        <w:widowControl w:val="0"/>
        <w:numPr>
          <w:ilvl w:val="0"/>
          <w:numId w:val="9"/>
        </w:numPr>
        <w:kinsoku/>
        <w:wordWrap/>
        <w:overflowPunct/>
        <w:topLinePunct w:val="0"/>
        <w:autoSpaceDE/>
        <w:autoSpaceDN/>
        <w:bidi w:val="0"/>
        <w:adjustRightInd/>
        <w:snapToGrid w:val="1"/>
        <w:spacing w:line="600" w:lineRule="auto" w:before="0" w:after="0"/>
        <w:ind w:left="0" w:leftChars="0" w:hanging="425" w:firstLineChars="200" w:firstLine="48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您所在地区的厄贝沙坦氢氯噻嗪片供应是否稳定？</w:t>
      </w:r>
    </w:p>
    <w:p w14:paraId="285FB246">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随时能买到</w:t>
      </w:r>
    </w:p>
    <w:p w14:paraId="5D6C5B9E">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偶尔缺货但不影响用药</w:t>
      </w:r>
    </w:p>
    <w:p w14:paraId="33820A1F">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经常缺货</w:t>
      </w:r>
    </w:p>
    <w:p w14:paraId="7C7F41D9">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eastAsia"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严重影响用药</w:t>
      </w:r>
    </w:p>
    <w:p w14:paraId="429D0FCE">
      <w:pPr>
        <w:keepNext w:val="0"/>
        <w:keepLines w:val="0"/>
        <w:pageBreakBefore w:val="0"/>
        <w:widowControl w:val="0"/>
        <w:numPr>
          <w:ilvl w:val="0"/>
          <w:numId w:val="9"/>
        </w:numPr>
        <w:kinsoku/>
        <w:wordWrap/>
        <w:overflowPunct/>
        <w:topLinePunct w:val="0"/>
        <w:autoSpaceDE/>
        <w:autoSpaceDN/>
        <w:bidi w:val="0"/>
        <w:adjustRightInd/>
        <w:snapToGrid w:val="1"/>
        <w:spacing w:line="600" w:lineRule="auto" w:before="0" w:after="0"/>
        <w:ind w:left="0" w:leftChars="0" w:hanging="425" w:firstLineChars="200" w:firstLine="48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您服用厄贝沙坦氢氯噻嗪片期间，是否定期监测血压？</w:t>
      </w:r>
    </w:p>
    <w:p w14:paraId="0092B7AB">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每天监测，记录详细数据</w:t>
      </w:r>
    </w:p>
    <w:p w14:paraId="290FDC11">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每周监测 2-3 次，了解大致情况</w:t>
      </w:r>
    </w:p>
    <w:p w14:paraId="772CAEC4">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偶尔监测，无固定频率</w:t>
      </w:r>
    </w:p>
    <w:p w14:paraId="095D4DE0">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从未监测</w:t>
      </w:r>
    </w:p>
    <w:p w14:paraId="12C2374E">
      <w:pPr>
        <w:keepNext w:val="0"/>
        <w:keepLines w:val="0"/>
        <w:pageBreakBefore w:val="0"/>
        <w:widowControl w:val="0"/>
        <w:numPr>
          <w:ilvl w:val="0"/>
          <w:numId w:val="9"/>
        </w:numPr>
        <w:kinsoku/>
        <w:wordWrap/>
        <w:overflowPunct/>
        <w:topLinePunct w:val="0"/>
        <w:autoSpaceDE/>
        <w:autoSpaceDN/>
        <w:bidi w:val="0"/>
        <w:adjustRightInd/>
        <w:snapToGrid w:val="1"/>
        <w:spacing w:line="600" w:lineRule="auto" w:before="0" w:after="0"/>
        <w:ind w:left="0" w:leftChars="0" w:hanging="425" w:firstLineChars="200" w:firstLine="48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您对厄贝沙坦氢氯噻嗪片药品包装的便利性评价如何？</w:t>
      </w:r>
    </w:p>
    <w:p w14:paraId="3B9158A8">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储存、取用都方便</w:t>
      </w:r>
    </w:p>
    <w:p w14:paraId="61A7E73D">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基本满足需求</w:t>
      </w:r>
    </w:p>
    <w:p w14:paraId="0234AF46">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存在取用麻烦等问题</w:t>
      </w:r>
    </w:p>
    <w:p w14:paraId="63775ECB">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非常不便利，严重影响使用</w:t>
      </w:r>
    </w:p>
    <w:p w14:paraId="7C23499B">
      <w:pPr>
        <w:keepNext w:val="0"/>
        <w:keepLines w:val="0"/>
        <w:pageBreakBefore w:val="0"/>
        <w:widowControl w:val="0"/>
        <w:numPr>
          <w:ilvl w:val="0"/>
          <w:numId w:val="9"/>
        </w:numPr>
        <w:kinsoku/>
        <w:wordWrap/>
        <w:overflowPunct/>
        <w:topLinePunct w:val="0"/>
        <w:autoSpaceDE/>
        <w:autoSpaceDN/>
        <w:bidi w:val="0"/>
        <w:adjustRightInd/>
        <w:snapToGrid w:val="1"/>
        <w:spacing w:line="600" w:lineRule="auto" w:before="0" w:after="0"/>
        <w:ind w:left="0" w:leftChars="0" w:hanging="425" w:firstLineChars="200" w:firstLine="48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您对厄贝沙坦氢氯噻嗪片说明书中</w:t>
      </w:r>
      <w:r>
        <w:rPr>
          <w:rFonts w:hint="eastAsia" w:ascii="汉仪中宋简" w:hAnsi="汉仪中宋简" w:eastAsia="汉仪中宋简" w:cs="汉仪中宋简"/>
          <w:snapToGrid/>
          <w:kern w:val="2"/>
          <w:sz w:val="24"/>
          <w:szCs w:val="24"/>
          <w:lang w:val="en-US" w:eastAsia="zh-CN"/>
        </w:rPr>
        <w:t>“</w:t>
      </w:r>
      <w:r>
        <w:rPr>
          <w:rFonts w:hint="default" w:ascii="汉仪中宋简" w:hAnsi="汉仪中宋简" w:eastAsia="汉仪中宋简" w:cs="汉仪中宋简"/>
          <w:snapToGrid/>
          <w:kern w:val="2"/>
          <w:sz w:val="24"/>
          <w:szCs w:val="24"/>
          <w:lang w:val="en-US" w:eastAsia="zh-CN"/>
        </w:rPr>
        <w:t>用法用量”“不良反应</w:t>
      </w:r>
      <w:r>
        <w:rPr>
          <w:rFonts w:hint="eastAsia" w:ascii="汉仪中宋简" w:hAnsi="汉仪中宋简" w:eastAsia="汉仪中宋简" w:cs="汉仪中宋简"/>
          <w:snapToGrid/>
          <w:kern w:val="2"/>
          <w:sz w:val="24"/>
          <w:szCs w:val="24"/>
          <w:lang w:val="en-US" w:eastAsia="zh-CN"/>
        </w:rPr>
        <w:t>”</w:t>
      </w:r>
      <w:r>
        <w:rPr>
          <w:rFonts w:hint="default" w:ascii="汉仪中宋简" w:hAnsi="汉仪中宋简" w:eastAsia="汉仪中宋简" w:cs="汉仪中宋简"/>
          <w:snapToGrid/>
          <w:kern w:val="2"/>
          <w:sz w:val="24"/>
          <w:szCs w:val="24"/>
          <w:lang w:val="en-US" w:eastAsia="zh-CN"/>
        </w:rPr>
        <w:t>的标注清晰度评价如何？</w:t>
      </w:r>
    </w:p>
    <w:p w14:paraId="4EE70D2B">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一目了然</w:t>
      </w:r>
    </w:p>
    <w:p w14:paraId="2D376978">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容易理解</w:t>
      </w:r>
    </w:p>
    <w:p w14:paraId="7D0C4622">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部分内容不够明确</w:t>
      </w:r>
    </w:p>
    <w:p w14:paraId="185B13AD">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eastAsia"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难以分辨</w:t>
      </w:r>
    </w:p>
    <w:p w14:paraId="00B8B3B2">
      <w:pPr>
        <w:keepNext w:val="0"/>
        <w:keepLines w:val="0"/>
        <w:pageBreakBefore w:val="0"/>
        <w:widowControl w:val="0"/>
        <w:numPr>
          <w:ilvl w:val="0"/>
          <w:numId w:val="9"/>
        </w:numPr>
        <w:kinsoku/>
        <w:wordWrap/>
        <w:overflowPunct/>
        <w:topLinePunct w:val="0"/>
        <w:autoSpaceDE/>
        <w:autoSpaceDN/>
        <w:bidi w:val="0"/>
        <w:adjustRightInd/>
        <w:snapToGrid w:val="1"/>
        <w:spacing w:line="600" w:lineRule="auto" w:before="0" w:after="0"/>
        <w:ind w:left="0" w:leftChars="0" w:hanging="425" w:firstLineChars="200" w:firstLine="48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default" w:ascii="汉仪中宋简" w:hAnsi="汉仪中宋简" w:eastAsia="汉仪中宋简" w:cs="汉仪中宋简"/>
          <w:snapToGrid/>
          <w:kern w:val="2"/>
          <w:sz w:val="24"/>
          <w:szCs w:val="24"/>
          <w:lang w:val="en-US" w:eastAsia="zh-CN"/>
        </w:rPr>
        <w:t>您认为当前获取的用药指导是否足够详细准确？</w:t>
      </w:r>
    </w:p>
    <w:p w14:paraId="13782D53">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非常详细准确，能解决所有疑问</w:t>
      </w:r>
    </w:p>
    <w:p w14:paraId="2536600B">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比较详细准确，能解决大部分疑问</w:t>
      </w:r>
    </w:p>
    <w:p w14:paraId="5031355C">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一般，部分疑问无法解答</w:t>
      </w:r>
    </w:p>
    <w:p w14:paraId="6743342D">
      <w:pPr>
        <w:keepNext w:val="0"/>
        <w:keepLines w:val="0"/>
        <w:pageBreakBefore w:val="0"/>
        <w:widowControl w:val="0"/>
        <w:numPr>
          <w:ilvl w:val="0"/>
          <w:numId w:val="0"/>
        </w:numPr>
        <w:kinsoku/>
        <w:wordWrap/>
        <w:overflowPunct/>
        <w:topLinePunct w:val="0"/>
        <w:autoSpaceDE/>
        <w:autoSpaceDN/>
        <w:bidi w:val="0"/>
        <w:adjustRightInd/>
        <w:snapToGrid w:val="1"/>
        <w:spacing w:line="600" w:lineRule="auto" w:before="0" w:after="0"/>
        <w:ind w:left="0" w:leftChars="0" w:firstLine="480" w:firstLineChars="200" w:right="0" w:rightChars="0"/>
        <w:jc w:val="both"/>
        <w:textAlignment w:val="auto"/>
        <w:rPr>
          <w:rFonts w:hint="default" w:ascii="汉仪中宋简" w:hAnsi="汉仪中宋简" w:eastAsia="汉仪中宋简" w:cs="汉仪中宋简"/>
          <w:snapToGrid/>
          <w:kern w:val="2"/>
          <w:sz w:val="24"/>
          <w:szCs w:val="24"/>
          <w:lang w:val="en-US" w:eastAsia="zh-CN"/>
        </w:rPr>
        <w:outlineLvl w:val="9"/>
        <w:textDirection w:val="lrTb"/>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不够详细准确，存在很多困惑</w:t>
      </w:r>
    </w:p>
    <w:p w14:paraId="2E498182">
      <w:pPr>
        <w:rPr>
          <w:rFonts w:hint="eastAsia" w:ascii="汉仪中宋简" w:hAnsi="汉仪中宋简" w:eastAsia="汉仪中宋简" w:cs="汉仪中宋简"/>
          <w:lang w:val="en-US" w:eastAsia="zh-CN"/>
        </w:rPr>
      </w:pPr>
    </w:p>
    <w:p w14:paraId="769D578A">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420" w:firstLineChars="200"/>
        <w:jc w:val="left"/>
        <w:textAlignment w:val="auto"/>
        <w:rPr>
          <w:rFonts w:hint="eastAsia" w:ascii="汉仪中宋简" w:hAnsi="汉仪中宋简" w:eastAsia="汉仪中宋简" w:cs="汉仪中宋简"/>
          <w:lang w:val="en-US" w:eastAsia="zh-CN"/>
        </w:rPr>
      </w:pPr>
      <w:r>
        <w:rPr>
          <w:rFonts w:hint="eastAsia" w:ascii="汉仪中宋简" w:hAnsi="汉仪中宋简" w:eastAsia="汉仪中宋简" w:cs="汉仪中宋简"/>
          <w:lang w:val="en-US" w:eastAsia="zh-CN"/>
        </w:rPr>
        <w:br w:type="page"/>
      </w:r>
    </w:p>
    <w:p w14:paraId="683C6AC0">
      <w:pPr>
        <w:pStyle w:val="2"/>
        <w:bidi w:val="0"/>
        <w:rPr>
          <w:rFonts w:hint="eastAsia" w:ascii="汉仪中宋简" w:hAnsi="汉仪中宋简" w:eastAsia="汉仪中宋简" w:cs="汉仪中宋简"/>
          <w:highlight w:val="none"/>
          <w:lang w:val="en-US" w:eastAsia="zh-CN"/>
        </w:rPr>
      </w:pPr>
      <w:bookmarkStart w:id="27" w:name="_Toc22330"/>
      <w:r>
        <w:rPr>
          <w:rFonts w:hint="eastAsia" w:ascii="汉仪中宋简" w:hAnsi="汉仪中宋简" w:eastAsia="汉仪中宋简" w:cs="汉仪中宋简"/>
          <w:highlight w:val="none"/>
          <w:lang w:val="en-US" w:eastAsia="zh-CN"/>
        </w:rPr>
        <w:t>附件2：问卷调查明细表</w:t>
      </w:r>
      <w:bookmarkEnd w:id="27"/>
    </w:p>
    <w:p w14:paraId="6CD34407">
      <w:pPr>
        <w:bidi w:val="0"/>
        <w:rPr>
          <w:rFonts w:hint="eastAsia" w:ascii="汉仪中宋简" w:hAnsi="汉仪中宋简" w:eastAsia="汉仪中宋简" w:cs="汉仪中宋简"/>
          <w:highlight w:val="none"/>
        </w:rPr>
        <w:jc w:val="both"/>
        <w:outlineLvl w:val="9"/>
        <w:ind w:firstLine="480" w:firstLineChars="200" w:left="0" w:leftChars="0" w:right="0" w:rightChars="0"/>
        <w:spacing w:line="600" w:lineRule="auto" w:before="0" w:after="0"/>
        <w:widowControl w:val="0"/>
        <w:textDirection w:val="lrTb"/>
        <w:snapToGrid w:val="1"/>
      </w:pPr>
      <w:r>
        <w:t xml:space="preserve">01-1. 团队问卷调查明细-厄贝沙坦氢氯噻嗪片用药体验与疗效反馈-患者调查问卷(湖南)</w:t>
      </w:r>
    </w:p>
    <w:p w14:paraId="6A33FBAA">
      <w:pPr>
        <w:rPr>
          <w:rFonts w:hint="eastAsia" w:ascii="汉仪中宋简" w:hAnsi="汉仪中宋简" w:eastAsia="汉仪中宋简" w:cs="汉仪中宋简"/>
        </w:rPr>
      </w:pPr>
    </w:p>
    <w:p w14:paraId="61B638CE">
      <w:pPr>
        <w:rPr>
          <w:rFonts w:hint="eastAsia" w:ascii="汉仪中宋简" w:hAnsi="汉仪中宋简" w:eastAsia="汉仪中宋简" w:cs="汉仪中宋简"/>
        </w:rPr>
      </w:pPr>
    </w:p>
    <w:p w14:paraId="544422C2">
      <w:pPr>
        <w:rPr>
          <w:rFonts w:hint="eastAsia" w:ascii="汉仪中宋简" w:hAnsi="汉仪中宋简" w:eastAsia="汉仪中宋简" w:cs="汉仪中宋简"/>
        </w:rPr>
      </w:pPr>
      <w:r>
        <w:rPr>
          <w:rFonts w:hint="eastAsia" w:ascii="汉仪中宋简" w:hAnsi="汉仪中宋简" w:eastAsia="汉仪中宋简" w:cs="汉仪中宋简"/>
        </w:rPr>
        <w:br w:type="page"/>
      </w:r>
    </w:p>
    <w:p w14:paraId="6101B089">
      <w:pPr>
        <w:pStyle w:val="2"/>
        <w:bidi w:val="0"/>
        <w:jc w:val="center"/>
        <w:rPr>
          <w:rFonts w:hint="eastAsia" w:ascii="汉仪中宋简" w:hAnsi="汉仪中宋简" w:eastAsia="汉仪中宋简" w:cs="汉仪中宋简"/>
        </w:rPr>
      </w:pPr>
      <w:bookmarkStart w:id="28" w:name="_Toc30276"/>
      <w:bookmarkStart w:id="29" w:name="_Toc8154"/>
      <w:r>
        <w:rPr>
          <w:rFonts w:hint="eastAsia" w:ascii="汉仪中宋简" w:hAnsi="汉仪中宋简" w:eastAsia="汉仪中宋简" w:cs="汉仪中宋简"/>
          <w:sz w:val="32"/>
          <w:szCs w:val="32"/>
          <w:b w:val="1"/>
        </w:rPr>
        <w:t>免责申明</w:t>
      </w:r>
      <w:bookmarkEnd w:id="28"/>
      <w:bookmarkEnd w:id="29"/>
    </w:p>
    <w:p w14:paraId="5D943D93">
      <w:r>
        <w:rPr>
          <w:rFonts w:ascii="汉仪中宋简" w:hAnsi="汉仪中宋简" w:eastAsia="汉仪中宋简"/>
          <w:sz w:val="24"/>
          <w:szCs w:val="24"/>
        </w:rPr>
        <w:t xml:space="preserve">（1）本次调研项目以随机选取对象进行面对面调研，本次调研只对本次样本数据负责。</w:t>
      </w:r>
      <w:pPr>
        <w:keepNext w:val="0"/>
        <w:keepLines w:val="0"/>
        <w:pageBreakBefore w:val="0"/>
        <w:widowControl w:val="0"/>
        <w:kinsoku/>
        <w:wordWrap/>
        <w:overflowPunct/>
        <w:topLinePunct w:val="0"/>
        <w:autoSpaceDE/>
        <w:autoSpaceDN/>
        <w:bidi w:val="0"/>
        <w:adjustRightInd/>
        <w:snapToGrid w:val="1"/>
        <w:spacing w:line="600" w:lineRule="auto" w:before="0" w:after="0"/>
        <w:textAlignment w:val="auto"/>
        <w:rPr>
          <w:rFonts w:hint="eastAsia" w:ascii="汉仪中宋简" w:hAnsi="汉仪中宋简" w:eastAsia="汉仪中宋简" w:cs="汉仪中宋简"/>
          <w:sz w:val="24"/>
          <w:szCs w:val="24"/>
        </w:rPr>
        <w:jc w:val="both"/>
        <w:outlineLvl w:val="9"/>
        <w:ind w:firstLine="0" w:firstLineChars="0" w:left="0" w:leftChars="0" w:right="0" w:rightChars="0"/>
        <w:textDirection w:val="lrTb"/>
      </w:pPr>
    </w:p>
    <w:p w14:paraId="262A001F">
      <w:r>
        <w:rPr>
          <w:rFonts w:ascii="汉仪中宋简" w:hAnsi="汉仪中宋简" w:eastAsia="汉仪中宋简"/>
          <w:sz w:val="24"/>
          <w:szCs w:val="24"/>
        </w:rPr>
        <w:t xml:space="preserve">（2）承接单位调研项目，是针对厄贝沙坦氢氯噻嗪片这一品种调研，并非指定厂家指定品种。</w:t>
      </w:r>
      <w:pPr>
        <w:keepNext w:val="0"/>
        <w:keepLines w:val="0"/>
        <w:pageBreakBefore w:val="0"/>
        <w:widowControl w:val="0"/>
        <w:kinsoku/>
        <w:wordWrap/>
        <w:overflowPunct/>
        <w:topLinePunct w:val="0"/>
        <w:autoSpaceDE/>
        <w:autoSpaceDN/>
        <w:bidi w:val="0"/>
        <w:adjustRightInd/>
        <w:snapToGrid w:val="1"/>
        <w:spacing w:line="600" w:lineRule="auto" w:before="0" w:after="0"/>
        <w:textAlignment w:val="auto"/>
        <w:rPr>
          <w:rFonts w:hint="eastAsia" w:ascii="汉仪中宋简" w:hAnsi="汉仪中宋简" w:eastAsia="汉仪中宋简" w:cs="汉仪中宋简"/>
          <w:sz w:val="24"/>
          <w:szCs w:val="24"/>
        </w:rPr>
        <w:jc w:val="both"/>
        <w:outlineLvl w:val="9"/>
        <w:ind w:firstLine="0" w:firstLineChars="0" w:left="0" w:leftChars="0" w:right="0" w:rightChars="0"/>
        <w:textDirection w:val="lrTb"/>
      </w:pPr>
    </w:p>
    <w:p w14:paraId="3F3994F8">
      <w:r>
        <w:rPr>
          <w:rFonts w:ascii="汉仪中宋简" w:hAnsi="汉仪中宋简" w:eastAsia="汉仪中宋简"/>
          <w:sz w:val="24"/>
          <w:szCs w:val="24"/>
        </w:rPr>
        <w:t xml:space="preserve">（3）本次调研只针对调研区域数据负责，不代表全国调研数据。</w:t>
      </w:r>
      <w:pPr>
        <w:keepNext w:val="0"/>
        <w:keepLines w:val="0"/>
        <w:pageBreakBefore w:val="0"/>
        <w:widowControl w:val="0"/>
        <w:kinsoku/>
        <w:wordWrap/>
        <w:overflowPunct/>
        <w:topLinePunct w:val="0"/>
        <w:autoSpaceDE/>
        <w:autoSpaceDN/>
        <w:bidi w:val="0"/>
        <w:adjustRightInd/>
        <w:snapToGrid w:val="1"/>
        <w:spacing w:line="600" w:lineRule="auto" w:before="0" w:after="0"/>
        <w:textAlignment w:val="auto"/>
        <w:rPr>
          <w:rFonts w:hint="eastAsia" w:ascii="汉仪中宋简" w:hAnsi="汉仪中宋简" w:eastAsia="汉仪中宋简" w:cs="汉仪中宋简"/>
          <w:sz w:val="24"/>
          <w:szCs w:val="24"/>
        </w:rPr>
        <w:jc w:val="both"/>
        <w:outlineLvl w:val="9"/>
        <w:ind w:firstLine="0" w:firstLineChars="0" w:left="0" w:leftChars="0" w:right="0" w:rightChars="0"/>
        <w:textDirection w:val="lrTb"/>
      </w:pPr>
    </w:p>
    <w:p w14:paraId="12ACD20B">
      <w:pPr>
        <w:spacing w:line="400" w:lineRule="exact"/>
        <w:rPr>
          <w:rFonts w:hint="eastAsia" w:ascii="汉仪中宋简" w:hAnsi="汉仪中宋简" w:eastAsia="汉仪中宋简" w:cs="汉仪中宋简"/>
        </w:rPr>
      </w:pPr>
    </w:p>
    <w:p w14:paraId="4A0BBAF2">
      <w:pPr>
        <w:spacing w:line="400" w:lineRule="exact"/>
        <w:rPr>
          <w:rFonts w:hint="eastAsia" w:ascii="汉仪中宋简" w:hAnsi="汉仪中宋简" w:eastAsia="汉仪中宋简" w:cs="汉仪中宋简"/>
        </w:rPr>
      </w:pPr>
    </w:p>
    <w:p w14:paraId="13580F1B">
      <w:pPr>
        <w:spacing w:line="400" w:lineRule="exact"/>
        <w:rPr>
          <w:rFonts w:hint="eastAsia" w:ascii="汉仪中宋简" w:hAnsi="汉仪中宋简" w:eastAsia="汉仪中宋简" w:cs="汉仪中宋简"/>
        </w:rPr>
      </w:pPr>
    </w:p>
    <w:p w14:paraId="1AF2960F">
      <w:pPr>
        <w:spacing w:line="400" w:lineRule="exact"/>
        <w:rPr>
          <w:rFonts w:hint="eastAsia" w:ascii="汉仪中宋简" w:hAnsi="汉仪中宋简" w:eastAsia="汉仪中宋简" w:cs="汉仪中宋简"/>
        </w:rPr>
      </w:pPr>
    </w:p>
    <w:p w14:paraId="47DCED2E">
      <w:pPr>
        <w:spacing w:line="400" w:lineRule="exact"/>
        <w:rPr>
          <w:rFonts w:hint="eastAsia" w:ascii="汉仪中宋简" w:hAnsi="汉仪中宋简" w:eastAsia="汉仪中宋简" w:cs="汉仪中宋简"/>
        </w:rPr>
      </w:pPr>
    </w:p>
    <w:p w14:paraId="22FC2F08">
      <w:pPr>
        <w:spacing w:line="400" w:lineRule="exact"/>
        <w:rPr>
          <w:rFonts w:hint="eastAsia" w:ascii="汉仪中宋简" w:hAnsi="汉仪中宋简" w:eastAsia="汉仪中宋简" w:cs="汉仪中宋简"/>
        </w:rPr>
      </w:pPr>
    </w:p>
    <w:p w14:paraId="2B71D7B4">
      <w:r>
        <w:rPr>
          <w:rFonts w:ascii="汉仪中宋简" w:hAnsi="汉仪中宋简" w:eastAsia="汉仪中宋简"/>
          <w:sz w:val="24"/>
          <w:szCs w:val="24"/>
        </w:rPr>
        <w:t xml:space="preserve">服务提供单位:北京玖麟空科技有限公司</w:t>
      </w:r>
      <w:pPr>
        <w:keepNext w:val="0"/>
        <w:keepLines w:val="0"/>
        <w:pageBreakBefore w:val="0"/>
        <w:widowControl w:val="0"/>
        <w:kinsoku/>
        <w:wordWrap/>
        <w:overflowPunct/>
        <w:topLinePunct w:val="0"/>
        <w:autoSpaceDE/>
        <w:autoSpaceDN/>
        <w:bidi w:val="0"/>
        <w:adjustRightInd/>
        <w:snapToGrid w:val="1"/>
        <w:spacing w:line="600" w:lineRule="auto" w:before="0" w:after="0"/>
        <w:jc w:val="right"/>
        <w:textAlignment w:val="auto"/>
        <w:rPr>
          <w:rFonts w:hint="eastAsia" w:ascii="汉仪中宋简" w:hAnsi="汉仪中宋简" w:eastAsia="汉仪中宋简" w:cs="汉仪中宋简"/>
          <w:sz w:val="24"/>
          <w:szCs w:val="24"/>
        </w:rPr>
        <w:outlineLvl w:val="9"/>
        <w:ind w:firstLine="0" w:firstLineChars="0" w:left="0" w:leftChars="0" w:right="0" w:rightChars="0"/>
        <w:textDirection w:val="lrTb"/>
      </w:pPr>
    </w:p>
    <w:p w14:paraId="1D60D8EB">
      <w:r>
        <w:rPr>
          <w:rFonts w:ascii="汉仪中宋简" w:hAnsi="汉仪中宋简" w:eastAsia="汉仪中宋简"/>
          <w:sz w:val="24"/>
          <w:szCs w:val="24"/>
        </w:rPr>
        <w:t xml:space="preserve">2025年10月07日</w:t>
      </w:r>
      <w:pPr>
        <w:keepNext w:val="0"/>
        <w:keepLines w:val="0"/>
        <w:pageBreakBefore w:val="0"/>
        <w:widowControl w:val="0"/>
        <w:kinsoku/>
        <w:wordWrap/>
        <w:overflowPunct/>
        <w:topLinePunct w:val="0"/>
        <w:autoSpaceDE/>
        <w:autoSpaceDN/>
        <w:bidi w:val="0"/>
        <w:adjustRightInd/>
        <w:snapToGrid w:val="1"/>
        <w:spacing w:line="600" w:lineRule="auto" w:before="0" w:after="0"/>
        <w:jc w:val="right"/>
        <w:textAlignment w:val="auto"/>
        <w:rPr>
          <w:rFonts w:hint="eastAsia" w:ascii="汉仪中宋简" w:hAnsi="汉仪中宋简" w:eastAsia="汉仪中宋简" w:cs="汉仪中宋简"/>
          <w:lang w:val="en-US" w:eastAsia="zh-CN"/>
        </w:rPr>
        <w:outlineLvl w:val="9"/>
        <w:ind w:firstLine="0" w:firstLineChars="0" w:left="0" w:leftChars="0" w:right="0" w:rightChars="0"/>
        <w:textDirection w:val="lrTb"/>
      </w:pPr>
    </w:p>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decorative"/>
    <w:pitch w:val="default"/>
    <w:sig w:usb0="E0002EFF" w:usb1="C000785B" w:usb2="00000009" w:usb3="00000000" w:csb0="400001FF" w:csb1="FFFF0000"/>
  </w:font>
  <w:font w:name="宋体">
    <w:panose1 w:val="02010600030101010101"/>
    <w:charset w:val="80"/>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1" w:fontKey="{916C5615-01DB-4827-BD4E-F8610F5BD1FE}"/>
  </w:font>
  <w:font w:name="汉仪粗黑简">
    <w:panose1 w:val="02010600000101010101"/>
    <w:charset w:val="86"/>
    <w:family w:val="auto"/>
    <w:pitch w:val="default"/>
    <w:sig w:usb0="00000001" w:usb1="080E0800" w:usb2="00000002" w:usb3="00000000" w:csb0="00040000" w:csb1="00000000"/>
    <w:embedRegular r:id="rId2" w:fontKey="{D3E379EE-1C2C-4E0F-A61E-0A5D4F1DDB05}"/>
  </w:font>
  <w:font w:name="汉仪中宋简">
    <w:panose1 w:val="02010600000101010101"/>
    <w:charset w:val="80"/>
    <w:family w:val="auto"/>
    <w:pitch w:val="default"/>
    <w:sig w:usb0="800002BF" w:usb1="184F6CF8" w:usb2="00000012" w:usb3="00000000" w:csb0="00020001" w:csb1="00000000"/>
    <w:embedRegular r:id="rId3" w:fontKey="{E49E4BB4-9C54-44F1-84D6-2CCB9BE61129}"/>
  </w:font>
  <w:font w:name="汉仪元隆黑-105简">
    <w:panose1 w:val="00020600040101010101"/>
    <w:charset w:val="86"/>
    <w:family w:val="auto"/>
    <w:pitch w:val="default"/>
    <w:sig w:usb0="8000003F" w:usb1="1AC17CFA" w:usb2="00000016" w:usb3="00000000" w:csb0="0004009F" w:csb1="00000000"/>
    <w:embedRegular r:id="rId4" w:fontKey="{40560A2B-C648-4B1B-B617-701B83EC873A}"/>
  </w:font>
  <w:font w:name="WPSEMBED14">
    <w:panose1 w:val="02010600000101010101"/>
    <w:charset w:val="86"/>
    <w:family w:val="auto"/>
    <w:pitch w:val="default"/>
    <w:sig w:usb0="00000001" w:usb1="080E0800" w:usb2="00000002" w:usb3="00000000" w:csb0="00040000" w:csb1="00000000"/>
  </w:font>
  <w:font w:name="WPSEMBED15">
    <w:panose1 w:val="00020600040101010101"/>
    <w:charset w:val="86"/>
    <w:family w:val="auto"/>
    <w:pitch w:val="default"/>
    <w:sig w:usb0="8000003F" w:usb1="1AC17CFA" w:usb2="00000016" w:usb3="00000000" w:csb0="000400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A88EBE">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CE882">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5A4DAF">
    <w:pPr>
      <w:pStyle w:val="5"/>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5D9F86">
                          <w:pPr>
                            <w:pStyle w:val="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355D9F86">
                    <w:pPr>
                      <w:pStyle w:val="5"/>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CBE0B2">
    <w:pPr>
      <w:pStyle w:val="6"/>
      <w:pBdr>
        <w:bottom w:val="single" w:color="auto" w:sz="4" w:space="1"/>
      </w:pBdr>
      <w:rPr>
        <w:rFonts w:hint="default"/>
        <w:lang w:val="en-US" w:eastAsia="zh-CN"/>
      </w:rPr>
    </w:pPr>
    <w:r>
      <w:rPr>
        <w:rFonts w:hint="eastAsia"/>
        <w:lang w:val="en-US" w:eastAsia="zh-CN"/>
      </w:rPr>
      <w:t>问卷调研分析报告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A128A2"/>
    <w:multiLevelType w:val="singleLevel"/>
    <w:tmpl w:val="BAA128A2"/>
    <w:lvl w:ilvl="0" w:tentative="0">
      <w:start w:val="1"/>
      <w:numFmt w:val="decimal"/>
      <w:lvlText w:val="(%1)"/>
      <w:lvlJc w:val="left"/>
      <w:pPr>
        <w:ind w:left="425" w:hanging="425"/>
      </w:pPr>
      <w:rPr>
        <w:rFonts w:hint="default"/>
      </w:rPr>
    </w:lvl>
  </w:abstractNum>
  <w:abstractNum w:abstractNumId="1">
    <w:nsid w:val="C8B9116B"/>
    <w:multiLevelType w:val="singleLevel"/>
    <w:tmpl w:val="C8B9116B"/>
    <w:lvl w:ilvl="0" w:tentative="0">
      <w:start w:val="1"/>
      <w:numFmt w:val="decimal"/>
      <w:lvlText w:val="(%1)"/>
      <w:lvlJc w:val="left"/>
      <w:pPr>
        <w:ind w:left="425" w:hanging="425"/>
      </w:pPr>
      <w:rPr>
        <w:rFonts w:hint="default"/>
      </w:rPr>
    </w:lvl>
  </w:abstractNum>
  <w:abstractNum w:abstractNumId="2">
    <w:nsid w:val="036A05D1"/>
    <w:multiLevelType w:val="singleLevel"/>
    <w:tmpl w:val="036A05D1"/>
    <w:lvl w:ilvl="0" w:tentative="0">
      <w:start w:val="1"/>
      <w:numFmt w:val="upperLetter"/>
      <w:suff w:val="space"/>
      <w:lvlText w:val="%1."/>
      <w:lvlJc w:val="left"/>
    </w:lvl>
  </w:abstractNum>
  <w:abstractNum w:abstractNumId="3">
    <w:nsid w:val="072B0078"/>
    <w:multiLevelType w:val="singleLevel"/>
    <w:tmpl w:val="072B0078"/>
    <w:lvl w:ilvl="0" w:tentative="0">
      <w:start w:val="1"/>
      <w:numFmt w:val="decimal"/>
      <w:lvlText w:val="(%1)"/>
      <w:lvlJc w:val="left"/>
      <w:pPr>
        <w:ind w:left="425" w:hanging="425"/>
      </w:pPr>
      <w:rPr>
        <w:rFonts w:hint="default"/>
      </w:rPr>
    </w:lvl>
  </w:abstractNum>
  <w:abstractNum w:abstractNumId="4">
    <w:nsid w:val="1108D3A0"/>
    <w:multiLevelType w:val="singleLevel"/>
    <w:tmpl w:val="1108D3A0"/>
    <w:lvl w:ilvl="0" w:tentative="0">
      <w:start w:val="1"/>
      <w:numFmt w:val="decimal"/>
      <w:lvlText w:val="(%1)"/>
      <w:lvlJc w:val="left"/>
      <w:pPr>
        <w:ind w:left="425" w:hanging="425"/>
      </w:pPr>
      <w:rPr>
        <w:rFonts w:hint="default"/>
      </w:rPr>
    </w:lvl>
  </w:abstractNum>
  <w:abstractNum w:abstractNumId="5">
    <w:nsid w:val="2D9BC5AA"/>
    <w:multiLevelType w:val="singleLevel"/>
    <w:tmpl w:val="2D9BC5AA"/>
    <w:lvl w:ilvl="0" w:tentative="0">
      <w:start w:val="1"/>
      <w:numFmt w:val="chineseCounting"/>
      <w:suff w:val="nothing"/>
      <w:lvlText w:val="%1、"/>
      <w:lvlJc w:val="left"/>
      <w:rPr>
        <w:rFonts w:hint="eastAsia"/>
      </w:rPr>
    </w:lvl>
  </w:abstractNum>
  <w:abstractNum w:abstractNumId="6">
    <w:nsid w:val="30E93D70"/>
    <w:multiLevelType w:val="singleLevel"/>
    <w:tmpl w:val="30E93D70"/>
    <w:lvl w:ilvl="0" w:tentative="0">
      <w:start w:val="1"/>
      <w:numFmt w:val="decimal"/>
      <w:lvlText w:val="(%1)"/>
      <w:lvlJc w:val="left"/>
      <w:pPr>
        <w:ind w:left="425" w:hanging="425"/>
      </w:pPr>
      <w:rPr>
        <w:rFonts w:hint="default"/>
      </w:rPr>
    </w:lvl>
  </w:abstractNum>
  <w:abstractNum w:abstractNumId="7">
    <w:nsid w:val="364EF7CF"/>
    <w:multiLevelType w:val="singleLevel"/>
    <w:tmpl w:val="364EF7CF"/>
    <w:lvl w:ilvl="0" w:tentative="0">
      <w:start w:val="1"/>
      <w:numFmt w:val="decimal"/>
      <w:lvlText w:val="(%1)"/>
      <w:lvlJc w:val="left"/>
      <w:pPr>
        <w:ind w:left="425" w:hanging="425"/>
      </w:pPr>
      <w:rPr>
        <w:rFonts w:hint="default"/>
      </w:rPr>
    </w:lvl>
  </w:abstractNum>
  <w:abstractNum w:abstractNumId="8">
    <w:nsid w:val="4CC8A90B"/>
    <w:multiLevelType w:val="singleLevel"/>
    <w:tmpl w:val="4CC8A90B"/>
    <w:lvl w:ilvl="0" w:tentative="0">
      <w:start w:val="1"/>
      <w:numFmt w:val="decimal"/>
      <w:lvlText w:val="(%1)"/>
      <w:lvlJc w:val="left"/>
      <w:pPr>
        <w:ind w:left="425" w:hanging="425"/>
      </w:pPr>
      <w:rPr>
        <w:rFonts w:hint="default"/>
      </w:rPr>
    </w:lvl>
  </w:abstractNum>
  <w:abstractNum w:abstractNumId="9">
    <w:nsid w:val="514C377C"/>
    <w:multiLevelType w:val="singleLevel"/>
    <w:tmpl w:val="514C377C"/>
    <w:lvl w:ilvl="0" w:tentative="0">
      <w:start w:val="1"/>
      <w:numFmt w:val="upperLetter"/>
      <w:suff w:val="space"/>
      <w:lvlText w:val="%1."/>
      <w:lvlJc w:val="left"/>
    </w:lvl>
  </w:abstractNum>
  <w:abstractNum w:abstractNumId="10">
    <w:nsid w:val="76A2585A"/>
    <w:multiLevelType w:val="singleLevel"/>
    <w:tmpl w:val="76A2585A"/>
    <w:lvl w:ilvl="0" w:tentative="0">
      <w:start w:val="1"/>
      <w:numFmt w:val="decimal"/>
      <w:lvlText w:val="(%1)"/>
      <w:lvlJc w:val="left"/>
      <w:pPr>
        <w:ind w:left="425" w:hanging="425"/>
      </w:pPr>
      <w:rPr>
        <w:rFonts w:hint="default"/>
      </w:rPr>
    </w:lvl>
  </w:abstractNum>
  <w:num w:numId="1">
    <w:abstractNumId w:val="5"/>
  </w:num>
  <w:num w:numId="2">
    <w:abstractNumId w:val="7"/>
  </w:num>
  <w:num w:numId="3">
    <w:abstractNumId w:val="0"/>
  </w:num>
  <w:num w:numId="4">
    <w:abstractNumId w:val="10"/>
  </w:num>
  <w:num w:numId="5">
    <w:abstractNumId w:val="1"/>
  </w:num>
  <w:num w:numId="6">
    <w:abstractNumId w:val="8"/>
  </w:num>
  <w:num w:numId="7">
    <w:abstractNumId w:val="4"/>
  </w:num>
  <w:num w:numId="8">
    <w:abstractNumId w:val="6"/>
  </w:num>
  <w:num w:numId="9">
    <w:abstractNumId w:val="3"/>
  </w:num>
  <w:num w:numId="10">
    <w:abstractNumId w:val="2"/>
  </w:num>
  <w:num w:numId="11">
    <w:abstractNumId w:val="9"/>
  </w:num>
</w:numbering>
</file>

<file path=word/settings.xml><?xml version="1.0" encoding="utf-8"?>
<w:settings xmlns:mc="http://schemas.openxmlformats.org/markup-compatibility/2006" xmlns:ns2="urn:schemas-microsoft-com:office:office" xmlns:ns3="urn:schemas-microsoft-com:vml" xmlns:ns4="http://schemas.openxmlformats.org/officeDocument/2006/math" xmlns:w="http://schemas.openxmlformats.org/wordprocessingml/2006/main"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ns2:shapelayout ns3:ext="edit">
      <ns2:idmap ns3:ext="edit" data="2"/>
    </ns2: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Y5ZGQ5ZWQ1MmJhMGZkNmYwMjg3MjM4MGI4MGE3YjQifQ=="/>
  </w:docVars>
  <w:rsids>
    <w:rsidRoot w:val="00172A27"/>
    <w:rsid w:val="00115AC3"/>
    <w:rsid w:val="003A6B66"/>
    <w:rsid w:val="006E0802"/>
    <w:rsid w:val="00870763"/>
    <w:rsid w:val="00A566D5"/>
    <w:rsid w:val="00A80AAC"/>
    <w:rsid w:val="00B87A8B"/>
    <w:rsid w:val="00D5688F"/>
    <w:rsid w:val="00DF3269"/>
    <w:rsid w:val="00F143F4"/>
    <w:rsid w:val="011473B7"/>
    <w:rsid w:val="014E5AB0"/>
    <w:rsid w:val="015D278A"/>
    <w:rsid w:val="01761E20"/>
    <w:rsid w:val="01921BA8"/>
    <w:rsid w:val="01B071AF"/>
    <w:rsid w:val="01F9628B"/>
    <w:rsid w:val="0224362A"/>
    <w:rsid w:val="022D1E3A"/>
    <w:rsid w:val="023451DC"/>
    <w:rsid w:val="028D7F54"/>
    <w:rsid w:val="02A1111E"/>
    <w:rsid w:val="02A14C7A"/>
    <w:rsid w:val="02A66735"/>
    <w:rsid w:val="02C44BAF"/>
    <w:rsid w:val="034E3B00"/>
    <w:rsid w:val="03A91663"/>
    <w:rsid w:val="04511E3D"/>
    <w:rsid w:val="04DF7CDC"/>
    <w:rsid w:val="04E92909"/>
    <w:rsid w:val="04F068B8"/>
    <w:rsid w:val="050339CA"/>
    <w:rsid w:val="051C1B5A"/>
    <w:rsid w:val="05322502"/>
    <w:rsid w:val="0559183C"/>
    <w:rsid w:val="055F2BCB"/>
    <w:rsid w:val="056B3129"/>
    <w:rsid w:val="058F34B0"/>
    <w:rsid w:val="05C018BB"/>
    <w:rsid w:val="05E90CD0"/>
    <w:rsid w:val="05EA06E6"/>
    <w:rsid w:val="0616772D"/>
    <w:rsid w:val="06484524"/>
    <w:rsid w:val="06512D33"/>
    <w:rsid w:val="067A14B5"/>
    <w:rsid w:val="0680104B"/>
    <w:rsid w:val="06A37841"/>
    <w:rsid w:val="07234289"/>
    <w:rsid w:val="0768220B"/>
    <w:rsid w:val="07D94EB6"/>
    <w:rsid w:val="081E2791"/>
    <w:rsid w:val="08455529"/>
    <w:rsid w:val="08471B07"/>
    <w:rsid w:val="0893471C"/>
    <w:rsid w:val="08A019CA"/>
    <w:rsid w:val="08A116F6"/>
    <w:rsid w:val="08C81683"/>
    <w:rsid w:val="08D97F17"/>
    <w:rsid w:val="08F71A98"/>
    <w:rsid w:val="09185D37"/>
    <w:rsid w:val="091E6200"/>
    <w:rsid w:val="09291197"/>
    <w:rsid w:val="09772BD9"/>
    <w:rsid w:val="09DC6722"/>
    <w:rsid w:val="0A0F696E"/>
    <w:rsid w:val="0A576E8B"/>
    <w:rsid w:val="0A5B0B52"/>
    <w:rsid w:val="0AB63A17"/>
    <w:rsid w:val="0B1F33EE"/>
    <w:rsid w:val="0B494101"/>
    <w:rsid w:val="0B500BE0"/>
    <w:rsid w:val="0B767ABF"/>
    <w:rsid w:val="0B8F622A"/>
    <w:rsid w:val="0B9124F0"/>
    <w:rsid w:val="0BA17A09"/>
    <w:rsid w:val="0C0A7D34"/>
    <w:rsid w:val="0C3B4EC0"/>
    <w:rsid w:val="0C4C20FB"/>
    <w:rsid w:val="0C6831D4"/>
    <w:rsid w:val="0C935725"/>
    <w:rsid w:val="0CB06EE6"/>
    <w:rsid w:val="0CB84064"/>
    <w:rsid w:val="0CE05F94"/>
    <w:rsid w:val="0CE642FD"/>
    <w:rsid w:val="0D305579"/>
    <w:rsid w:val="0D642486"/>
    <w:rsid w:val="0D8B6C53"/>
    <w:rsid w:val="0D9E5A21"/>
    <w:rsid w:val="0DE60CCA"/>
    <w:rsid w:val="0E1327A4"/>
    <w:rsid w:val="0E2A1FC8"/>
    <w:rsid w:val="0E353822"/>
    <w:rsid w:val="0E7B6CC7"/>
    <w:rsid w:val="0E937761"/>
    <w:rsid w:val="0EA855E3"/>
    <w:rsid w:val="0EBB1744"/>
    <w:rsid w:val="0EC37DD2"/>
    <w:rsid w:val="0F120ABD"/>
    <w:rsid w:val="0F1D3EC4"/>
    <w:rsid w:val="0F24110D"/>
    <w:rsid w:val="0F7F00F1"/>
    <w:rsid w:val="0FCB3337"/>
    <w:rsid w:val="0FDD21EC"/>
    <w:rsid w:val="0FDF6DE2"/>
    <w:rsid w:val="10366FB9"/>
    <w:rsid w:val="103C5FE2"/>
    <w:rsid w:val="107F04D7"/>
    <w:rsid w:val="10B36F25"/>
    <w:rsid w:val="10BD5D42"/>
    <w:rsid w:val="10CB381A"/>
    <w:rsid w:val="10E0013B"/>
    <w:rsid w:val="115577AF"/>
    <w:rsid w:val="116636F0"/>
    <w:rsid w:val="116C28F7"/>
    <w:rsid w:val="11765524"/>
    <w:rsid w:val="118F39F0"/>
    <w:rsid w:val="11923F5B"/>
    <w:rsid w:val="11FD79F3"/>
    <w:rsid w:val="12217B86"/>
    <w:rsid w:val="12A7643B"/>
    <w:rsid w:val="12E865C3"/>
    <w:rsid w:val="12F9379A"/>
    <w:rsid w:val="130A686C"/>
    <w:rsid w:val="132F1E2E"/>
    <w:rsid w:val="139A199E"/>
    <w:rsid w:val="13AB5686"/>
    <w:rsid w:val="13F24D75"/>
    <w:rsid w:val="14184FB8"/>
    <w:rsid w:val="1495298C"/>
    <w:rsid w:val="14B71CD0"/>
    <w:rsid w:val="14C376F9"/>
    <w:rsid w:val="14F450DE"/>
    <w:rsid w:val="150F1F18"/>
    <w:rsid w:val="15183504"/>
    <w:rsid w:val="1574621E"/>
    <w:rsid w:val="15BC31A1"/>
    <w:rsid w:val="15C50828"/>
    <w:rsid w:val="15CF16A7"/>
    <w:rsid w:val="15D46CBD"/>
    <w:rsid w:val="15F10C2F"/>
    <w:rsid w:val="160F1869"/>
    <w:rsid w:val="165C118C"/>
    <w:rsid w:val="165D2B8A"/>
    <w:rsid w:val="16751C00"/>
    <w:rsid w:val="16CA259A"/>
    <w:rsid w:val="16D90A2F"/>
    <w:rsid w:val="16E3365C"/>
    <w:rsid w:val="1731510D"/>
    <w:rsid w:val="177E552D"/>
    <w:rsid w:val="17852965"/>
    <w:rsid w:val="17930E82"/>
    <w:rsid w:val="17E56F60"/>
    <w:rsid w:val="17F15FAE"/>
    <w:rsid w:val="1816180F"/>
    <w:rsid w:val="18165BC0"/>
    <w:rsid w:val="181F19E3"/>
    <w:rsid w:val="18277578"/>
    <w:rsid w:val="18512847"/>
    <w:rsid w:val="185A0482"/>
    <w:rsid w:val="186C7681"/>
    <w:rsid w:val="187A7FF0"/>
    <w:rsid w:val="188A386F"/>
    <w:rsid w:val="18A87A9A"/>
    <w:rsid w:val="18DA45EA"/>
    <w:rsid w:val="18F17B89"/>
    <w:rsid w:val="190175E5"/>
    <w:rsid w:val="194B7296"/>
    <w:rsid w:val="195920A9"/>
    <w:rsid w:val="19B906A4"/>
    <w:rsid w:val="19F94F44"/>
    <w:rsid w:val="1A813C91"/>
    <w:rsid w:val="1ACC5A4B"/>
    <w:rsid w:val="1AFB72AE"/>
    <w:rsid w:val="1B0D514B"/>
    <w:rsid w:val="1B281F85"/>
    <w:rsid w:val="1B652C55"/>
    <w:rsid w:val="1B8847D2"/>
    <w:rsid w:val="1BDE4794"/>
    <w:rsid w:val="1BE13EE2"/>
    <w:rsid w:val="1BE67E80"/>
    <w:rsid w:val="1BF26033"/>
    <w:rsid w:val="1C1F7144"/>
    <w:rsid w:val="1C2002B7"/>
    <w:rsid w:val="1C33298F"/>
    <w:rsid w:val="1C636C39"/>
    <w:rsid w:val="1C7106F0"/>
    <w:rsid w:val="1CA53161"/>
    <w:rsid w:val="1CB533A4"/>
    <w:rsid w:val="1CEF446B"/>
    <w:rsid w:val="1CF531D1"/>
    <w:rsid w:val="1D3544E5"/>
    <w:rsid w:val="1D945A3B"/>
    <w:rsid w:val="1DAB29F9"/>
    <w:rsid w:val="1DBA5174"/>
    <w:rsid w:val="1DC046F7"/>
    <w:rsid w:val="1DF61EC7"/>
    <w:rsid w:val="1E116D00"/>
    <w:rsid w:val="1E124D0F"/>
    <w:rsid w:val="1E15334A"/>
    <w:rsid w:val="1E6E1383"/>
    <w:rsid w:val="1E6E272B"/>
    <w:rsid w:val="1E814709"/>
    <w:rsid w:val="1EA01E32"/>
    <w:rsid w:val="1EAC5247"/>
    <w:rsid w:val="1EDC730E"/>
    <w:rsid w:val="1F370A48"/>
    <w:rsid w:val="1F4367BC"/>
    <w:rsid w:val="1FBA3134"/>
    <w:rsid w:val="1FE951F7"/>
    <w:rsid w:val="203A6774"/>
    <w:rsid w:val="208A1A2D"/>
    <w:rsid w:val="208F215E"/>
    <w:rsid w:val="209C2AB0"/>
    <w:rsid w:val="20A83220"/>
    <w:rsid w:val="20E57FD0"/>
    <w:rsid w:val="215E4EE8"/>
    <w:rsid w:val="21B463FC"/>
    <w:rsid w:val="21DD6EFA"/>
    <w:rsid w:val="21DF298D"/>
    <w:rsid w:val="21E45038"/>
    <w:rsid w:val="225418B2"/>
    <w:rsid w:val="225F0C79"/>
    <w:rsid w:val="22761828"/>
    <w:rsid w:val="229E48DB"/>
    <w:rsid w:val="22B97967"/>
    <w:rsid w:val="22D36C7A"/>
    <w:rsid w:val="22FD5AA5"/>
    <w:rsid w:val="232272BA"/>
    <w:rsid w:val="233B6F8E"/>
    <w:rsid w:val="236D16F9"/>
    <w:rsid w:val="23767606"/>
    <w:rsid w:val="23A70B19"/>
    <w:rsid w:val="23B4085A"/>
    <w:rsid w:val="23CD191B"/>
    <w:rsid w:val="23DE7F31"/>
    <w:rsid w:val="23E80503"/>
    <w:rsid w:val="23EB1DA2"/>
    <w:rsid w:val="24343749"/>
    <w:rsid w:val="243451F1"/>
    <w:rsid w:val="24637B8A"/>
    <w:rsid w:val="247D37DD"/>
    <w:rsid w:val="24816262"/>
    <w:rsid w:val="24AD5661"/>
    <w:rsid w:val="24BB1774"/>
    <w:rsid w:val="24FF3D57"/>
    <w:rsid w:val="25501043"/>
    <w:rsid w:val="2572277A"/>
    <w:rsid w:val="259E22CD"/>
    <w:rsid w:val="25C32FD6"/>
    <w:rsid w:val="25F61A23"/>
    <w:rsid w:val="264B4D7A"/>
    <w:rsid w:val="267F0A80"/>
    <w:rsid w:val="267F462A"/>
    <w:rsid w:val="26914DED"/>
    <w:rsid w:val="26D60AE7"/>
    <w:rsid w:val="26FE3B9A"/>
    <w:rsid w:val="27BF157B"/>
    <w:rsid w:val="28100433"/>
    <w:rsid w:val="281236EF"/>
    <w:rsid w:val="2818512F"/>
    <w:rsid w:val="284B1152"/>
    <w:rsid w:val="28547D0B"/>
    <w:rsid w:val="285642D5"/>
    <w:rsid w:val="286F399E"/>
    <w:rsid w:val="28956780"/>
    <w:rsid w:val="289A78F2"/>
    <w:rsid w:val="28B9246E"/>
    <w:rsid w:val="28E42C08"/>
    <w:rsid w:val="2901038D"/>
    <w:rsid w:val="29115675"/>
    <w:rsid w:val="299762DC"/>
    <w:rsid w:val="29CB0601"/>
    <w:rsid w:val="2A14048F"/>
    <w:rsid w:val="2A2B5E5C"/>
    <w:rsid w:val="2A3049B2"/>
    <w:rsid w:val="2A451994"/>
    <w:rsid w:val="2A522B7B"/>
    <w:rsid w:val="2A6E1037"/>
    <w:rsid w:val="2A8B3997"/>
    <w:rsid w:val="2AAB7789"/>
    <w:rsid w:val="2ABE3D6C"/>
    <w:rsid w:val="2ADA00F5"/>
    <w:rsid w:val="2AEC6B2B"/>
    <w:rsid w:val="2B1E7CFB"/>
    <w:rsid w:val="2B282108"/>
    <w:rsid w:val="2B2B291F"/>
    <w:rsid w:val="2B413AB8"/>
    <w:rsid w:val="2B6052C0"/>
    <w:rsid w:val="2B65243A"/>
    <w:rsid w:val="2BA54F2C"/>
    <w:rsid w:val="2BC1575F"/>
    <w:rsid w:val="2BF04D49"/>
    <w:rsid w:val="2C277C1E"/>
    <w:rsid w:val="2C2E0A7D"/>
    <w:rsid w:val="2C686611"/>
    <w:rsid w:val="2C691F08"/>
    <w:rsid w:val="2C752B50"/>
    <w:rsid w:val="2CBC6463"/>
    <w:rsid w:val="2CC11743"/>
    <w:rsid w:val="2CD2650A"/>
    <w:rsid w:val="2CD51B1F"/>
    <w:rsid w:val="2D1F65F8"/>
    <w:rsid w:val="2D5E1836"/>
    <w:rsid w:val="2D67693D"/>
    <w:rsid w:val="2D821BBD"/>
    <w:rsid w:val="2D8F19F0"/>
    <w:rsid w:val="2DBA2F11"/>
    <w:rsid w:val="2DD218DC"/>
    <w:rsid w:val="2DD647D7"/>
    <w:rsid w:val="2DF4043C"/>
    <w:rsid w:val="2E2204B6"/>
    <w:rsid w:val="2E4E18AB"/>
    <w:rsid w:val="2E7A61FC"/>
    <w:rsid w:val="2E8762A6"/>
    <w:rsid w:val="2E882855"/>
    <w:rsid w:val="2E9F64F2"/>
    <w:rsid w:val="2EC102CF"/>
    <w:rsid w:val="2EC90F31"/>
    <w:rsid w:val="2ED3341D"/>
    <w:rsid w:val="2ED3590C"/>
    <w:rsid w:val="2EED10C4"/>
    <w:rsid w:val="2F0361F1"/>
    <w:rsid w:val="2F4F58DB"/>
    <w:rsid w:val="2FA15A0A"/>
    <w:rsid w:val="2FAA1469"/>
    <w:rsid w:val="301A16BC"/>
    <w:rsid w:val="3034105F"/>
    <w:rsid w:val="303F76FD"/>
    <w:rsid w:val="308A4FF7"/>
    <w:rsid w:val="30A27C8C"/>
    <w:rsid w:val="30EC0F07"/>
    <w:rsid w:val="3135465C"/>
    <w:rsid w:val="315E4CA9"/>
    <w:rsid w:val="31692558"/>
    <w:rsid w:val="31807FCD"/>
    <w:rsid w:val="318501E2"/>
    <w:rsid w:val="31945827"/>
    <w:rsid w:val="31D64091"/>
    <w:rsid w:val="31EA69B8"/>
    <w:rsid w:val="32220A03"/>
    <w:rsid w:val="3244724D"/>
    <w:rsid w:val="3281224F"/>
    <w:rsid w:val="32B029E9"/>
    <w:rsid w:val="32DA2ABE"/>
    <w:rsid w:val="32E93950"/>
    <w:rsid w:val="32FD11AA"/>
    <w:rsid w:val="33114C55"/>
    <w:rsid w:val="33153347"/>
    <w:rsid w:val="332E1CAB"/>
    <w:rsid w:val="33963E2B"/>
    <w:rsid w:val="33A04957"/>
    <w:rsid w:val="33A1247D"/>
    <w:rsid w:val="33AB32FB"/>
    <w:rsid w:val="33F14D68"/>
    <w:rsid w:val="33FE78CF"/>
    <w:rsid w:val="34362F96"/>
    <w:rsid w:val="346A2C09"/>
    <w:rsid w:val="346D235F"/>
    <w:rsid w:val="346F60D7"/>
    <w:rsid w:val="34B260C8"/>
    <w:rsid w:val="34BF705E"/>
    <w:rsid w:val="34D523DE"/>
    <w:rsid w:val="34D80120"/>
    <w:rsid w:val="34E22D4D"/>
    <w:rsid w:val="354B26A0"/>
    <w:rsid w:val="359A460D"/>
    <w:rsid w:val="35BF4E3C"/>
    <w:rsid w:val="35E84393"/>
    <w:rsid w:val="363B2715"/>
    <w:rsid w:val="36606EC6"/>
    <w:rsid w:val="368247AC"/>
    <w:rsid w:val="37184804"/>
    <w:rsid w:val="371E0070"/>
    <w:rsid w:val="372E4027"/>
    <w:rsid w:val="376734F4"/>
    <w:rsid w:val="379921C2"/>
    <w:rsid w:val="37EA4306"/>
    <w:rsid w:val="384D672F"/>
    <w:rsid w:val="39002FB3"/>
    <w:rsid w:val="390C0398"/>
    <w:rsid w:val="390E2362"/>
    <w:rsid w:val="390E2462"/>
    <w:rsid w:val="39170C92"/>
    <w:rsid w:val="391D4354"/>
    <w:rsid w:val="392E47B3"/>
    <w:rsid w:val="395466E3"/>
    <w:rsid w:val="39921705"/>
    <w:rsid w:val="39A678B1"/>
    <w:rsid w:val="39DC77C9"/>
    <w:rsid w:val="39EC1AC0"/>
    <w:rsid w:val="3A0F5F29"/>
    <w:rsid w:val="3A1F5EA9"/>
    <w:rsid w:val="3A295F9B"/>
    <w:rsid w:val="3A2C3979"/>
    <w:rsid w:val="3A4B6C9E"/>
    <w:rsid w:val="3A5C70FE"/>
    <w:rsid w:val="3A7D5381"/>
    <w:rsid w:val="3ACA5A0A"/>
    <w:rsid w:val="3AEC66D3"/>
    <w:rsid w:val="3AFA0DF0"/>
    <w:rsid w:val="3B4D0803"/>
    <w:rsid w:val="3B64626A"/>
    <w:rsid w:val="3BDE6803"/>
    <w:rsid w:val="3C08753D"/>
    <w:rsid w:val="3C495460"/>
    <w:rsid w:val="3C5502A8"/>
    <w:rsid w:val="3C5E2583"/>
    <w:rsid w:val="3C687FDC"/>
    <w:rsid w:val="3C6E6982"/>
    <w:rsid w:val="3C862FBA"/>
    <w:rsid w:val="3C991F43"/>
    <w:rsid w:val="3D381350"/>
    <w:rsid w:val="3D780336"/>
    <w:rsid w:val="3D803103"/>
    <w:rsid w:val="3D8A5D30"/>
    <w:rsid w:val="3DA825AF"/>
    <w:rsid w:val="3DC47C3F"/>
    <w:rsid w:val="3DEB4A20"/>
    <w:rsid w:val="3DF257B2"/>
    <w:rsid w:val="3DF77869"/>
    <w:rsid w:val="3E086884"/>
    <w:rsid w:val="3E734A16"/>
    <w:rsid w:val="3EA82911"/>
    <w:rsid w:val="3F0965F9"/>
    <w:rsid w:val="3F0E5A67"/>
    <w:rsid w:val="3F2C09B1"/>
    <w:rsid w:val="3F740A45"/>
    <w:rsid w:val="3F8B219C"/>
    <w:rsid w:val="3FB456CB"/>
    <w:rsid w:val="407C4056"/>
    <w:rsid w:val="40D02F9B"/>
    <w:rsid w:val="40EE08A2"/>
    <w:rsid w:val="40EF4858"/>
    <w:rsid w:val="40F1696F"/>
    <w:rsid w:val="40F2256A"/>
    <w:rsid w:val="40FE0993"/>
    <w:rsid w:val="412224FD"/>
    <w:rsid w:val="41362456"/>
    <w:rsid w:val="41384420"/>
    <w:rsid w:val="41A53138"/>
    <w:rsid w:val="41B132F0"/>
    <w:rsid w:val="41F540C0"/>
    <w:rsid w:val="41F8593B"/>
    <w:rsid w:val="4230130C"/>
    <w:rsid w:val="424F183F"/>
    <w:rsid w:val="42636F27"/>
    <w:rsid w:val="42664FBD"/>
    <w:rsid w:val="426B5FFB"/>
    <w:rsid w:val="42772A73"/>
    <w:rsid w:val="42A65516"/>
    <w:rsid w:val="42C910A8"/>
    <w:rsid w:val="42F9198D"/>
    <w:rsid w:val="42FC167C"/>
    <w:rsid w:val="43217136"/>
    <w:rsid w:val="433F7758"/>
    <w:rsid w:val="439B2A45"/>
    <w:rsid w:val="43A54F96"/>
    <w:rsid w:val="43CC0E50"/>
    <w:rsid w:val="44590106"/>
    <w:rsid w:val="44625310"/>
    <w:rsid w:val="44831180"/>
    <w:rsid w:val="44C8711D"/>
    <w:rsid w:val="45151F83"/>
    <w:rsid w:val="453E18DA"/>
    <w:rsid w:val="455235D7"/>
    <w:rsid w:val="460743C1"/>
    <w:rsid w:val="46380A1F"/>
    <w:rsid w:val="463827CD"/>
    <w:rsid w:val="469228C4"/>
    <w:rsid w:val="46965745"/>
    <w:rsid w:val="46EA1201"/>
    <w:rsid w:val="471274C2"/>
    <w:rsid w:val="47AD0F98"/>
    <w:rsid w:val="47B0504B"/>
    <w:rsid w:val="47EF74AA"/>
    <w:rsid w:val="48233009"/>
    <w:rsid w:val="486309CF"/>
    <w:rsid w:val="48735D3E"/>
    <w:rsid w:val="488B0FC5"/>
    <w:rsid w:val="488C6E00"/>
    <w:rsid w:val="48950BDB"/>
    <w:rsid w:val="48A92658"/>
    <w:rsid w:val="48CB154A"/>
    <w:rsid w:val="48E82B89"/>
    <w:rsid w:val="48F350D1"/>
    <w:rsid w:val="49115557"/>
    <w:rsid w:val="49155047"/>
    <w:rsid w:val="49254325"/>
    <w:rsid w:val="49675177"/>
    <w:rsid w:val="49A01D61"/>
    <w:rsid w:val="49EB2377"/>
    <w:rsid w:val="4A1277D9"/>
    <w:rsid w:val="4A26699A"/>
    <w:rsid w:val="4A8A4B54"/>
    <w:rsid w:val="4ACC3E2B"/>
    <w:rsid w:val="4ACC47A3"/>
    <w:rsid w:val="4B052E99"/>
    <w:rsid w:val="4B1E132F"/>
    <w:rsid w:val="4B27776C"/>
    <w:rsid w:val="4B3519D1"/>
    <w:rsid w:val="4B35552D"/>
    <w:rsid w:val="4B9A5CD8"/>
    <w:rsid w:val="4BA64CEC"/>
    <w:rsid w:val="4BBB5B68"/>
    <w:rsid w:val="4BBE6EC5"/>
    <w:rsid w:val="4BC25D7D"/>
    <w:rsid w:val="4BC74433"/>
    <w:rsid w:val="4BDE7972"/>
    <w:rsid w:val="4BE8259F"/>
    <w:rsid w:val="4C0516D1"/>
    <w:rsid w:val="4C194E4E"/>
    <w:rsid w:val="4C2757BD"/>
    <w:rsid w:val="4C4F3C91"/>
    <w:rsid w:val="4C5A2FDC"/>
    <w:rsid w:val="4C680B4F"/>
    <w:rsid w:val="4C7347DE"/>
    <w:rsid w:val="4C8F6EBF"/>
    <w:rsid w:val="4CA30308"/>
    <w:rsid w:val="4CB67BF1"/>
    <w:rsid w:val="4CE622C3"/>
    <w:rsid w:val="4D1A2C2C"/>
    <w:rsid w:val="4D2C6110"/>
    <w:rsid w:val="4D357A66"/>
    <w:rsid w:val="4D7560B4"/>
    <w:rsid w:val="4D8E53C8"/>
    <w:rsid w:val="4DA92202"/>
    <w:rsid w:val="4DD51249"/>
    <w:rsid w:val="4E6E7AAD"/>
    <w:rsid w:val="4E946A0E"/>
    <w:rsid w:val="4EB81536"/>
    <w:rsid w:val="4EBB2485"/>
    <w:rsid w:val="4ECA19FE"/>
    <w:rsid w:val="4EE21425"/>
    <w:rsid w:val="4EEF1E97"/>
    <w:rsid w:val="4F1870FF"/>
    <w:rsid w:val="4F801EFF"/>
    <w:rsid w:val="4FAE58AE"/>
    <w:rsid w:val="4FC77E70"/>
    <w:rsid w:val="5019366F"/>
    <w:rsid w:val="5019541D"/>
    <w:rsid w:val="50266224"/>
    <w:rsid w:val="5031074C"/>
    <w:rsid w:val="504E6532"/>
    <w:rsid w:val="506A793C"/>
    <w:rsid w:val="50AC6075"/>
    <w:rsid w:val="50FD0F68"/>
    <w:rsid w:val="511B6F73"/>
    <w:rsid w:val="512E185C"/>
    <w:rsid w:val="514C730E"/>
    <w:rsid w:val="518670D6"/>
    <w:rsid w:val="51A46F68"/>
    <w:rsid w:val="51D535C6"/>
    <w:rsid w:val="51EA18B0"/>
    <w:rsid w:val="52197E96"/>
    <w:rsid w:val="52224331"/>
    <w:rsid w:val="522B7478"/>
    <w:rsid w:val="523A78CD"/>
    <w:rsid w:val="52616BAE"/>
    <w:rsid w:val="52A01E26"/>
    <w:rsid w:val="52AF16AD"/>
    <w:rsid w:val="52B72CCB"/>
    <w:rsid w:val="52B9474D"/>
    <w:rsid w:val="52FB3500"/>
    <w:rsid w:val="530879CB"/>
    <w:rsid w:val="53702DD7"/>
    <w:rsid w:val="538C6936"/>
    <w:rsid w:val="53A6376C"/>
    <w:rsid w:val="543C16DA"/>
    <w:rsid w:val="54BD27CE"/>
    <w:rsid w:val="54D943F6"/>
    <w:rsid w:val="55452810"/>
    <w:rsid w:val="55FC3817"/>
    <w:rsid w:val="562C1C22"/>
    <w:rsid w:val="56777156"/>
    <w:rsid w:val="568F4D4F"/>
    <w:rsid w:val="56927CD7"/>
    <w:rsid w:val="56AB0D99"/>
    <w:rsid w:val="56B75990"/>
    <w:rsid w:val="56C105BC"/>
    <w:rsid w:val="56C43C09"/>
    <w:rsid w:val="56D02B61"/>
    <w:rsid w:val="56D6406E"/>
    <w:rsid w:val="570A1F63"/>
    <w:rsid w:val="571C7539"/>
    <w:rsid w:val="572B1EDA"/>
    <w:rsid w:val="578A6C00"/>
    <w:rsid w:val="5797131D"/>
    <w:rsid w:val="57997088"/>
    <w:rsid w:val="57B819BF"/>
    <w:rsid w:val="57EA3B43"/>
    <w:rsid w:val="58022C3B"/>
    <w:rsid w:val="58490869"/>
    <w:rsid w:val="58690AF4"/>
    <w:rsid w:val="58920462"/>
    <w:rsid w:val="589917F1"/>
    <w:rsid w:val="58D63E23"/>
    <w:rsid w:val="59082C0D"/>
    <w:rsid w:val="59142C25"/>
    <w:rsid w:val="59367D0E"/>
    <w:rsid w:val="596E218B"/>
    <w:rsid w:val="59BB284B"/>
    <w:rsid w:val="59D03FE9"/>
    <w:rsid w:val="5A0802B0"/>
    <w:rsid w:val="5A647BDD"/>
    <w:rsid w:val="5A820063"/>
    <w:rsid w:val="5AAC3332"/>
    <w:rsid w:val="5AB242ED"/>
    <w:rsid w:val="5AD3266C"/>
    <w:rsid w:val="5AD84127"/>
    <w:rsid w:val="5AF01470"/>
    <w:rsid w:val="5B0E7B48"/>
    <w:rsid w:val="5B172023"/>
    <w:rsid w:val="5BCA2D15"/>
    <w:rsid w:val="5BD60CC0"/>
    <w:rsid w:val="5C1019F3"/>
    <w:rsid w:val="5C1A6503"/>
    <w:rsid w:val="5C3F41AF"/>
    <w:rsid w:val="5CB12E81"/>
    <w:rsid w:val="5CB62246"/>
    <w:rsid w:val="5CF547EA"/>
    <w:rsid w:val="5CF8285E"/>
    <w:rsid w:val="5D37510F"/>
    <w:rsid w:val="5DD111E4"/>
    <w:rsid w:val="5E0E058B"/>
    <w:rsid w:val="5E17280A"/>
    <w:rsid w:val="5E4F2952"/>
    <w:rsid w:val="5E7B54F5"/>
    <w:rsid w:val="5EA80B24"/>
    <w:rsid w:val="5F5D4BFA"/>
    <w:rsid w:val="5F97635E"/>
    <w:rsid w:val="5FA06419"/>
    <w:rsid w:val="5FCC55B0"/>
    <w:rsid w:val="5FD72BFF"/>
    <w:rsid w:val="5FE74F09"/>
    <w:rsid w:val="5FF3766A"/>
    <w:rsid w:val="601C5F42"/>
    <w:rsid w:val="60363DC9"/>
    <w:rsid w:val="60483AFC"/>
    <w:rsid w:val="60966616"/>
    <w:rsid w:val="60A254D6"/>
    <w:rsid w:val="60A50A50"/>
    <w:rsid w:val="60D158A0"/>
    <w:rsid w:val="60D66C28"/>
    <w:rsid w:val="611413BC"/>
    <w:rsid w:val="61706E67"/>
    <w:rsid w:val="61717761"/>
    <w:rsid w:val="619E09FC"/>
    <w:rsid w:val="61BE4076"/>
    <w:rsid w:val="61EA5B50"/>
    <w:rsid w:val="623460E6"/>
    <w:rsid w:val="62DA46B0"/>
    <w:rsid w:val="62F87114"/>
    <w:rsid w:val="630006BE"/>
    <w:rsid w:val="634E142A"/>
    <w:rsid w:val="636522D0"/>
    <w:rsid w:val="636C365E"/>
    <w:rsid w:val="637349EC"/>
    <w:rsid w:val="63814E23"/>
    <w:rsid w:val="63846BFA"/>
    <w:rsid w:val="638E7A78"/>
    <w:rsid w:val="63B868A3"/>
    <w:rsid w:val="63CE0DB5"/>
    <w:rsid w:val="63D80CF3"/>
    <w:rsid w:val="63DD630A"/>
    <w:rsid w:val="63DE39EA"/>
    <w:rsid w:val="63F278A5"/>
    <w:rsid w:val="64656A2B"/>
    <w:rsid w:val="64A70DF2"/>
    <w:rsid w:val="651D5558"/>
    <w:rsid w:val="65646CE3"/>
    <w:rsid w:val="65E34872"/>
    <w:rsid w:val="65E73470"/>
    <w:rsid w:val="65ED067A"/>
    <w:rsid w:val="662621EA"/>
    <w:rsid w:val="66383CCB"/>
    <w:rsid w:val="669E0B88"/>
    <w:rsid w:val="670F6369"/>
    <w:rsid w:val="674072DB"/>
    <w:rsid w:val="674E7C4A"/>
    <w:rsid w:val="675039C2"/>
    <w:rsid w:val="676239C8"/>
    <w:rsid w:val="681349F0"/>
    <w:rsid w:val="681C5653"/>
    <w:rsid w:val="68AA0BDE"/>
    <w:rsid w:val="68D91796"/>
    <w:rsid w:val="68ED3493"/>
    <w:rsid w:val="68F04A29"/>
    <w:rsid w:val="690031C6"/>
    <w:rsid w:val="6904760A"/>
    <w:rsid w:val="69146D78"/>
    <w:rsid w:val="6984366B"/>
    <w:rsid w:val="69A71894"/>
    <w:rsid w:val="69CE6E20"/>
    <w:rsid w:val="69D361E5"/>
    <w:rsid w:val="69E72CD3"/>
    <w:rsid w:val="69F10D61"/>
    <w:rsid w:val="6A186A78"/>
    <w:rsid w:val="6A253BE6"/>
    <w:rsid w:val="6A2931E3"/>
    <w:rsid w:val="6A505A87"/>
    <w:rsid w:val="6A660130"/>
    <w:rsid w:val="6A891E90"/>
    <w:rsid w:val="6A9E228F"/>
    <w:rsid w:val="6B2F7D93"/>
    <w:rsid w:val="6B347157"/>
    <w:rsid w:val="6B6317EA"/>
    <w:rsid w:val="6B637901"/>
    <w:rsid w:val="6B8C0A69"/>
    <w:rsid w:val="6B8E1A00"/>
    <w:rsid w:val="6BE7241B"/>
    <w:rsid w:val="6C18484A"/>
    <w:rsid w:val="6C5555D7"/>
    <w:rsid w:val="6C72358B"/>
    <w:rsid w:val="6CA566B8"/>
    <w:rsid w:val="6CC4275D"/>
    <w:rsid w:val="6CDE2113"/>
    <w:rsid w:val="6CF941B4"/>
    <w:rsid w:val="6D0A2D4D"/>
    <w:rsid w:val="6D490B0E"/>
    <w:rsid w:val="6D633D24"/>
    <w:rsid w:val="6D934572"/>
    <w:rsid w:val="6DEC3D19"/>
    <w:rsid w:val="6DF36E56"/>
    <w:rsid w:val="6E0472B5"/>
    <w:rsid w:val="6E206F36"/>
    <w:rsid w:val="6E531FEA"/>
    <w:rsid w:val="6E7C07ED"/>
    <w:rsid w:val="6EAC0452"/>
    <w:rsid w:val="6ECD3B4B"/>
    <w:rsid w:val="6ECD58F9"/>
    <w:rsid w:val="6F343BCA"/>
    <w:rsid w:val="6FE3114C"/>
    <w:rsid w:val="70195673"/>
    <w:rsid w:val="702A0B29"/>
    <w:rsid w:val="703A6FBE"/>
    <w:rsid w:val="706202C3"/>
    <w:rsid w:val="70742EB9"/>
    <w:rsid w:val="70A97C9F"/>
    <w:rsid w:val="70AB1C6A"/>
    <w:rsid w:val="70B84386"/>
    <w:rsid w:val="70DC13F2"/>
    <w:rsid w:val="712612F0"/>
    <w:rsid w:val="712A2783"/>
    <w:rsid w:val="71687B5B"/>
    <w:rsid w:val="717C1858"/>
    <w:rsid w:val="719C3171"/>
    <w:rsid w:val="71C56D5B"/>
    <w:rsid w:val="71CB12E6"/>
    <w:rsid w:val="71E01DE7"/>
    <w:rsid w:val="71EF192C"/>
    <w:rsid w:val="72226E67"/>
    <w:rsid w:val="723D0FE7"/>
    <w:rsid w:val="72926649"/>
    <w:rsid w:val="72C00BD6"/>
    <w:rsid w:val="72C07522"/>
    <w:rsid w:val="737347AD"/>
    <w:rsid w:val="73B46F4E"/>
    <w:rsid w:val="73C92407"/>
    <w:rsid w:val="73D370C8"/>
    <w:rsid w:val="74510D7A"/>
    <w:rsid w:val="7479207F"/>
    <w:rsid w:val="748A7EA3"/>
    <w:rsid w:val="74F13F7F"/>
    <w:rsid w:val="754937FF"/>
    <w:rsid w:val="755B7C06"/>
    <w:rsid w:val="758533AB"/>
    <w:rsid w:val="75A82C1C"/>
    <w:rsid w:val="75C760F4"/>
    <w:rsid w:val="76636A51"/>
    <w:rsid w:val="76A51D5C"/>
    <w:rsid w:val="76C92E49"/>
    <w:rsid w:val="76EE5DC1"/>
    <w:rsid w:val="771F16B2"/>
    <w:rsid w:val="7726029C"/>
    <w:rsid w:val="77366005"/>
    <w:rsid w:val="773E13B6"/>
    <w:rsid w:val="779F3BAA"/>
    <w:rsid w:val="77C935C3"/>
    <w:rsid w:val="77E12415"/>
    <w:rsid w:val="77F35CA4"/>
    <w:rsid w:val="78006D3F"/>
    <w:rsid w:val="78223F07"/>
    <w:rsid w:val="784B788E"/>
    <w:rsid w:val="785D684A"/>
    <w:rsid w:val="78CE219D"/>
    <w:rsid w:val="78DF4BA6"/>
    <w:rsid w:val="79037CBC"/>
    <w:rsid w:val="79116D2A"/>
    <w:rsid w:val="791441C7"/>
    <w:rsid w:val="795B557D"/>
    <w:rsid w:val="79681B1A"/>
    <w:rsid w:val="79B4687C"/>
    <w:rsid w:val="79D833A4"/>
    <w:rsid w:val="7A596CDF"/>
    <w:rsid w:val="7B226FCC"/>
    <w:rsid w:val="7BA563C1"/>
    <w:rsid w:val="7BED0F1C"/>
    <w:rsid w:val="7C16029D"/>
    <w:rsid w:val="7C421F6C"/>
    <w:rsid w:val="7C7840F4"/>
    <w:rsid w:val="7C943EFA"/>
    <w:rsid w:val="7CB41EA6"/>
    <w:rsid w:val="7CBB44DD"/>
    <w:rsid w:val="7D5A0C9F"/>
    <w:rsid w:val="7D5D078F"/>
    <w:rsid w:val="7D6436AF"/>
    <w:rsid w:val="7D851A94"/>
    <w:rsid w:val="7D895DFA"/>
    <w:rsid w:val="7DBB1900"/>
    <w:rsid w:val="7DBD5782"/>
    <w:rsid w:val="7E645B88"/>
    <w:rsid w:val="7E857F9E"/>
    <w:rsid w:val="7E861620"/>
    <w:rsid w:val="7EE12CFA"/>
    <w:rsid w:val="7F4172A6"/>
    <w:rsid w:val="7F437511"/>
    <w:rsid w:val="7F4C286A"/>
    <w:rsid w:val="7FA103A4"/>
    <w:rsid w:val="7FC05B1E"/>
  </w:rsids>
  <ns4:mathPr>
    <ns4:mathFont ns4:val="Cambria Math"/>
    <ns4:brkBin ns4:val="before"/>
    <ns4:brkBinSub ns4:val="--"/>
    <ns4:smallFrac ns4:val="0"/>
    <ns4:dispDef/>
    <ns4:lMargin ns4:val="0"/>
    <ns4:rMargin ns4:val="0"/>
    <ns4:defJc ns4:val="centerGroup"/>
    <ns4:wrapIndent ns4:val="1440"/>
    <ns4:intLim ns4:val="subSup"/>
    <ns4:naryLim ns4:val="undOvr"/>
  </ns4: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ns2:shapedefaults fillcolor="#FFFFFF" fill="t" stroke="t">
      <ns3:fill on="t" focussize="0,0"/>
      <ns3:stroke color="#000000"/>
    </ns2:shapedefaults>
    <ns2:shapelayout ns3:ext="edit">
      <ns2:idmap ns3:ext="edit" data="1"/>
    </ns2:shapelayout>
  </w:shapeDefaults>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autoRedefine/>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autoRedefine/>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1">
    <w:name w:val="Default Paragraph Font"/>
    <w:autoRedefine/>
    <w:semiHidden/>
    <w:qFormat/>
    <w:uiPriority w:val="0"/>
  </w:style>
  <w:style w:type="table" w:default="1" w:styleId="10">
    <w:name w:val="Normal Table"/>
    <w:autoRedefine/>
    <w:semiHidden/>
    <w:qFormat/>
    <w:uiPriority w:val="0"/>
    <w:tblPr>
      <w:tblCellMar>
        <w:top w:w="0" w:type="dxa"/>
        <w:left w:w="108" w:type="dxa"/>
        <w:bottom w:w="0" w:type="dxa"/>
        <w:right w:w="108" w:type="dxa"/>
      </w:tblCellMar>
    </w:tblPr>
  </w:style>
  <w:style w:type="paragraph" w:styleId="5">
    <w:name w:val="footer"/>
    <w:basedOn w:val="1"/>
    <w:autoRedefine/>
    <w:qFormat/>
    <w:uiPriority w:val="0"/>
    <w:pPr>
      <w:tabs>
        <w:tab w:val="center" w:pos="4153"/>
        <w:tab w:val="right" w:pos="8306"/>
      </w:tabs>
      <w:snapToGrid w:val="0"/>
      <w:jc w:val="left"/>
    </w:pPr>
    <w:rPr>
      <w:sz w:val="18"/>
    </w:rPr>
  </w:style>
  <w:style w:type="paragraph" w:styleId="6">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toc 1"/>
    <w:basedOn w:val="1"/>
    <w:next w:val="1"/>
    <w:autoRedefine/>
    <w:qFormat/>
    <w:uiPriority w:val="0"/>
  </w:style>
  <w:style w:type="paragraph" w:styleId="8">
    <w:name w:val="toc 2"/>
    <w:basedOn w:val="1"/>
    <w:next w:val="1"/>
    <w:qFormat/>
    <w:uiPriority w:val="0"/>
    <w:pPr>
      <w:ind w:left="420" w:leftChars="200"/>
    </w:pPr>
  </w:style>
  <w:style w:type="paragraph" w:styleId="9">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autoRedefine/>
    <w:qFormat/>
    <w:uiPriority w:val="0"/>
    <w:rPr>
      <w:b/>
    </w:rPr>
  </w:style>
  <w:style w:type="character" w:styleId="13">
    <w:name w:val="Emphasis"/>
    <w:basedOn w:val="11"/>
    <w:autoRedefine/>
    <w:qFormat/>
    <w:uiPriority w:val="0"/>
    <w:rPr>
      <w:i/>
    </w:rPr>
  </w:style>
  <w:style w:type="paragraph" w:customStyle="1" w:styleId="14">
    <w:name w:val="WPSOffice手动目录 1"/>
    <w:autoRedefine/>
    <w:qFormat/>
    <w:uiPriority w:val="0"/>
    <w:pPr>
      <w:ind w:leftChars="0"/>
    </w:pPr>
    <w:rPr>
      <w:rFonts w:ascii="Times New Roman" w:hAnsi="Times New Roman" w:eastAsia="宋体" w:cs="Times New Roman"/>
      <w:sz w:val="20"/>
      <w:szCs w:val="20"/>
    </w:rPr>
  </w:style>
  <w:style w:type="character" w:customStyle="1" w:styleId="15">
    <w:name w:val="font01"/>
    <w:basedOn w:val="11"/>
    <w:autoRedefine/>
    <w:qFormat/>
    <w:uiPriority w:val="0"/>
    <w:rPr>
      <w:rFonts w:hint="default" w:ascii="Arial" w:hAnsi="Arial" w:cs="Arial"/>
      <w:color w:val="000000"/>
      <w:sz w:val="20"/>
      <w:szCs w:val="20"/>
      <w:u w:val="none"/>
    </w:rPr>
  </w:style>
  <w:style w:type="character" w:customStyle="1" w:styleId="16">
    <w:name w:val="font11"/>
    <w:basedOn w:val="11"/>
    <w:autoRedefine/>
    <w:qFormat/>
    <w:uiPriority w:val="0"/>
    <w:rPr>
      <w:rFonts w:hint="eastAsia" w:ascii="宋体" w:hAnsi="宋体" w:eastAsia="宋体" w:cs="宋体"/>
      <w:color w:val="000000"/>
      <w:sz w:val="20"/>
      <w:szCs w:val="20"/>
      <w:u w:val="none"/>
    </w:rPr>
  </w:style>
  <w:style w:type="character" w:customStyle="1" w:styleId="17">
    <w:name w:val="font31"/>
    <w:basedOn w:val="11"/>
    <w:autoRedefine/>
    <w:qFormat/>
    <w:uiPriority w:val="0"/>
    <w:rPr>
      <w:rFonts w:hint="eastAsia" w:ascii="宋体" w:hAnsi="宋体" w:eastAsia="宋体" w:cs="宋体"/>
      <w:color w:val="000000"/>
      <w:sz w:val="20"/>
      <w:szCs w:val="20"/>
      <w:u w:val="none"/>
    </w:rPr>
  </w:style>
  <w:style w:type="character" w:customStyle="1" w:styleId="18">
    <w:name w:val="font41"/>
    <w:basedOn w:val="11"/>
    <w:autoRedefine/>
    <w:qFormat/>
    <w:uiPriority w:val="0"/>
    <w:rPr>
      <w:rFonts w:hint="eastAsia" w:ascii="宋体" w:hAnsi="宋体" w:eastAsia="宋体" w:cs="宋体"/>
      <w:b/>
      <w:bCs/>
      <w:color w:val="000000"/>
      <w:sz w:val="18"/>
      <w:szCs w:val="18"/>
      <w:u w:val="none"/>
    </w:rPr>
  </w:style>
</w:styles>
</file>

<file path=word/_rels/document.xml.rels><?xml version='1.0' encoding='UTF-8' standalone='yes'?>
<Relationships xmlns="http://schemas.openxmlformats.org/package/2006/relationships"><Relationship Id="rId9" Type="http://www.wps.cn/officeDocument/2018/webExtension" Target="webExtensions/webExtension1.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chart" Target="charts/chart2.xml"/><Relationship Id="rId11" Type="http://schemas.openxmlformats.org/officeDocument/2006/relationships/chart" Target="charts/chart1.xml"/><Relationship Id="rId10" Type="http://schemas.openxmlformats.org/officeDocument/2006/relationships/image" Target="media/image2.png"/><Relationship Id="rId1" Type="http://schemas.openxmlformats.org/officeDocument/2006/relationships/styles" Target="styles.xml"/><Relationship Id="rId16" Type="http://schemas.openxmlformats.org/officeDocument/2006/relationships/footer" Target="footer4.xml"/><Relationship Id="rId17" Type="http://schemas.openxmlformats.org/officeDocument/2006/relationships/header" Target="header2.xml"/><Relationship Id="rId18" Type="http://schemas.openxmlformats.org/officeDocument/2006/relationships/footer" Target="footer5.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2" Type="http://schemas.openxmlformats.org/officeDocument/2006/relationships/themeOverride" Target="../theme/themeOverride2.xml"/><Relationship Id="rId1" Type="http://schemas.openxmlformats.org/officeDocument/2006/relationships/package" Target="../embeddings/Workbook2.xlsx"/></Relationships>
</file>

<file path=word/charts/_rels/chart2.xml.rels><?xml version='1.0' encoding='UTF-8' standalone='yes'?>
<Relationships xmlns="http://schemas.openxmlformats.org/package/2006/relationships"><Relationship Id="rId2" Type="http://schemas.openxmlformats.org/officeDocument/2006/relationships/themeOverride" Target="../theme/themeOverride1.xml"/><Relationship Id="rId1" Type="http://schemas.openxmlformats.org/officeDocument/2006/relationships/package" Target="../embeddings/Workbook1.xlsx"/></Relationships>
</file>

<file path=word/charts/chart1.xml><?xml version="1.0" encoding="utf-8"?>
<c:chartSpace xmlns:a="http://schemas.openxmlformats.org/drawingml/2006/main" xmlns:c="http://schemas.openxmlformats.org/drawingml/2006/chart" xmlns:c14="http://schemas.microsoft.com/office/drawing/2007/8/2/chart" xmlns:mc="http://schemas.openxmlformats.org/markup-compatibility/2006" xmlns:ns4="http://schemas.microsoft.com/office/drawing/2012/chart" xmlns:ns5="https://web.wps.cn/et/2018/main" xmlns:r="http://schemas.openxmlformats.org/officeDocument/2006/relationships">
  <c:date1904 val="0"/>
  <c:lang val="zh-CN"/>
  <c:roundedCorners val="0"/>
  <mc:AlternateContent>
    <mc:Choice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forceAA="0"/>
          <a:lstStyle/>
          <a:p>
            <a:pPr defTabSz="914400">
              <a:defRPr lang="zh-CN" sz="1400" b="0" i="0" u="none" strike="noStrike" kern="1200" spc="0" baseline="0">
                <a:solidFill>
                  <a:schemeClr val="tx1"/>
                </a:solidFill>
                <a:latin typeface="+mn-lt"/>
                <a:ea typeface="+mn-ea"/>
                <a:cs typeface="+mn-cs"/>
              </a:defRPr>
            </a:pPr>
            <a:r>
              <a:t>患者血压控制效果</a:t>
            </a:r>
          </a:p>
        </c:rich>
      </c:tx>
      <c:layout/>
      <c:overlay val="0"/>
      <c:spPr>
        <a:noFill/>
        <a:ln>
          <a:noFill/>
        </a:ln>
        <a:effectLst/>
      </c:spPr>
    </c:title>
    <c:autoTitleDeleted val="0"/>
    <c:view3D>
      <c:rotX val="40"/>
      <c:rotY val="0"/>
      <c:depthPercent val="100"/>
      <c:rAngAx val="0"/>
    </c:view3D>
    <c:floor>
      <c:thickness val="0"/>
    </c:floor>
    <c:sideWall>
      <c:thickness val="0"/>
    </c:sideWall>
    <c:backWall>
      <c:thickness val="0"/>
    </c:backWall>
    <c:plotArea>
      <c:layout>
        <c:manualLayout>
          <c:layoutTarget val="inner"/>
          <c:xMode val="edge"/>
          <c:yMode val="edge"/>
          <c:x val="0.0840713332524566"/>
          <c:y val="0.207381002306563"/>
          <c:w val="0.540094625743055"/>
          <c:h val="0.69930803103376"/>
        </c:manualLayout>
      </c:layout>
      <c:pie3DChart>
        <c:varyColors val="1"/>
        <c:ser>
          <c:idx val="0"/>
          <c:order val="0"/>
          <c:tx>
            <c:strRef>
              <c:f>Sheet1!$B$1</c:f>
              <c:strCache>
                <c:ptCount val="1"/>
                <c:pt idx="0">
                  <c:v>占比</c:v>
                </c:pt>
              </c:strCache>
            </c:strRef>
          </c:tx>
          <c:spPr>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explosion val="0"/>
          <c:dPt>
            <c:idx val="0"/>
            <c:bubble3D val="0"/>
            <c:spPr>
              <a:gradFill>
                <a:gsLst>
                  <a:gs pos="0">
                    <a:schemeClr val="accent1">
                      <a:lumMod val="60000"/>
                      <a:lumOff val="40000"/>
                    </a:schemeClr>
                  </a:gs>
                  <a:gs pos="50000">
                    <a:schemeClr val="accent1"/>
                  </a:gs>
                </a:gsLst>
                <a:lin ang="27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Pt>
            <c:idx val="1"/>
            <c:bubble3D val="0"/>
            <c:spPr>
              <a:gradFill>
                <a:gsLst>
                  <a:gs pos="0">
                    <a:schemeClr val="accent3">
                      <a:lumMod val="60000"/>
                      <a:lumOff val="40000"/>
                    </a:schemeClr>
                  </a:gs>
                  <a:gs pos="60000">
                    <a:schemeClr val="accent3"/>
                  </a:gs>
                </a:gsLst>
                <a:lin ang="27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Pt>
            <c:idx val="2"/>
            <c:bubble3D val="0"/>
            <c:spPr>
              <a:gradFill>
                <a:gsLst>
                  <a:gs pos="0">
                    <a:schemeClr val="accent2">
                      <a:lumMod val="60000"/>
                      <a:lumOff val="40000"/>
                    </a:schemeClr>
                  </a:gs>
                  <a:gs pos="60000">
                    <a:schemeClr val="accent2">
                      <a:alpha val="100000"/>
                    </a:schemeClr>
                  </a:gs>
                </a:gsLst>
                <a:lin ang="54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Pt>
            <c:idx val="3"/>
            <c:bubble3D val="0"/>
            <c:spPr>
              <a:gradFill>
                <a:gsLst>
                  <a:gs pos="0">
                    <a:schemeClr val="accent4">
                      <a:lumMod val="60000"/>
                      <a:lumOff val="40000"/>
                    </a:schemeClr>
                  </a:gs>
                  <a:gs pos="60000">
                    <a:schemeClr val="accent4"/>
                  </a:gs>
                </a:gsLst>
                <a:lin ang="54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Lbls>
            <c:dLbl>
              <c:idx val="0"/>
              <c:layout/>
              <c:numFmt formatCode="General" sourceLinked="1"/>
              <c:spPr>
                <a:solidFill>
                  <a:schemeClr val="accent1"/>
                </a:solidFill>
                <a:ln>
                  <a:solidFill>
                    <a:schemeClr val="accent1">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outEnd"/>
              <c:showLegendKey val="0"/>
              <c:showVal val="0"/>
              <c:showCatName val="0"/>
              <c:showSerName val="0"/>
              <c:showPercent val="1"/>
              <c:showBubbleSize val="0"/>
              <c:extLst>
                <c:ext uri="{CE6537A1-D6FC-4f65-9D91-7224C49458BB}"/>
              </c:extLst>
            </c:dLbl>
            <c:dLbl>
              <c:idx val="1"/>
              <c:layout>
                <c:manualLayout>
                  <c:x val="-0.00783903841128821"/>
                  <c:y val="-0.0826901874310915"/>
                </c:manualLayout>
              </c:layout>
              <c:numFmt formatCode="General" sourceLinked="1"/>
              <c:spPr>
                <a:solidFill>
                  <a:schemeClr val="accent3"/>
                </a:solidFill>
                <a:ln>
                  <a:solidFill>
                    <a:schemeClr val="accent3">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bestFit"/>
              <c:showLegendKey val="0"/>
              <c:showVal val="0"/>
              <c:showCatName val="0"/>
              <c:showSerName val="0"/>
              <c:showPercent val="1"/>
              <c:showBubbleSize val="0"/>
              <c:extLst>
                <c:ext uri="{CE6537A1-D6FC-4f65-9D91-7224C49458BB}">
                  <ns4:layout/>
                </c:ext>
              </c:extLst>
            </c:dLbl>
            <c:dLbl>
              <c:idx val="2"/>
              <c:layout/>
              <c:numFmt formatCode="General" sourceLinked="1"/>
              <c:spPr>
                <a:solidFill>
                  <a:schemeClr val="accent2"/>
                </a:solidFill>
                <a:ln>
                  <a:solidFill>
                    <a:schemeClr val="accent2">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outEnd"/>
              <c:showLegendKey val="0"/>
              <c:showVal val="0"/>
              <c:showCatName val="0"/>
              <c:showSerName val="0"/>
              <c:showPercent val="1"/>
              <c:showBubbleSize val="0"/>
              <c:extLst>
                <c:ext uri="{CE6537A1-D6FC-4f65-9D91-7224C49458BB}"/>
              </c:extLst>
            </c:dLbl>
            <c:dLbl>
              <c:idx val="3"/>
              <c:layout/>
              <c:numFmt formatCode="General" sourceLinked="1"/>
              <c:spPr>
                <a:solidFill>
                  <a:schemeClr val="accent4"/>
                </a:solidFill>
                <a:ln>
                  <a:solidFill>
                    <a:schemeClr val="accent4">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outEnd"/>
              <c:showLegendKey val="0"/>
              <c:showVal val="0"/>
              <c:showCatName val="0"/>
              <c:showSerName val="0"/>
              <c:showPercent val="1"/>
              <c:showBubbleSize val="0"/>
              <c:extLst>
                <c:ext uri="{CE6537A1-D6FC-4f65-9D91-7224C49458BB}"/>
              </c:extLst>
            </c:dLbl>
            <c:numFmt formatCode="General" sourceLinked="1"/>
            <c:spPr>
              <a:solidFill>
                <a:srgbClr val="FFFFFF"/>
              </a:solidFill>
              <a:ln>
                <a:solidFill>
                  <a:srgbClr val="000000">
                    <a:lumMod val="65000"/>
                    <a:lumOff val="35000"/>
                  </a:srgb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tx1"/>
                    </a:solidFill>
                    <a:latin typeface="+mn-lt"/>
                    <a:ea typeface="+mn-ea"/>
                    <a:cs typeface="+mn-cs"/>
                  </a:defRPr>
                </a:pPr>
              </a:p>
            </c:txPr>
            <c:dLblPos val="outEnd"/>
            <c:showLegendKey val="0"/>
            <c:showVal val="0"/>
            <c:showCatName val="0"/>
            <c:showSerName val="0"/>
            <c:showPercent val="1"/>
            <c:showBubbleSize val="0"/>
            <c:showLeaderLines val="1"/>
            <c:extLst>
              <c:ext uri="{CE6537A1-D6FC-4f65-9D91-7224C49458BB}">
                <ns4:spPr>
                  <a:prstGeom prst="wedgeEllipseCallout">
                    <a:avLst/>
                  </a:prstGeom>
                  <a:noFill/>
                  <a:ln>
                    <a:noFill/>
                  </a:ln>
                </ns4:spPr>
                <ns4:layout/>
                <ns4:showLeaderLines val="1"/>
                <ns4:leaderLines>
                  <c:spPr>
                    <a:ln w="9525" cap="flat" cmpd="sng" algn="ctr">
                      <a:solidFill>
                        <a:schemeClr val="tx1">
                          <a:lumMod val="35000"/>
                          <a:lumOff val="65000"/>
                        </a:schemeClr>
                      </a:solidFill>
                      <a:prstDash val="solid"/>
                      <a:round/>
                    </a:ln>
                    <a:effectLst/>
                  </c:spPr>
                </ns4:leaderLines>
              </c:ext>
            </c:extLst>
          </c:dLbls>
          <c:cat>
            <c:strRef>
              <c:f>Sheet1!$A$2:$A$5</c:f>
              <c:strCache>
                <c:ptCount val="4"/>
                <c:pt idx="0">
                  <c:v>A.血压稳定在正常范围</c:v>
                </c:pt>
                <c:pt idx="1">
                  <c:v>B.血压多数时间在正常范围</c:v>
                </c:pt>
                <c:pt idx="2">
                  <c:v>C.血压偶尔超出正常范围</c:v>
                </c:pt>
                <c:pt idx="3">
                  <c:v>D.血压持续超出正常范围</c:v>
                </c:pt>
              </c:strCache>
            </c:strRef>
          </c:cat>
          <c:val>
            <c:numRef>
              <c:f>Sheet1!$B$2:$B$5</c:f>
              <c:numCache>
                <c:formatCode>0.00%</c:formatCode>
                <c:ptCount val="4"/>
                <c:pt idx="0">
                  <c:v>49.0</c:v>
                </c:pt>
                <c:pt idx="1">
                  <c:v>45.0</c:v>
                </c:pt>
                <c:pt idx="2">
                  <c:v>6.0</c:v>
                </c:pt>
                <c:pt idx="3">
                  <c:v>0.0</c:v>
                </c:pt>
              </c:numCache>
            </c:numRef>
          </c:val>
        </c:ser>
        <c:dLbls>
          <c:showLegendKey val="0"/>
          <c:showVal val="0"/>
          <c:showCatName val="0"/>
          <c:showSerName val="0"/>
          <c:showPercent val="1"/>
          <c:showBubbleSize val="0"/>
        </c:dLbls>
      </c:pie3DChart>
      <c:spPr>
        <a:noFill/>
        <a:ln>
          <a:noFill/>
        </a:ln>
        <a:effectLst/>
      </c:spPr>
    </c:plotArea>
    <c:legend>
      <c:legendPos val="r"/>
      <c:layout>
        <c:manualLayout>
          <c:xMode val="edge"/>
          <c:yMode val="edge"/>
          <c:x val="0.686885842533058"/>
          <c:y val="0.314928425357873"/>
          <c:w val="0.29855635084314"/>
          <c:h val="0.403771870029539"/>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50000"/>
                  <a:lumOff val="50000"/>
                </a:schemeClr>
              </a:solidFill>
              <a:latin typeface="+mn-lt"/>
              <a:ea typeface="+mn-ea"/>
              <a:cs typeface="+mn-cs"/>
            </a:defRPr>
          </a:pPr>
        </a:p>
      </c:txPr>
    </c:legend>
    <c:plotVisOnly val="1"/>
    <c:dispBlanksAs val="gap"/>
    <c:showDLblsOverMax val="0"/>
    <c:extLst>
      <c:ext uri="{0b15fc19-7d7d-44ad-8c2d-2c3a37ce22c3}">
        <ns5:chartProps chartId="{d3ec2183-c593-4541-acad-541fbd05b2cb}"/>
      </c:ext>
    </c:extLst>
  </c:chart>
  <c:spPr>
    <a:solidFill>
      <a:schemeClr val="bg1"/>
    </a:solidFill>
    <a:ln w="9525" cap="flat" cmpd="sng" algn="ctr">
      <a:solidFill>
        <a:schemeClr val="bg1">
          <a:lumMod val="85000"/>
        </a:schemeClr>
      </a:solidFill>
      <a:prstDash val="solid"/>
      <a:round/>
    </a:ln>
    <a:effectLst>
      <a:outerShdw blurRad="63500" dist="37357" dir="2700000" sx="0" sy="0" rotWithShape="0">
        <a:scrgbClr r="0" g="0" b="0"/>
      </a:outerShdw>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forceAA="0"/>
          <a:lstStyle/>
          <a:p>
            <a:pPr defTabSz="914400">
              <a:defRPr lang="zh-CN" sz="1400" b="0" i="0" u="none" strike="noStrike" kern="1200" spc="0" baseline="0">
                <a:solidFill>
                  <a:schemeClr val="tx1"/>
                </a:solidFill>
                <a:latin typeface="+mn-lt"/>
                <a:ea typeface="+mn-ea"/>
                <a:cs typeface="+mn-cs"/>
              </a:defRPr>
            </a:pPr>
            <a:r>
              <a:t>药品价格接受度情况</a:t>
            </a:r>
            <a:endParaRPr lang="en-US" altLang="zh-CN"/>
          </a:p>
        </c:rich>
      </c:tx>
      <c:layout>
        <c:manualLayout>
          <c:xMode val="edge"/>
          <c:yMode val="edge"/>
          <c:x val="0.413354338342221"/>
          <c:y val="0.0272806364231808"/>
        </c:manualLayout>
      </c:layout>
      <c:overlay val="0"/>
      <c:spPr>
        <a:noFill/>
        <a:ln>
          <a:noFill/>
        </a:ln>
        <a:effectLst/>
      </c:spPr>
    </c:title>
    <c:autoTitleDeleted val="0"/>
    <c:view3D>
      <c:rotX val="40"/>
      <c:rotY val="0"/>
      <c:depthPercent val="100"/>
      <c:rAngAx val="0"/>
    </c:view3D>
    <c:floor>
      <c:thickness val="0"/>
    </c:floor>
    <c:sideWall>
      <c:thickness val="0"/>
    </c:sideWall>
    <c:backWall>
      <c:thickness val="0"/>
    </c:backWall>
    <c:plotArea>
      <c:layout>
        <c:manualLayout>
          <c:layoutTarget val="inner"/>
          <c:xMode val="edge"/>
          <c:yMode val="edge"/>
          <c:x val="0.0683470673776054"/>
          <c:y val="0.210447441661314"/>
          <c:w val="0.555138148327678"/>
          <c:h val="0.694926140012845"/>
        </c:manualLayout>
      </c:layout>
      <c:pie3DChart>
        <c:varyColors val="1"/>
        <c:ser>
          <c:idx val="0"/>
          <c:order val="0"/>
          <c:tx>
            <c:strRef>
              <c:f>Sheet1!$B$1</c:f>
              <c:strCache>
                <c:ptCount val="1"/>
                <c:pt idx="0">
                  <c:v>销售额</c:v>
                </c:pt>
              </c:strCache>
            </c:strRef>
          </c:tx>
          <c:spPr>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explosion val="0"/>
          <c:dPt>
            <c:idx val="0"/>
            <c:bubble3D val="0"/>
            <c:spPr>
              <a:gradFill>
                <a:gsLst>
                  <a:gs pos="0">
                    <a:schemeClr val="accent1">
                      <a:lumMod val="60000"/>
                      <a:lumOff val="40000"/>
                    </a:schemeClr>
                  </a:gs>
                  <a:gs pos="50000">
                    <a:schemeClr val="accent1"/>
                  </a:gs>
                </a:gsLst>
                <a:lin ang="27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Pt>
            <c:idx val="1"/>
            <c:bubble3D val="0"/>
            <c:spPr>
              <a:gradFill>
                <a:gsLst>
                  <a:gs pos="0">
                    <a:schemeClr val="accent3">
                      <a:lumMod val="60000"/>
                      <a:lumOff val="40000"/>
                    </a:schemeClr>
                  </a:gs>
                  <a:gs pos="60000">
                    <a:schemeClr val="accent3"/>
                  </a:gs>
                </a:gsLst>
                <a:lin ang="27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Pt>
            <c:idx val="2"/>
            <c:bubble3D val="0"/>
            <c:spPr>
              <a:gradFill>
                <a:gsLst>
                  <a:gs pos="0">
                    <a:schemeClr val="accent2">
                      <a:lumMod val="60000"/>
                      <a:lumOff val="40000"/>
                    </a:schemeClr>
                  </a:gs>
                  <a:gs pos="60000">
                    <a:schemeClr val="accent2">
                      <a:alpha val="100000"/>
                    </a:schemeClr>
                  </a:gs>
                </a:gsLst>
                <a:lin ang="54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Pt>
            <c:idx val="3"/>
            <c:bubble3D val="0"/>
            <c:spPr>
              <a:gradFill>
                <a:gsLst>
                  <a:gs pos="0">
                    <a:schemeClr val="accent4">
                      <a:lumMod val="60000"/>
                      <a:lumOff val="40000"/>
                    </a:schemeClr>
                  </a:gs>
                  <a:gs pos="60000">
                    <a:schemeClr val="accent4"/>
                  </a:gs>
                </a:gsLst>
                <a:lin ang="54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Lbls>
            <c:dLbl>
              <c:idx val="0"/>
              <c:layout/>
              <c:numFmt formatCode="General" sourceLinked="1"/>
              <c:spPr>
                <a:solidFill>
                  <a:schemeClr val="accent1"/>
                </a:solidFill>
                <a:ln>
                  <a:solidFill>
                    <a:schemeClr val="accent1">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outEnd"/>
              <c:showLegendKey val="0"/>
              <c:showVal val="0"/>
              <c:showCatName val="0"/>
              <c:showSerName val="0"/>
              <c:showPercent val="1"/>
              <c:showBubbleSize val="0"/>
              <c:extLst>
                <c:ext xmlns:c15="http://schemas.microsoft.com/office/drawing/2012/chart" uri="{CE6537A1-D6FC-4f65-9D91-7224C49458BB}"/>
              </c:extLst>
            </c:dLbl>
            <c:dLbl>
              <c:idx val="1"/>
              <c:layout>
                <c:manualLayout>
                  <c:x val="-0.00783903841128821"/>
                  <c:y val="-0.0826901874310915"/>
                </c:manualLayout>
              </c:layout>
              <c:numFmt formatCode="General" sourceLinked="1"/>
              <c:spPr>
                <a:solidFill>
                  <a:schemeClr val="accent3"/>
                </a:solidFill>
                <a:ln>
                  <a:solidFill>
                    <a:schemeClr val="accent3">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bestFit"/>
              <c:showLegendKey val="0"/>
              <c:showVal val="0"/>
              <c:showCatName val="0"/>
              <c:showSerName val="0"/>
              <c:showPercent val="1"/>
              <c:showBubbleSize val="0"/>
              <c:extLst>
                <c:ext xmlns:c15="http://schemas.microsoft.com/office/drawing/2012/chart" uri="{CE6537A1-D6FC-4f65-9D91-7224C49458BB}">
                  <c15:layout/>
                </c:ext>
              </c:extLst>
            </c:dLbl>
            <c:dLbl>
              <c:idx val="2"/>
              <c:layout/>
              <c:numFmt formatCode="General" sourceLinked="1"/>
              <c:spPr>
                <a:solidFill>
                  <a:schemeClr val="accent2"/>
                </a:solidFill>
                <a:ln>
                  <a:solidFill>
                    <a:schemeClr val="accent2">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outEnd"/>
              <c:showLegendKey val="0"/>
              <c:showVal val="0"/>
              <c:showCatName val="0"/>
              <c:showSerName val="0"/>
              <c:showPercent val="1"/>
              <c:showBubbleSize val="0"/>
              <c:extLst>
                <c:ext xmlns:c15="http://schemas.microsoft.com/office/drawing/2012/chart" uri="{CE6537A1-D6FC-4f65-9D91-7224C49458BB}"/>
              </c:extLst>
            </c:dLbl>
            <c:dLbl>
              <c:idx val="3"/>
              <c:layout/>
              <c:numFmt formatCode="General" sourceLinked="1"/>
              <c:spPr>
                <a:solidFill>
                  <a:schemeClr val="accent4"/>
                </a:solidFill>
                <a:ln>
                  <a:solidFill>
                    <a:schemeClr val="accent4">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outEnd"/>
              <c:showLegendKey val="0"/>
              <c:showVal val="0"/>
              <c:showCatName val="0"/>
              <c:showSerName val="0"/>
              <c:showPercent val="1"/>
              <c:showBubbleSize val="0"/>
              <c:extLst>
                <c:ext xmlns:c15="http://schemas.microsoft.com/office/drawing/2012/chart" uri="{CE6537A1-D6FC-4f65-9D91-7224C49458BB}"/>
              </c:extLst>
            </c:dLbl>
            <c:numFmt formatCode="General" sourceLinked="1"/>
            <c:spPr>
              <a:solidFill>
                <a:srgbClr val="FFFFFF"/>
              </a:solidFill>
              <a:ln>
                <a:solidFill>
                  <a:srgbClr val="000000">
                    <a:lumMod val="65000"/>
                    <a:lumOff val="35000"/>
                  </a:srgb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tx1"/>
                    </a:solidFill>
                    <a:latin typeface="+mn-lt"/>
                    <a:ea typeface="+mn-ea"/>
                    <a:cs typeface="+mn-cs"/>
                  </a:defRPr>
                </a:pPr>
              </a:p>
            </c:txPr>
            <c:dLblPos val="outEnd"/>
            <c:showLegendKey val="0"/>
            <c:showVal val="0"/>
            <c:showCatName val="0"/>
            <c:showSerName val="0"/>
            <c:showPercent val="1"/>
            <c:showBubbleSize val="0"/>
            <c:showLeaderLines val="1"/>
            <c:extLst>
              <c:ext xmlns:c15="http://schemas.microsoft.com/office/drawing/2012/chart" uri="{CE6537A1-D6FC-4f65-9D91-7224C49458BB}">
                <c15:spPr xmlns:c15="http://schemas.microsoft.com/office/drawing/2012/chart">
                  <a:prstGeom prst="wedgeEllipseCallout">
                    <a:avLst/>
                  </a:prstGeom>
                  <a:noFill/>
                  <a:ln>
                    <a:noFill/>
                  </a:ln>
                </c15:spPr>
                <c15:layout/>
                <c15:showLeaderLines val="1"/>
                <c15:leaderLines>
                  <c:spPr>
                    <a:ln w="9525" cap="flat" cmpd="sng" algn="ctr">
                      <a:solidFill>
                        <a:schemeClr val="tx1">
                          <a:lumMod val="35000"/>
                          <a:lumOff val="65000"/>
                        </a:schemeClr>
                      </a:solidFill>
                      <a:prstDash val="solid"/>
                      <a:round/>
                    </a:ln>
                    <a:effectLst/>
                  </c:spPr>
                </c15:leaderLines>
              </c:ext>
            </c:extLst>
          </c:dLbls>
          <c:cat>
            <c:strRef>
              <c:f>Sheet1!$A$2:$A$5</c:f>
              <c:strCache>
                <c:ptCount val="4"/>
                <c:pt idx="0">
                  <c:v>A.难以承受</c:v>
                </c:pt>
                <c:pt idx="1">
                  <c:v>B.勉强承受</c:v>
                </c:pt>
                <c:pt idx="2">
                  <c:v>C.在可接受范围</c:v>
                </c:pt>
                <c:pt idx="3">
                  <c:v>D.无压力</c:v>
                </c:pt>
              </c:strCache>
            </c:strRef>
          </c:cat>
          <c:val>
            <c:numRef>
              <c:f>Sheet1!$B$2:$B$5</c:f>
              <c:numCache>
                <c:formatCode>0.00%</c:formatCode>
                <c:ptCount val="4"/>
                <c:pt idx="0">
                  <c:v>0</c:v>
                </c:pt>
                <c:pt idx="1">
                  <c:v>0.0341</c:v>
                </c:pt>
                <c:pt idx="2">
                  <c:v>0.4988</c:v>
                </c:pt>
                <c:pt idx="3">
                  <c:v>0.4671</c:v>
                </c:pt>
              </c:numCache>
            </c:numRef>
          </c:val>
        </c:ser>
        <c:dLbls>
          <c:showLegendKey val="0"/>
          <c:showVal val="0"/>
          <c:showCatName val="0"/>
          <c:showSerName val="0"/>
          <c:showPercent val="1"/>
          <c:showBubbleSize val="0"/>
        </c:dLbls>
      </c:pie3DChart>
      <c:spPr>
        <a:noFill/>
        <a:ln>
          <a:noFill/>
        </a:ln>
        <a:effectLst/>
      </c:spPr>
    </c:plotArea>
    <c:legend>
      <c:legendPos val="r"/>
      <c:layout>
        <c:manualLayout>
          <c:xMode val="edge"/>
          <c:yMode val="edge"/>
          <c:x val="0.667474551623849"/>
          <c:y val="0.370156283451081"/>
          <c:w val="0.317983519146874"/>
          <c:h val="0.37871976022265"/>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50000"/>
                  <a:lumOff val="50000"/>
                </a:schemeClr>
              </a:solidFill>
              <a:latin typeface="+mn-lt"/>
              <a:ea typeface="+mn-ea"/>
              <a:cs typeface="+mn-cs"/>
            </a:defRPr>
          </a:pPr>
        </a:p>
      </c:txPr>
    </c:legend>
    <c:plotVisOnly val="1"/>
    <c:dispBlanksAs val="gap"/>
    <c:showDLblsOverMax val="0"/>
    <c:extLst>
      <c:ext uri="{0b15fc19-7d7d-44ad-8c2d-2c3a37ce22c3}">
        <chartProps xmlns="https://web.wps.cn/et/2018/main" chartId="{d3ec2183-c593-4541-acad-541fbd05b2cb}"/>
      </c:ext>
    </c:extLst>
  </c:chart>
  <c:spPr>
    <a:solidFill>
      <a:schemeClr val="bg1"/>
    </a:solidFill>
    <a:ln w="9525" cap="flat" cmpd="sng" algn="ctr">
      <a:solidFill>
        <a:schemeClr val="bg1">
          <a:lumMod val="85000"/>
        </a:schemeClr>
      </a:solidFill>
      <a:prstDash val="solid"/>
      <a:round/>
    </a:ln>
    <a:effectLst>
      <a:outerShdw blurRad="63500" dist="37357" dir="2700000" sx="0" sy="0" rotWithShape="0">
        <a:scrgbClr r="0" g="0" b="0"/>
      </a:outerShdw>
    </a:effectLst>
  </c:spPr>
  <c:txPr>
    <a:bodyPr/>
    <a:lstStyle/>
    <a:p>
      <a:pPr>
        <a:defRPr lang="zh-CN"/>
      </a:pPr>
    </a:p>
  </c:txPr>
  <c:externalData r:id="rId1">
    <c:autoUpdate val="0"/>
  </c:externalData>
</c:chartSpac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16.1">
    <a:dk1>
      <a:srgbClr val="000000"/>
    </a:dk1>
    <a:lt1>
      <a:srgbClr val="FFFFFF"/>
    </a:lt1>
    <a:dk2>
      <a:srgbClr val="0F1423"/>
    </a:dk2>
    <a:lt2>
      <a:srgbClr val="FFFFFF"/>
    </a:lt2>
    <a:accent1>
      <a:srgbClr val="7262FD"/>
    </a:accent1>
    <a:accent2>
      <a:srgbClr val="FF6637"/>
    </a:accent2>
    <a:accent3>
      <a:srgbClr val="FF860F"/>
    </a:accent3>
    <a:accent4>
      <a:srgbClr val="FFB607"/>
    </a:accent4>
    <a:accent5>
      <a:srgbClr val="45CBF1"/>
    </a:accent5>
    <a:accent6>
      <a:srgbClr val="41DDAC"/>
    </a:accent6>
    <a:hlink>
      <a:srgbClr val="0563C1"/>
    </a:hlink>
    <a:folHlink>
      <a:srgbClr val="954D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16.1">
    <a:dk1>
      <a:srgbClr val="000000"/>
    </a:dk1>
    <a:lt1>
      <a:srgbClr val="FFFFFF"/>
    </a:lt1>
    <a:dk2>
      <a:srgbClr val="0F1423"/>
    </a:dk2>
    <a:lt2>
      <a:srgbClr val="FFFFFF"/>
    </a:lt2>
    <a:accent1>
      <a:srgbClr val="7262FD"/>
    </a:accent1>
    <a:accent2>
      <a:srgbClr val="FF6637"/>
    </a:accent2>
    <a:accent3>
      <a:srgbClr val="FF860F"/>
    </a:accent3>
    <a:accent4>
      <a:srgbClr val="FFB607"/>
    </a:accent4>
    <a:accent5>
      <a:srgbClr val="45CBF1"/>
    </a:accent5>
    <a:accent6>
      <a:srgbClr val="41DDAC"/>
    </a:accent6>
    <a:hlink>
      <a:srgbClr val="0563C1"/>
    </a:hlink>
    <a:folHlink>
      <a:srgbClr val="954D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webExtensions/_rels/webExtension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package" Target="../embeddings/Workbook3.xlsx"/></Relationships>
</file>

<file path=word/webExtensions/webExtension1.xml><?xml version="1.0" encoding="utf-8"?>
<wpswe:webExtension xmlns:wpswe="http://www.wps.cn/officeDocument/2018/webExtension" xmlns:webet="https://web.wps.cn/et/2018/main" webet:type="Normal" type="0" webet:id="">
  <wpswe:extSource id="dschart" version="1.0"/>
  <wpswe:properties>
    <wpswe:property key="DiscardFirstCodeChange" value="0"/>
    <wpswe:property key="autoSnapshot" value="0"/>
    <wpswe:property key="dschart" value="{&quot;dschart_data&quot;:{&quot;blockId&quot;:&quot;161243067158731941&quot;,&quot;chart_type&quot;:&quot;饼图&quot;,&quot;classifty_type&quot;:[&quot;占比类&quot;],&quot;dataSrc&quot;:{&quot;data&quot;:[[[&quot;属性&quot;,&quot;值&quot;],[&quot;药品疗效&quot;,&quot;7%&quot;],[&quot;药品安全性&quot;,&quot;14%&quot;],[&quot;用药行为与习惯&quot;,&quot;37%&quot;],[&quot;用药便利性&quot;,&quot;14%&quot;],[&quot;药品经济性&quot;,&quot;7%&quot;],[&quot;药品可及性&quot;,&quot;7%&quot;],[&quot;用药指导信息评价&quot;,&quot;14%&quot;]]],&quot;dataType&quot;:&quot;obejct-table&quot;,&quot;download&quot;:false,&quot;srcType&quot;:&quot;local&quot;,&quot;url&quot;:&quot;&quot;},&quot;function_type&quot;:[&quot;饼图&quot;],&quot;gif&quot;:&quot;//web.docer.wpscdn.cn/docer/ds-page/images/444746070325460997.gif?imageView2/2/w/500/quality/90&quot;,&quot;index&quot;:1,&quot;isFree&quot;:&quot;0&quot;,&quot;label&quot;:&quot;&lt;e-piebasic-chart&gt;&quot;,&quot;projectId&quot;:&quot;444746070325460997&quot;,&quot;props&quot;:{&quot;animation&quot;:{&quot;duration&quot;:&quot;1.5&quot;,&quot;easeStyle&quot;:&quot;&quot;,&quot;endPause&quot;:&quot;1&quot;,&quot;moveOptions&quot;:[&quot;轮子&quot;,&quot;百叶窗&quot;,&quot;折扇&quot;,&quot;径向展开&quot;],&quot;moveStyle&quot;:&quot;轮子&quot;,&quot;startDelay&quot;:&quot;0&quot;,&quot;transition&quot;:true},&quot;axis&quot;:&quot;&quot;,&quot;backgroundColor&quot;:&quot;&quot;,&quot;colors&quot;:{&quot;colorControlers&quot;:[&quot;multiple&quot;,&quot;linear&quot;],&quot;list&quot;:[&quot;#5956F4ff&quot;,&quot;#53e09eff&quot;,&quot;#ffdc4cff&quot;,&quot;#ff9c46ff&quot;,0,1,2],&quot;type&quot;:&quot;multiple&quot;},&quot;display&quot;:{&quot;borderColor&quot;:&quot;#FFFFFF&quot;,&quot;borderWidth&quot;:&quot;1&quot;,&quot;cornerRadius&quot;:&quot;0&quot;,&quot;fillOpacity&quot;:&quot;1&quot;,&quot;gapPercentage&quot;:&quot;0&quot;,&quot;innerRadiusRatio&quot;:&quot;0&quot;},&quot;label&quot;:{&quot;contentChoice&quot;:[&quot;百分比&quot;],&quot;contentOption&quot;:[&quot;名称&quot;,&quot;百分比&quot;,&quot;数值&quot;],&quot;display&quot;:true,&quot;positionChoice&quot;:&quot;外部&quot;,&quot;positionOptions&quot;:[&quot;内部周向&quot;,&quot;内部水平&quot;,&quot;外部&quot;],&quot;suffix&quot;:&quot;&quot;,&quot;textLabel&quot;:{&quot;color&quot;:&quot;#545454&quot;,&quot;fontFamily&quot;:&quot;微软雅黑&quot;,&quot;fontSize&quot;:&quot;14&quot;}},&quot;legend&quot;:{&quot;color&quot;:[&quot;#545454&quot;],&quot;fontFamily&quot;:[&quot;阿里巴巴普惠体常规&quot;],&quot;fontSize&quot;:&quot;12&quot;,&quot;lineHeight&quot;:&quot;15&quot;,&quot;show&quot;:true,&quot;style&quot;:&quot;&quot;,&quot;styleOptions&quot;:[],&quot;xPosition&quot;:&quot;center&quot;,&quot;yPosition&quot;:&quot;bottom&quot;},&quot;logoDisplay&quot;:{&quot;bottomLineHeight&quot;:&quot;15&quot;,&quot;imgHeight&quot;:&quot;32&quot;,&quot;imgUrl&quot;:&quot;https://ss1.dydata.io/newchartLogo.png&quot;,&quot;show&quot;:true,&quot;topLineHeight&quot;:&quot;11&quot;},&quot;map&quot;:[[{&quot;allowType&quot;:[&quot;string&quot;],&quot;configurable&quot;:false,&quot;function&quot;:&quot;objCol&quot;,&quot;index&quot;:0,&quot;isLegend&quot;:true,&quot;name&quot;:&quot;名称&quot;},{&quot;allowType&quot;:[&quot;number&quot;],&quot;configurable&quot;:false,&quot;function&quot;:&quot;vCol&quot;,&quot;index&quot;:1,&quot;isLegend&quot;:false,&quot;name&quot;:&quot;值&quot;}]],&quot;numberFormat&quot;:{&quot;decimalPlaces&quot;:&quot;&quot;,&quot;style&quot;:&quot;1000.00&quot;},&quot;paddings&quot;:{&quot;bottom&quot;:&quot;33&quot;,&quot;chartBottom&quot;:&quot;5&quot;,&quot;left&quot;:&quot;24&quot;,&quot;right&quot;:&quot;24&quot;,&quot;top&quot;:&quot;24&quot;},&quot;publishDisplay&quot;:{&quot;color&quot;:&quot;#878787&quot;,&quot;fontFamily&quot;:&quot;黑体&quot;,&quot;fontSize&quot;:&quot;14&quot;,&quot;show&quot;:true,&quot;text&quot;:&quot;镝数出品&quot;},&quot;shadow&quot;:{&quot;display&quot;:false,&quot;shadowAngle&quot;:&quot;45&quot;,&quot;shadowBlur&quot;:&quot;5&quot;,&quot;shadowColor&quot;:&quot;#a8a8a7cc&quot;,&quot;shadowOpacity&quot;:&quot;100&quot;,&quot;shadowRadius&quot;:&quot;3&quot;},&quot;size&quot;:{&quot;height&quot;:451,&quot;ratio&quot;:&quot;&quot;,&quot;rotate&quot;:0,&quot;width&quot;:551},&quot;sourceDisplay&quot;:{&quot;color&quot;:&quot;#878787&quot;,&quot;fontFamily&quot;:&quot;黑体&quot;,&quot;fontSize&quot;:&quot;14&quot;,&quot;show&quot;:false,&quot;text&quot;:&quot;数据来源：示例数据&quot;,&quot;topLineHeight&quot;:&quot;15&quot;,&quot;xPosition&quot;:&quot;left&quot;,&quot;yPosition&quot;:&quot;bottom&quot;},&quot;titleDisplay&quot;:{&quot;color&quot;:&quot;#4c4c4c&quot;,&quot;fontFamily&quot;:&quot;阿里巴巴普惠体 常规&quot;,&quot;fontSize&quot;:&quot;32&quot;,&quot;lineHeight&quot;:&quot;10&quot;,&quot;show&quot;:false,&quot;text&quot;:&quot;本月收入与支出情况&quot;,&quot;totalHeight&quot;:&quot;39&quot;,&quot;xPosition&quot;:&quot;left&quot;,&quot;yPosition&quot;:&quot;top&quot;},&quot;tooltip&quot;:true,&quot;unitDisplay&quot;:{&quot;bottomLineHeight&quot;:&quot;15&quot;,&quot;color&quot;:&quot;#878787&quot;,&quot;fontFamily&quot;:&quot;阿里巴巴普惠体常规&quot;,&quot;fontSize&quot;:&quot;14&quot;,&quot;show&quot;:false,&quot;text&quot;:&quot;单位：元&quot;,&quot;xPosition&quot;:&quot;left&quot;,&quot;yPosition&quot;:&quot;top&quot;},&quot;watermarkDisplay&quot;:{&quot;imgHeight&quot;:&quot;80&quot;,&quot;imgUrl&quot;:&quot;https://ss1.dydata.io/newchartWatermark.png&quot;,&quot;imgWidth&quot;:&quot;80&quot;,&quot;show&quot;:false}},&quot;templateId&quot;:&quot;444746070325460997-8&quot;,&quot;templateSwitch&quot;:&quot;key-value&quot;,&quot;theme&quot;:{&quot;axis&quot;:{&quot;color&quot;:&quot;#a1a1a1&quot;},&quot;backgroundColor&quot;:&quot;#FFFFFF&quot;,&quot;colors&quot;:[&quot;#5AAEF3&quot;,&quot;#62D9AD&quot;,&quot;#5B6E96&quot;,&quot;#a8dffa&quot;,&quot;#ffdc4c&quot;,&quot;#FF974C&quot;,&quot;#E65A56&quot;,&quot;#6D61E4&quot;,&quot;#4A6FE2&quot;,&quot;#6D9AE7&quot;,&quot;#23C2DB&quot;,&quot;#D4EC59&quot;,&quot;#FFE88E&quot;,&quot;#FEB64D&quot;,&quot;#FB6E6C&quot;],&quot;fonts&quot;:{&quot;accessoryColor&quot;:&quot;#878787&quot;,&quot;color&quot;:&quot;#545454&quot;,&quot;fontFamily&quot;:&quot;黑体&quot;,&quot;fontSize&quot;:&quot;14&quot;},&quot;grid&quot;:{&quot;color&quot;:&quot;#ccc&quot;},&quot;name&quot;:&quot;默认主题&quot;,&quot;price&quot;:&quot;0.0&quot;,&quot;shapeColor&quot;:1,&quot;themeId&quot;:&quot;18&quot;,&quot;titleFont&quot;:{&quot;color&quot;:&quot;#4c4c4c&quot;,&quot;fontFamily&quot;:&quot;黑体&quot;,&quot;fontSize&quot;:&quot;36&quot;}},&quot;thumb&quot;:&quot;./images/444746070325460997-8.jpg&quot;,&quot;title&quot;:&quot;基础饼图&quot;,&quot;type&quot;:&quot;chart&quot;},&quot;dschart_id&quot;:&quot;444746070325460997-8&quot;,&quot;flag&quot;:&quot;1003&quot;,&quot;id&quot;:&quot;144&quot;}"/>
    <wpswe:property key="isUseCommonErrorPage" value="false"/>
    <wpswe:property key="loadingImage" value="res:/icons/DsWebShapeDefaultPage.svg"/>
  </wpswe:properties>
  <wpswe:watchingCache>
    <wpswe:linkPath>C:/Users/一一/AppData/Local/Temp/wps.DwikEb/Workbook3.xlsx</wpswe:linkPath>
  </wpswe:watchingCache>
  <wpswe:snapshot xmlns:r="http://schemas.openxmlformats.org/officeDocument/2006/relationships" r:embed="rId2"/>
  <wpswe:externalData xmlns:r="http://schemas.openxmlformats.org/officeDocument/2006/relationships" r:id="rId1"/>
  <wpswe:url>https://clientweb.docer.wps.cn/docer-ds/web-shape-1.0.0/?id=144&amp;dschart_id=5544734748594536330-7&amp;from=&amp;productEntry=insert&amp;sceneEntry=rec-144&amp;flag=1003</wpswe:url>
  <wpswe:constantSnapshot>false</wpswe:constantSnapshot>
</wps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简约商务风项目计划封面"/>
      <sectRole val="1"/>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4798</Words>
  <Characters>5435</Characters>
  <Lines>0</Lines>
  <Paragraphs>0</Paragraphs>
  <TotalTime>73</TotalTime>
  <ScaleCrop>false</ScaleCrop>
  <LinksUpToDate>false</LinksUpToDate>
  <CharactersWithSpaces>5503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2023-10-19T07:54:00Z</dcterms:created>
  <dc:creator>Zaralin</dc:creator>
  <cp:lastModifiedBy>koki</cp:lastModifiedBy>
  <dcterms:modified xsi:type="dcterms:W3CDTF">2025-12-31T04:29:29Z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EFE0C47C61DE41689FC0FAEC4DB2EB29_13</vt:lpwstr>
  </property>
  <property fmtid="{D5CDD505-2E9C-101B-9397-08002B2CF9AE}" pid="4" name="KSOTemplateDocerSaveRecord">
    <vt:lpwstr>eyJoZGlkIjoiNzMyNDZlYmFhMmNkMWYxOTZkNjcxNjlhNjFjMTBjYzYiLCJ1c2VySWQiOiIxMDg3ODE4ODA2In0=</vt:lpwstr>
  </property>
</Properties>
</file>