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jc w:val="center"/>
      </w:pPr>
      <w:r>
        <w:rPr>
          <w:rFonts w:ascii="Arial" w:cs="Arial" w:eastAsia="Arial" w:hAnsi="Arial"/>
          <w:b/>
          <w:bCs/>
          <w:color w:val="1A1A2E"/>
          <w:sz w:val="72"/>
          <w:szCs w:val="72"/>
        </w:rPr>
        <w:t xml:space="preserve">digby.rocks</w:t>
      </w:r>
    </w:p>
    <w:p>
      <w:pPr>
        <w:spacing w:after="160" w:before="0"/>
        <w:jc w:val="center"/>
      </w:pPr>
      <w:r>
        <w:rPr>
          <w:rFonts w:ascii="Arial" w:cs="Arial" w:eastAsia="Arial" w:hAnsi="Arial"/>
          <w:b/>
          <w:bCs/>
          <w:color w:val="2D6E8E"/>
          <w:sz w:val="44"/>
          <w:szCs w:val="44"/>
        </w:rPr>
        <w:t xml:space="preserve">Expert &amp; Professional Features</w:t>
      </w:r>
    </w:p>
    <w:p>
      <w:pPr>
        <w:spacing w:after="120" w:before="0"/>
        <w:jc w:val="center"/>
      </w:pPr>
      <w:r>
        <w:rPr>
          <w:rFonts w:ascii="Arial" w:cs="Arial" w:eastAsia="Arial" w:hAnsi="Arial"/>
          <w:color w:val="3A4A5A"/>
          <w:sz w:val="26"/>
          <w:szCs w:val="26"/>
        </w:rPr>
        <w:t xml:space="preserve">Full Spec — Ages 25–45, Geology &amp; GIS Professionals</w:t>
      </w:r>
    </w:p>
    <w:p>
      <w:pPr>
        <w:spacing w:after="1200" w:before="0"/>
        <w:jc w:val="center"/>
      </w:pPr>
      <w:r>
        <w:rPr>
          <w:rFonts w:ascii="Arial" w:cs="Arial" w:eastAsia="Arial" w:hAnsi="Arial"/>
          <w:color w:val="778899"/>
          <w:sz w:val="20"/>
          <w:szCs w:val="20"/>
        </w:rPr>
        <w:t xml:space="preserve">May 2026</w:t>
      </w:r>
    </w:p>
    <w:p>
      <w:pPr>
        <w:pStyle w:val="Heading1"/>
        <w:spacing w:after="180" w:before="520"/>
      </w:pPr>
      <w:r>
        <w:rPr>
          <w:rFonts w:ascii="Arial" w:cs="Arial" w:eastAsia="Arial" w:hAnsi="Arial"/>
          <w:b/>
          <w:bCs/>
          <w:color w:val="1A1A2E"/>
          <w:sz w:val="34"/>
          <w:szCs w:val="34"/>
        </w:rPr>
        <w:t xml:space="preserve">The Audience</w:t>
      </w:r>
    </w:p>
    <w:p>
      <w:pPr>
        <w:pBdr>
          <w:left w:val="single" w:color="2D6E8E" w:sz="18" w:space="12"/>
        </w:pBdr>
        <w:spacing w:after="200" w:before="200"/>
        <w:ind w:left="720" w:right="720"/>
      </w:pPr>
      <w:r>
        <w:rPr>
          <w:rFonts w:ascii="Arial" w:cs="Arial" w:eastAsia="Arial" w:hAnsi="Arial"/>
          <w:b/>
          <w:bCs/>
          <w:i/>
          <w:iCs/>
          <w:color w:val="3A4A5A"/>
          <w:sz w:val="25"/>
          <w:szCs w:val="25"/>
        </w:rPr>
        <w:t xml:space="preserve">These people will spot inaccuracies immediately, have zero patience for oversimplification, and will become your most vocal advocates — or your harshest critics — depending on how seriously you take their intelligence.</w:t>
      </w:r>
    </w:p>
    <w:p>
      <w:pPr>
        <w:spacing w:after="120" w:before="80"/>
      </w:pPr>
      <w:r>
        <w:rPr>
          <w:rFonts w:ascii="Arial" w:cs="Arial" w:eastAsia="Arial" w:hAnsi="Arial"/>
          <w:color w:val="1A1A2E"/>
          <w:sz w:val="22"/>
          <w:szCs w:val="22"/>
        </w:rPr>
        <w:t xml:space="preserve">The 25–45 expert audience is the backbone of digby’s data quality and community credibility. They are not the largest user group but they are the most influential. Typical profiles:</w:t>
      </w:r>
    </w:p>
    <w:p>
      <w:pPr>
        <w:pStyle w:val="ListParagraph"/>
        <w:numPr>
          <w:ilvl w:val="0"/>
          <w:numId w:val="2"/>
        </w:numPr>
        <w:spacing w:after="60" w:before="60"/>
      </w:pPr>
      <w:r>
        <w:rPr>
          <w:rFonts w:ascii="Arial" w:cs="Arial" w:eastAsia="Arial" w:hAnsi="Arial"/>
          <w:color w:val="1A1A2E"/>
          <w:sz w:val="22"/>
          <w:szCs w:val="22"/>
        </w:rPr>
        <w:t xml:space="preserve">Hydrogeologist or environmental consultant who grew up rockhounding and still goes out on weekends</w:t>
      </w:r>
    </w:p>
    <w:p>
      <w:pPr>
        <w:pStyle w:val="ListParagraph"/>
        <w:numPr>
          <w:ilvl w:val="0"/>
          <w:numId w:val="2"/>
        </w:numPr>
        <w:spacing w:after="60" w:before="60"/>
      </w:pPr>
      <w:r>
        <w:rPr>
          <w:rFonts w:ascii="Arial" w:cs="Arial" w:eastAsia="Arial" w:hAnsi="Arial"/>
          <w:color w:val="1A1A2E"/>
          <w:sz w:val="22"/>
          <w:szCs w:val="22"/>
        </w:rPr>
        <w:t xml:space="preserve">GIS analyst at a conservation authority or municipal government who knows the OGS data better than most people alive</w:t>
      </w:r>
    </w:p>
    <w:p>
      <w:pPr>
        <w:pStyle w:val="ListParagraph"/>
        <w:numPr>
          <w:ilvl w:val="0"/>
          <w:numId w:val="2"/>
        </w:numPr>
        <w:spacing w:after="60" w:before="60"/>
      </w:pPr>
      <w:r>
        <w:rPr>
          <w:rFonts w:ascii="Arial" w:cs="Arial" w:eastAsia="Arial" w:hAnsi="Arial"/>
          <w:color w:val="1A1A2E"/>
          <w:sz w:val="22"/>
          <w:szCs w:val="22"/>
        </w:rPr>
        <w:t xml:space="preserve">Mining exploration geologist between projects, or working in Northern Ontario, who wants a platform that treats the hobby seriously</w:t>
      </w:r>
    </w:p>
    <w:p>
      <w:pPr>
        <w:pStyle w:val="ListParagraph"/>
        <w:numPr>
          <w:ilvl w:val="0"/>
          <w:numId w:val="2"/>
        </w:numPr>
        <w:spacing w:after="60" w:before="60"/>
      </w:pPr>
      <w:r>
        <w:rPr>
          <w:rFonts w:ascii="Arial" w:cs="Arial" w:eastAsia="Arial" w:hAnsi="Arial"/>
          <w:color w:val="1A1A2E"/>
          <w:sz w:val="22"/>
          <w:szCs w:val="22"/>
        </w:rPr>
        <w:t xml:space="preserve">University professor or graduate student in earth sciences, geochemistry, or economic geology</w:t>
      </w:r>
    </w:p>
    <w:p>
      <w:pPr>
        <w:pStyle w:val="ListParagraph"/>
        <w:numPr>
          <w:ilvl w:val="0"/>
          <w:numId w:val="2"/>
        </w:numPr>
        <w:spacing w:after="60" w:before="60"/>
      </w:pPr>
      <w:r>
        <w:rPr>
          <w:rFonts w:ascii="Arial" w:cs="Arial" w:eastAsia="Arial" w:hAnsi="Arial"/>
          <w:color w:val="1A1A2E"/>
          <w:sz w:val="22"/>
          <w:szCs w:val="22"/>
        </w:rPr>
        <w:t xml:space="preserve">Retired OGS or GSC geologist with decades of field knowledge and no current outlet for it</w:t>
      </w:r>
    </w:p>
    <w:p>
      <w:pPr>
        <w:pStyle w:val="ListParagraph"/>
        <w:numPr>
          <w:ilvl w:val="0"/>
          <w:numId w:val="2"/>
        </w:numPr>
        <w:spacing w:after="60" w:before="60"/>
      </w:pPr>
      <w:r>
        <w:rPr>
          <w:rFonts w:ascii="Arial" w:cs="Arial" w:eastAsia="Arial" w:hAnsi="Arial"/>
          <w:color w:val="1A1A2E"/>
          <w:sz w:val="22"/>
          <w:szCs w:val="22"/>
        </w:rPr>
        <w:t xml:space="preserve">P.Geo or P.Eng professional who keeps their rockhounding and professional lives separate but would engage both through digby if it was worth their time</w:t>
      </w:r>
    </w:p>
    <w:p>
      <w:pPr>
        <w:spacing w:after="120" w:before="80"/>
      </w:pPr>
      <w:r>
        <w:rPr>
          <w:rFonts w:ascii="Arial" w:cs="Arial" w:eastAsia="Arial" w:hAnsi="Arial"/>
          <w:color w:val="1A1A2E"/>
          <w:sz w:val="22"/>
          <w:szCs w:val="22"/>
        </w:rPr>
        <w:t xml:space="preserve">What they share: deep geological literacy, GIS familiarity, high standards for data quality, and a strong community identity around the profession. They are the verification layer the citizen science dataset depends on, and they are the credibility signal that makes the OGS partnership conversation possible.</w:t>
      </w:r>
    </w:p>
    <w:p>
      <w:pPr>
        <w:pStyle w:val="Heading2"/>
        <w:spacing w:after="130" w:before="340"/>
      </w:pPr>
      <w:r>
        <w:rPr>
          <w:rFonts w:ascii="Arial" w:cs="Arial" w:eastAsia="Arial" w:hAnsi="Arial"/>
          <w:b/>
          <w:bCs/>
          <w:color w:val="2D6E8E"/>
          <w:sz w:val="27"/>
          <w:szCs w:val="27"/>
        </w:rPr>
        <w:t xml:space="preserve">Design Principles for This Audience</w:t>
      </w:r>
    </w:p>
    <w:p>
      <w:pPr>
        <w:pStyle w:val="ListParagraph"/>
        <w:numPr>
          <w:ilvl w:val="0"/>
          <w:numId w:val="2"/>
        </w:numPr>
        <w:spacing w:after="60" w:before="60"/>
      </w:pPr>
      <w:r>
        <w:rPr>
          <w:rFonts w:ascii="Arial" w:cs="Arial" w:eastAsia="Arial" w:hAnsi="Arial"/>
          <w:color w:val="1A1A2E"/>
          <w:sz w:val="22"/>
          <w:szCs w:val="22"/>
        </w:rPr>
        <w:t xml:space="preserve">Never oversimplify. Use correct geological vocabulary without apologising for it.</w:t>
      </w:r>
    </w:p>
    <w:p>
      <w:pPr>
        <w:pStyle w:val="ListParagraph"/>
        <w:numPr>
          <w:ilvl w:val="0"/>
          <w:numId w:val="2"/>
        </w:numPr>
        <w:spacing w:after="60" w:before="60"/>
      </w:pPr>
      <w:r>
        <w:rPr>
          <w:rFonts w:ascii="Arial" w:cs="Arial" w:eastAsia="Arial" w:hAnsi="Arial"/>
          <w:color w:val="1A1A2E"/>
          <w:sz w:val="22"/>
          <w:szCs w:val="22"/>
        </w:rPr>
        <w:t xml:space="preserve">Show the data. These users want to see underlying records, confidence distributions, formation-level statistics — not summaries.</w:t>
      </w:r>
    </w:p>
    <w:p>
      <w:pPr>
        <w:pStyle w:val="ListParagraph"/>
        <w:numPr>
          <w:ilvl w:val="0"/>
          <w:numId w:val="2"/>
        </w:numPr>
        <w:spacing w:after="60" w:before="60"/>
      </w:pPr>
      <w:r>
        <w:rPr>
          <w:rFonts w:ascii="Arial" w:cs="Arial" w:eastAsia="Arial" w:hAnsi="Arial"/>
          <w:color w:val="1A1A2E"/>
          <w:sz w:val="22"/>
          <w:szCs w:val="22"/>
        </w:rPr>
        <w:t xml:space="preserve">Respect their time. Expert features should be dense and efficient. No onboarding wizards, no tooltips explaining what a shapefile is.</w:t>
      </w:r>
    </w:p>
    <w:p>
      <w:pPr>
        <w:pStyle w:val="ListParagraph"/>
        <w:numPr>
          <w:ilvl w:val="0"/>
          <w:numId w:val="2"/>
        </w:numPr>
        <w:spacing w:after="60" w:before="60"/>
      </w:pPr>
      <w:r>
        <w:rPr>
          <w:rFonts w:ascii="Arial" w:cs="Arial" w:eastAsia="Arial" w:hAnsi="Arial"/>
          <w:color w:val="1A1A2E"/>
          <w:sz w:val="22"/>
          <w:szCs w:val="22"/>
        </w:rPr>
        <w:t xml:space="preserve">Give them professional tools, not consumer-grade approximations. Export formats that work in their actual workflows.</w:t>
      </w:r>
    </w:p>
    <w:p>
      <w:pPr>
        <w:pStyle w:val="ListParagraph"/>
        <w:numPr>
          <w:ilvl w:val="0"/>
          <w:numId w:val="2"/>
        </w:numPr>
        <w:spacing w:after="60" w:before="60"/>
      </w:pPr>
      <w:r>
        <w:rPr>
          <w:rFonts w:ascii="Arial" w:cs="Arial" w:eastAsia="Arial" w:hAnsi="Arial"/>
          <w:color w:val="1A1A2E"/>
          <w:sz w:val="22"/>
          <w:szCs w:val="22"/>
        </w:rPr>
        <w:t xml:space="preserve">Credit their contributions visibly and accurately. P.Geo verification means something in this community. Display it properly.</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1: Expert Profile &amp; Credentialing</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A verified professional tier with credential display and community standing</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High — foundational for all other expert features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Recognition, credibility, professional identity within the community</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Platform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Credibility signal, verification authority, OGS partnership enabler</w:t>
            </w:r>
          </w:p>
        </w:tc>
      </w:tr>
    </w:tbl>
    <w:p>
      <w:pPr>
        <w:spacing w:after="0" w:before="0"/>
      </w:pPr>
    </w:p>
    <w:p>
      <w:pPr>
        <w:pStyle w:val="Heading2"/>
        <w:spacing w:after="130" w:before="340"/>
      </w:pPr>
      <w:r>
        <w:rPr>
          <w:rFonts w:ascii="Arial" w:cs="Arial" w:eastAsia="Arial" w:hAnsi="Arial"/>
          <w:b/>
          <w:bCs/>
          <w:color w:val="2D6E8E"/>
          <w:sz w:val="27"/>
          <w:szCs w:val="27"/>
        </w:rPr>
        <w:t xml:space="preserve">Expert Account Tiers</w:t>
      </w:r>
    </w:p>
    <w:p>
      <w:pPr>
        <w:pStyle w:val="Heading3"/>
        <w:spacing w:after="100" w:before="240"/>
      </w:pPr>
      <w:r>
        <w:rPr>
          <w:rFonts w:ascii="Arial" w:cs="Arial" w:eastAsia="Arial" w:hAnsi="Arial"/>
          <w:b/>
          <w:bCs/>
          <w:color w:val="3A4A5A"/>
          <w:sz w:val="24"/>
          <w:szCs w:val="24"/>
        </w:rPr>
        <w:t xml:space="preserve">Verified Expert</w:t>
      </w:r>
    </w:p>
    <w:p>
      <w:pPr>
        <w:spacing w:after="120" w:before="80"/>
      </w:pPr>
      <w:r>
        <w:rPr>
          <w:rFonts w:ascii="Arial" w:cs="Arial" w:eastAsia="Arial" w:hAnsi="Arial"/>
          <w:color w:val="1A1A2E"/>
          <w:sz w:val="22"/>
          <w:szCs w:val="22"/>
        </w:rPr>
        <w:t xml:space="preserve">Self-declared expertise with basic verification. For anyone with a relevant professional background who wants their profile to reflect it.</w:t>
      </w:r>
    </w:p>
    <w:p>
      <w:pPr>
        <w:pStyle w:val="ListParagraph"/>
        <w:numPr>
          <w:ilvl w:val="0"/>
          <w:numId w:val="2"/>
        </w:numPr>
        <w:spacing w:after="60" w:before="60"/>
      </w:pPr>
      <w:r>
        <w:rPr>
          <w:rFonts w:ascii="Arial" w:cs="Arial" w:eastAsia="Arial" w:hAnsi="Arial"/>
          <w:color w:val="1A1A2E"/>
          <w:sz w:val="22"/>
          <w:szCs w:val="22"/>
        </w:rPr>
        <w:t xml:space="preserve">User declares credential type from a dropdown: P.Geo, P.Eng, MSc/PhD (Geology/Earth Sciences), OGS/GSC Staff (current or former), University Faculty, GIS Professional, Other Geoscience Professional</w:t>
      </w:r>
    </w:p>
    <w:p>
      <w:pPr>
        <w:pStyle w:val="ListParagraph"/>
        <w:numPr>
          <w:ilvl w:val="0"/>
          <w:numId w:val="2"/>
        </w:numPr>
        <w:spacing w:after="60" w:before="60"/>
      </w:pPr>
      <w:r>
        <w:rPr>
          <w:rFonts w:ascii="Arial" w:cs="Arial" w:eastAsia="Arial" w:hAnsi="Arial"/>
          <w:color w:val="1A1A2E"/>
          <w:sz w:val="22"/>
          <w:szCs w:val="22"/>
        </w:rPr>
        <w:t xml:space="preserve">User provides credential reference: licence number, institution, employer — not publicly displayed but stored for verification</w:t>
      </w:r>
    </w:p>
    <w:p>
      <w:pPr>
        <w:pStyle w:val="ListParagraph"/>
        <w:numPr>
          <w:ilvl w:val="0"/>
          <w:numId w:val="2"/>
        </w:numPr>
        <w:spacing w:after="60" w:before="60"/>
      </w:pPr>
      <w:r>
        <w:rPr>
          <w:rFonts w:ascii="Arial" w:cs="Arial" w:eastAsia="Arial" w:hAnsi="Arial"/>
          <w:color w:val="1A1A2E"/>
          <w:sz w:val="22"/>
          <w:szCs w:val="22"/>
        </w:rPr>
        <w:t xml:space="preserve">Verification: lightweight — email confirmation from an institutional address, or manual review by digby admin for non-institutional credentials</w:t>
      </w:r>
    </w:p>
    <w:p>
      <w:pPr>
        <w:pStyle w:val="ListParagraph"/>
        <w:numPr>
          <w:ilvl w:val="0"/>
          <w:numId w:val="2"/>
        </w:numPr>
        <w:spacing w:after="60" w:before="60"/>
      </w:pPr>
      <w:r>
        <w:rPr>
          <w:rFonts w:ascii="Arial" w:cs="Arial" w:eastAsia="Arial" w:hAnsi="Arial"/>
          <w:color w:val="1A1A2E"/>
          <w:sz w:val="22"/>
          <w:szCs w:val="22"/>
        </w:rPr>
        <w:t xml:space="preserve">Profile displays: credential type badge, years of experience (optional), specialisation (e.g. “Structural geology”, “Economic mineralogy”, “GIS &amp; remote sensing”)</w:t>
      </w:r>
    </w:p>
    <w:p>
      <w:pPr>
        <w:pStyle w:val="Heading3"/>
        <w:spacing w:after="100" w:before="240"/>
      </w:pPr>
      <w:r>
        <w:rPr>
          <w:rFonts w:ascii="Arial" w:cs="Arial" w:eastAsia="Arial" w:hAnsi="Arial"/>
          <w:b/>
          <w:bCs/>
          <w:color w:val="3A4A5A"/>
          <w:sz w:val="24"/>
          <w:szCs w:val="24"/>
        </w:rPr>
        <w:t xml:space="preserve">Community Reviewer</w:t>
      </w:r>
    </w:p>
    <w:p>
      <w:pPr>
        <w:spacing w:after="120" w:before="80"/>
      </w:pPr>
      <w:r>
        <w:rPr>
          <w:rFonts w:ascii="Arial" w:cs="Arial" w:eastAsia="Arial" w:hAnsi="Arial"/>
          <w:color w:val="1A1A2E"/>
          <w:sz w:val="22"/>
          <w:szCs w:val="22"/>
        </w:rPr>
        <w:t xml:space="preserve">Earned through demonstrated verification accuracy. Automatically granted when a Verified Expert reaches 50 verified finds with a community agreement rate above 90%.</w:t>
      </w:r>
    </w:p>
    <w:p>
      <w:pPr>
        <w:pStyle w:val="ListParagraph"/>
        <w:numPr>
          <w:ilvl w:val="0"/>
          <w:numId w:val="2"/>
        </w:numPr>
        <w:spacing w:after="60" w:before="60"/>
      </w:pPr>
      <w:r>
        <w:rPr>
          <w:rFonts w:ascii="Arial" w:cs="Arial" w:eastAsia="Arial" w:hAnsi="Arial"/>
          <w:color w:val="1A1A2E"/>
          <w:sz w:val="22"/>
          <w:szCs w:val="22"/>
        </w:rPr>
        <w:t xml:space="preserve">Can review and verify flagged citizen science finds</w:t>
      </w:r>
    </w:p>
    <w:p>
      <w:pPr>
        <w:pStyle w:val="ListParagraph"/>
        <w:numPr>
          <w:ilvl w:val="0"/>
          <w:numId w:val="2"/>
        </w:numPr>
        <w:spacing w:after="60" w:before="60"/>
      </w:pPr>
      <w:r>
        <w:rPr>
          <w:rFonts w:ascii="Arial" w:cs="Arial" w:eastAsia="Arial" w:hAnsi="Arial"/>
          <w:color w:val="1A1A2E"/>
          <w:sz w:val="22"/>
          <w:szCs w:val="22"/>
        </w:rPr>
        <w:t xml:space="preserve">Verification decisions carry full weight in the data quality system</w:t>
      </w:r>
    </w:p>
    <w:p>
      <w:pPr>
        <w:pStyle w:val="ListParagraph"/>
        <w:numPr>
          <w:ilvl w:val="0"/>
          <w:numId w:val="2"/>
        </w:numPr>
        <w:spacing w:after="60" w:before="60"/>
      </w:pPr>
      <w:r>
        <w:rPr>
          <w:rFonts w:ascii="Arial" w:cs="Arial" w:eastAsia="Arial" w:hAnsi="Arial"/>
          <w:color w:val="1A1A2E"/>
          <w:sz w:val="22"/>
          <w:szCs w:val="22"/>
        </w:rPr>
        <w:t xml:space="preserve">Displayed as “Community Reviewer” on profile and on any find they’ve verified</w:t>
      </w:r>
    </w:p>
    <w:p>
      <w:pPr>
        <w:pStyle w:val="ListParagraph"/>
        <w:numPr>
          <w:ilvl w:val="0"/>
          <w:numId w:val="2"/>
        </w:numPr>
        <w:spacing w:after="60" w:before="60"/>
      </w:pPr>
      <w:r>
        <w:rPr>
          <w:rFonts w:ascii="Arial" w:cs="Arial" w:eastAsia="Arial" w:hAnsi="Arial"/>
          <w:color w:val="1A1A2E"/>
          <w:sz w:val="22"/>
          <w:szCs w:val="22"/>
        </w:rPr>
        <w:t xml:space="preserve">Access to the verification dashboard (Feature 2)</w:t>
      </w:r>
    </w:p>
    <w:p>
      <w:pPr>
        <w:pStyle w:val="Heading3"/>
        <w:spacing w:after="100" w:before="240"/>
      </w:pPr>
      <w:r>
        <w:rPr>
          <w:rFonts w:ascii="Arial" w:cs="Arial" w:eastAsia="Arial" w:hAnsi="Arial"/>
          <w:b/>
          <w:bCs/>
          <w:color w:val="3A4A5A"/>
          <w:sz w:val="24"/>
          <w:szCs w:val="24"/>
        </w:rPr>
        <w:t xml:space="preserve">OGS-Endorsed Reviewer</w:t>
      </w:r>
    </w:p>
    <w:p>
      <w:pPr>
        <w:spacing w:after="120" w:before="80"/>
      </w:pPr>
      <w:r>
        <w:rPr>
          <w:rFonts w:ascii="Arial" w:cs="Arial" w:eastAsia="Arial" w:hAnsi="Arial"/>
          <w:color w:val="1A1A2E"/>
          <w:sz w:val="22"/>
          <w:szCs w:val="22"/>
        </w:rPr>
        <w:t xml:space="preserve">Granted by OGS contact as part of the formal partnership. Reserved for active OGS geologists or designated academic partners.</w:t>
      </w:r>
    </w:p>
    <w:p>
      <w:pPr>
        <w:pStyle w:val="ListParagraph"/>
        <w:numPr>
          <w:ilvl w:val="0"/>
          <w:numId w:val="2"/>
        </w:numPr>
        <w:spacing w:after="60" w:before="60"/>
      </w:pPr>
      <w:r>
        <w:rPr>
          <w:rFonts w:ascii="Arial" w:cs="Arial" w:eastAsia="Arial" w:hAnsi="Arial"/>
          <w:color w:val="1A1A2E"/>
          <w:sz w:val="22"/>
          <w:szCs w:val="22"/>
        </w:rPr>
        <w:t xml:space="preserve">Verification decisions elevate a find to “Expert-verified” status — the highest quality tier</w:t>
      </w:r>
    </w:p>
    <w:p>
      <w:pPr>
        <w:pStyle w:val="ListParagraph"/>
        <w:numPr>
          <w:ilvl w:val="0"/>
          <w:numId w:val="2"/>
        </w:numPr>
        <w:spacing w:after="60" w:before="60"/>
      </w:pPr>
      <w:r>
        <w:rPr>
          <w:rFonts w:ascii="Arial" w:cs="Arial" w:eastAsia="Arial" w:hAnsi="Arial"/>
          <w:color w:val="1A1A2E"/>
          <w:sz w:val="22"/>
          <w:szCs w:val="22"/>
        </w:rPr>
        <w:t xml:space="preserve">Profile displays OGS partnership badge</w:t>
      </w:r>
    </w:p>
    <w:p>
      <w:pPr>
        <w:pStyle w:val="ListParagraph"/>
        <w:numPr>
          <w:ilvl w:val="0"/>
          <w:numId w:val="2"/>
        </w:numPr>
        <w:spacing w:after="60" w:before="60"/>
      </w:pPr>
      <w:r>
        <w:rPr>
          <w:rFonts w:ascii="Arial" w:cs="Arial" w:eastAsia="Arial" w:hAnsi="Arial"/>
          <w:color w:val="1A1A2E"/>
          <w:sz w:val="22"/>
          <w:szCs w:val="22"/>
        </w:rPr>
        <w:t xml:space="preserve">Access to full data export and API (Feature 5)</w:t>
      </w:r>
    </w:p>
    <w:p>
      <w:pPr>
        <w:pStyle w:val="Heading2"/>
        <w:spacing w:after="130" w:before="340"/>
      </w:pPr>
      <w:r>
        <w:rPr>
          <w:rFonts w:ascii="Arial" w:cs="Arial" w:eastAsia="Arial" w:hAnsi="Arial"/>
          <w:b/>
          <w:bCs/>
          <w:color w:val="2D6E8E"/>
          <w:sz w:val="27"/>
          <w:szCs w:val="27"/>
        </w:rPr>
        <w:t xml:space="preserve">Profile Page</w:t>
      </w:r>
    </w:p>
    <w:p>
      <w:pPr>
        <w:spacing w:after="120" w:before="80"/>
      </w:pPr>
      <w:r>
        <w:rPr>
          <w:rFonts w:ascii="Arial" w:cs="Arial" w:eastAsia="Arial" w:hAnsi="Arial"/>
          <w:color w:val="1A1A2E"/>
          <w:sz w:val="22"/>
          <w:szCs w:val="22"/>
        </w:rPr>
        <w:t xml:space="preserve">Expert profiles are richer than standard user profiles:</w:t>
      </w:r>
    </w:p>
    <w:p>
      <w:pPr>
        <w:pStyle w:val="ListParagraph"/>
        <w:numPr>
          <w:ilvl w:val="0"/>
          <w:numId w:val="2"/>
        </w:numPr>
        <w:spacing w:after="60" w:before="60"/>
      </w:pPr>
      <w:r>
        <w:rPr>
          <w:rFonts w:ascii="Arial" w:cs="Arial" w:eastAsia="Arial" w:hAnsi="Arial"/>
          <w:color w:val="1A1A2E"/>
          <w:sz w:val="22"/>
          <w:szCs w:val="22"/>
        </w:rPr>
        <w:t xml:space="preserve">Credential badge and type prominently displayed</w:t>
      </w:r>
    </w:p>
    <w:p>
      <w:pPr>
        <w:pStyle w:val="ListParagraph"/>
        <w:numPr>
          <w:ilvl w:val="0"/>
          <w:numId w:val="2"/>
        </w:numPr>
        <w:spacing w:after="60" w:before="60"/>
      </w:pPr>
      <w:r>
        <w:rPr>
          <w:rFonts w:ascii="Arial" w:cs="Arial" w:eastAsia="Arial" w:hAnsi="Arial"/>
          <w:color w:val="1A1A2E"/>
          <w:sz w:val="22"/>
          <w:szCs w:val="22"/>
        </w:rPr>
        <w:t xml:space="preserve">Specialisation tags (selectable from a curated list + free-form)</w:t>
      </w:r>
    </w:p>
    <w:p>
      <w:pPr>
        <w:pStyle w:val="ListParagraph"/>
        <w:numPr>
          <w:ilvl w:val="0"/>
          <w:numId w:val="2"/>
        </w:numPr>
        <w:spacing w:after="60" w:before="60"/>
      </w:pPr>
      <w:r>
        <w:rPr>
          <w:rFonts w:ascii="Arial" w:cs="Arial" w:eastAsia="Arial" w:hAnsi="Arial"/>
          <w:color w:val="1A1A2E"/>
          <w:sz w:val="22"/>
          <w:szCs w:val="22"/>
        </w:rPr>
        <w:t xml:space="preserve">Find history with formation-level statistics: “47 verified finds across 8 geological formations”</w:t>
      </w:r>
    </w:p>
    <w:p>
      <w:pPr>
        <w:pStyle w:val="ListParagraph"/>
        <w:numPr>
          <w:ilvl w:val="0"/>
          <w:numId w:val="2"/>
        </w:numPr>
        <w:spacing w:after="60" w:before="60"/>
      </w:pPr>
      <w:r>
        <w:rPr>
          <w:rFonts w:ascii="Arial" w:cs="Arial" w:eastAsia="Arial" w:hAnsi="Arial"/>
          <w:color w:val="1A1A2E"/>
          <w:sz w:val="22"/>
          <w:szCs w:val="22"/>
        </w:rPr>
        <w:t xml:space="preserve">Verification history: “Reviewed 134 community finds, 96% agreement rate”</w:t>
      </w:r>
    </w:p>
    <w:p>
      <w:pPr>
        <w:pStyle w:val="ListParagraph"/>
        <w:numPr>
          <w:ilvl w:val="0"/>
          <w:numId w:val="2"/>
        </w:numPr>
        <w:spacing w:after="60" w:before="60"/>
      </w:pPr>
      <w:r>
        <w:rPr>
          <w:rFonts w:ascii="Arial" w:cs="Arial" w:eastAsia="Arial" w:hAnsi="Arial"/>
          <w:color w:val="1A1A2E"/>
          <w:sz w:val="22"/>
          <w:szCs w:val="22"/>
        </w:rPr>
        <w:t xml:space="preserve">Publications or links (optional) — for academics and researchers</w:t>
      </w:r>
    </w:p>
    <w:p>
      <w:pPr>
        <w:pStyle w:val="ListParagraph"/>
        <w:numPr>
          <w:ilvl w:val="0"/>
          <w:numId w:val="2"/>
        </w:numPr>
        <w:spacing w:after="60" w:before="60"/>
      </w:pPr>
      <w:r>
        <w:rPr>
          <w:rFonts w:ascii="Arial" w:cs="Arial" w:eastAsia="Arial" w:hAnsi="Arial"/>
          <w:color w:val="1A1A2E"/>
          <w:sz w:val="22"/>
          <w:szCs w:val="22"/>
        </w:rPr>
        <w:t xml:space="preserve">Institutional affiliation (optional, displayed if provided)</w:t>
      </w:r>
    </w:p>
    <w:p>
      <w:pPr>
        <w:pStyle w:val="ListParagraph"/>
        <w:numPr>
          <w:ilvl w:val="0"/>
          <w:numId w:val="2"/>
        </w:numPr>
        <w:spacing w:after="60" w:before="60"/>
      </w:pPr>
      <w:r>
        <w:rPr>
          <w:rFonts w:ascii="Arial" w:cs="Arial" w:eastAsia="Arial" w:hAnsi="Arial"/>
          <w:color w:val="1A1A2E"/>
          <w:sz w:val="22"/>
          <w:szCs w:val="22"/>
        </w:rPr>
        <w:t xml:space="preserve">API key management (for users with API access)</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2: Expert Verification Dashboard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A professional-grade interface for reviewing, verifying, and correcting flagged citizen science finds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High — core citizen science infrastructure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Community Reviewer tier and above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Meaningful contribution, intellectual engagement, peer-review experience</w:t>
            </w:r>
          </w:p>
        </w:tc>
      </w:tr>
    </w:tbl>
    <w:p>
      <w:pPr>
        <w:spacing w:after="0" w:before="0"/>
      </w:pPr>
    </w:p>
    <w:p>
      <w:pPr>
        <w:pStyle w:val="Heading2"/>
        <w:spacing w:after="130" w:before="340"/>
      </w:pPr>
      <w:r>
        <w:rPr>
          <w:rFonts w:ascii="Arial" w:cs="Arial" w:eastAsia="Arial" w:hAnsi="Arial"/>
          <w:b/>
          <w:bCs/>
          <w:color w:val="2D6E8E"/>
          <w:sz w:val="27"/>
          <w:szCs w:val="27"/>
        </w:rPr>
        <w:t xml:space="preserve">The Concept</w:t>
      </w:r>
    </w:p>
    <w:p>
      <w:pPr>
        <w:spacing w:after="120" w:before="80"/>
      </w:pPr>
      <w:r>
        <w:rPr>
          <w:rFonts w:ascii="Arial" w:cs="Arial" w:eastAsia="Arial" w:hAnsi="Arial"/>
          <w:color w:val="1A1A2E"/>
          <w:sz w:val="22"/>
          <w:szCs w:val="22"/>
        </w:rPr>
        <w:t xml:space="preserve">The verification dashboard is where expert users review finds that have been flagged for expert attention — either because AI confidence was low, because a community user disputed the ID, or because the find is from an unusual locality or involves a rare mineral. It should feel like a peer review queue, not a moderation panel.</w:t>
      </w:r>
    </w:p>
    <w:p>
      <w:pPr>
        <w:spacing w:after="120" w:before="80"/>
      </w:pPr>
      <w:r>
        <w:rPr>
          <w:rFonts w:ascii="Arial" w:cs="Arial" w:eastAsia="Arial" w:hAnsi="Arial"/>
          <w:color w:val="1A1A2E"/>
          <w:sz w:val="22"/>
          <w:szCs w:val="22"/>
        </w:rPr>
        <w:t xml:space="preserve">The interface needs to be efficient. An experienced geologist can assess a well-photographed specimen in 30 seconds. The dashboard should support that pace — large images, key data visible immediately, decision controls accessible without scrolling.</w:t>
      </w:r>
    </w:p>
    <w:p>
      <w:pPr>
        <w:pStyle w:val="Heading2"/>
        <w:spacing w:after="130" w:before="340"/>
      </w:pPr>
      <w:r>
        <w:rPr>
          <w:rFonts w:ascii="Arial" w:cs="Arial" w:eastAsia="Arial" w:hAnsi="Arial"/>
          <w:b/>
          <w:bCs/>
          <w:color w:val="2D6E8E"/>
          <w:sz w:val="27"/>
          <w:szCs w:val="27"/>
        </w:rPr>
        <w:t xml:space="preserve">Queue View</w:t>
      </w:r>
    </w:p>
    <w:p>
      <w:pPr>
        <w:pStyle w:val="ListParagraph"/>
        <w:numPr>
          <w:ilvl w:val="0"/>
          <w:numId w:val="2"/>
        </w:numPr>
        <w:spacing w:after="60" w:before="60"/>
      </w:pPr>
      <w:r>
        <w:rPr>
          <w:rFonts w:ascii="Arial" w:cs="Arial" w:eastAsia="Arial" w:hAnsi="Arial"/>
          <w:color w:val="1A1A2E"/>
          <w:sz w:val="22"/>
          <w:szCs w:val="22"/>
        </w:rPr>
        <w:t xml:space="preserve">Filterable queue of finds awaiting expert review</w:t>
      </w:r>
    </w:p>
    <w:p>
      <w:pPr>
        <w:pStyle w:val="ListParagraph"/>
        <w:numPr>
          <w:ilvl w:val="0"/>
          <w:numId w:val="2"/>
        </w:numPr>
        <w:spacing w:after="60" w:before="60"/>
      </w:pPr>
      <w:r>
        <w:rPr>
          <w:rFonts w:ascii="Arial" w:cs="Arial" w:eastAsia="Arial" w:hAnsi="Arial"/>
          <w:color w:val="1A1A2E"/>
          <w:sz w:val="22"/>
          <w:szCs w:val="22"/>
        </w:rPr>
        <w:t xml:space="preserve">Filter by: mineral type, geological province, formation, AI confidence level, community dispute flag, date range</w:t>
      </w:r>
    </w:p>
    <w:p>
      <w:pPr>
        <w:pStyle w:val="ListParagraph"/>
        <w:numPr>
          <w:ilvl w:val="0"/>
          <w:numId w:val="2"/>
        </w:numPr>
        <w:spacing w:after="60" w:before="60"/>
      </w:pPr>
      <w:r>
        <w:rPr>
          <w:rFonts w:ascii="Arial" w:cs="Arial" w:eastAsia="Arial" w:hAnsi="Arial"/>
          <w:color w:val="1A1A2E"/>
          <w:sz w:val="22"/>
          <w:szCs w:val="22"/>
        </w:rPr>
        <w:t xml:space="preserve">Sort by: oldest first, most disputed, rarest mineral, nearest to reviewer’s known specialisation</w:t>
      </w:r>
    </w:p>
    <w:p>
      <w:pPr>
        <w:pStyle w:val="ListParagraph"/>
        <w:numPr>
          <w:ilvl w:val="0"/>
          <w:numId w:val="2"/>
        </w:numPr>
        <w:spacing w:after="60" w:before="60"/>
      </w:pPr>
      <w:r>
        <w:rPr>
          <w:rFonts w:ascii="Arial" w:cs="Arial" w:eastAsia="Arial" w:hAnsi="Arial"/>
          <w:color w:val="1A1A2E"/>
          <w:sz w:val="22"/>
          <w:szCs w:val="22"/>
        </w:rPr>
        <w:t xml:space="preserve">Each queue item shows: specimen photo thumbnail, AI identification, confidence level, locality, formation, how many community reviewers have weighed in and their consensus</w:t>
      </w:r>
    </w:p>
    <w:p>
      <w:pPr>
        <w:pStyle w:val="ListParagraph"/>
        <w:numPr>
          <w:ilvl w:val="0"/>
          <w:numId w:val="2"/>
        </w:numPr>
        <w:spacing w:after="60" w:before="60"/>
      </w:pPr>
      <w:r>
        <w:rPr>
          <w:rFonts w:ascii="Arial" w:cs="Arial" w:eastAsia="Arial" w:hAnsi="Arial"/>
          <w:color w:val="1A1A2E"/>
          <w:sz w:val="22"/>
          <w:szCs w:val="22"/>
        </w:rPr>
        <w:t xml:space="preserve">Batch mode: reviewer can move through queue with keyboard shortcuts (confirm / reject / escalate) for fast processing of high-confidence items</w:t>
      </w:r>
    </w:p>
    <w:p>
      <w:pPr>
        <w:pStyle w:val="Heading2"/>
        <w:spacing w:after="130" w:before="340"/>
      </w:pPr>
      <w:r>
        <w:rPr>
          <w:rFonts w:ascii="Arial" w:cs="Arial" w:eastAsia="Arial" w:hAnsi="Arial"/>
          <w:b/>
          <w:bCs/>
          <w:color w:val="2D6E8E"/>
          <w:sz w:val="27"/>
          <w:szCs w:val="27"/>
        </w:rPr>
        <w:t xml:space="preserve">Find Review View</w:t>
      </w:r>
    </w:p>
    <w:p>
      <w:pPr>
        <w:spacing w:after="120" w:before="80"/>
      </w:pPr>
      <w:r>
        <w:rPr>
          <w:rFonts w:ascii="Arial" w:cs="Arial" w:eastAsia="Arial" w:hAnsi="Arial"/>
          <w:color w:val="1A1A2E"/>
          <w:sz w:val="22"/>
          <w:szCs w:val="22"/>
        </w:rPr>
        <w:t xml:space="preserve">Tapping a queue item opens the full review view:</w:t>
      </w:r>
    </w:p>
    <w:p>
      <w:pPr>
        <w:pStyle w:val="ListParagraph"/>
        <w:numPr>
          <w:ilvl w:val="0"/>
          <w:numId w:val="2"/>
        </w:numPr>
        <w:spacing w:after="60" w:before="60"/>
      </w:pPr>
      <w:r>
        <w:rPr>
          <w:rFonts w:ascii="Arial" w:cs="Arial" w:eastAsia="Arial" w:hAnsi="Arial"/>
          <w:color w:val="1A1A2E"/>
          <w:sz w:val="22"/>
          <w:szCs w:val="22"/>
        </w:rPr>
        <w:t xml:space="preserve">Full-resolution photos (all submitted angles) with pinch-zoom on mobile</w:t>
      </w:r>
    </w:p>
    <w:p>
      <w:pPr>
        <w:pStyle w:val="ListParagraph"/>
        <w:numPr>
          <w:ilvl w:val="0"/>
          <w:numId w:val="2"/>
        </w:numPr>
        <w:spacing w:after="60" w:before="60"/>
      </w:pPr>
      <w:r>
        <w:rPr>
          <w:rFonts w:ascii="Arial" w:cs="Arial" w:eastAsia="Arial" w:hAnsi="Arial"/>
          <w:color w:val="1A1A2E"/>
          <w:sz w:val="22"/>
          <w:szCs w:val="22"/>
        </w:rPr>
        <w:t xml:space="preserve">AI identification with full reasoning — visual clues, confidence, alternatives considered</w:t>
      </w:r>
    </w:p>
    <w:p>
      <w:pPr>
        <w:pStyle w:val="ListParagraph"/>
        <w:numPr>
          <w:ilvl w:val="0"/>
          <w:numId w:val="2"/>
        </w:numPr>
        <w:spacing w:after="60" w:before="60"/>
      </w:pPr>
      <w:r>
        <w:rPr>
          <w:rFonts w:ascii="Arial" w:cs="Arial" w:eastAsia="Arial" w:hAnsi="Arial"/>
          <w:color w:val="1A1A2E"/>
          <w:sz w:val="22"/>
          <w:szCs w:val="22"/>
        </w:rPr>
        <w:t xml:space="preserve">GPS location on a mini geology map showing the formation the find is attributed to</w:t>
      </w:r>
    </w:p>
    <w:p>
      <w:pPr>
        <w:pStyle w:val="ListParagraph"/>
        <w:numPr>
          <w:ilvl w:val="0"/>
          <w:numId w:val="2"/>
        </w:numPr>
        <w:spacing w:after="60" w:before="60"/>
      </w:pPr>
      <w:r>
        <w:rPr>
          <w:rFonts w:ascii="Arial" w:cs="Arial" w:eastAsia="Arial" w:hAnsi="Arial"/>
          <w:color w:val="1A1A2E"/>
          <w:sz w:val="22"/>
          <w:szCs w:val="22"/>
        </w:rPr>
        <w:t xml:space="preserve">Host rock type as reported by the finder</w:t>
      </w:r>
    </w:p>
    <w:p>
      <w:pPr>
        <w:pStyle w:val="ListParagraph"/>
        <w:numPr>
          <w:ilvl w:val="0"/>
          <w:numId w:val="2"/>
        </w:numPr>
        <w:spacing w:after="60" w:before="60"/>
      </w:pPr>
      <w:r>
        <w:rPr>
          <w:rFonts w:ascii="Arial" w:cs="Arial" w:eastAsia="Arial" w:hAnsi="Arial"/>
          <w:color w:val="1A1A2E"/>
          <w:sz w:val="22"/>
          <w:szCs w:val="22"/>
        </w:rPr>
        <w:t xml:space="preserve">Finder’s experience level (inferred from find history) — not their name</w:t>
      </w:r>
    </w:p>
    <w:p>
      <w:pPr>
        <w:pStyle w:val="ListParagraph"/>
        <w:numPr>
          <w:ilvl w:val="0"/>
          <w:numId w:val="2"/>
        </w:numPr>
        <w:spacing w:after="60" w:before="60"/>
      </w:pPr>
      <w:r>
        <w:rPr>
          <w:rFonts w:ascii="Arial" w:cs="Arial" w:eastAsia="Arial" w:hAnsi="Arial"/>
          <w:color w:val="1A1A2E"/>
          <w:sz w:val="22"/>
          <w:szCs w:val="22"/>
        </w:rPr>
        <w:t xml:space="preserve">Community review history: what other reviewers said, when, and their credentials</w:t>
      </w:r>
    </w:p>
    <w:p>
      <w:pPr>
        <w:pStyle w:val="ListParagraph"/>
        <w:numPr>
          <w:ilvl w:val="0"/>
          <w:numId w:val="2"/>
        </w:numPr>
        <w:spacing w:after="60" w:before="60"/>
      </w:pPr>
      <w:r>
        <w:rPr>
          <w:rFonts w:ascii="Arial" w:cs="Arial" w:eastAsia="Arial" w:hAnsi="Arial"/>
          <w:color w:val="1A1A2E"/>
          <w:sz w:val="22"/>
          <w:szCs w:val="22"/>
        </w:rPr>
        <w:t xml:space="preserve">Formation data panel: what the OGS records for this formation and what minerals are known from it</w:t>
      </w:r>
    </w:p>
    <w:p>
      <w:pPr>
        <w:pStyle w:val="Heading2"/>
        <w:spacing w:after="130" w:before="340"/>
      </w:pPr>
      <w:r>
        <w:rPr>
          <w:rFonts w:ascii="Arial" w:cs="Arial" w:eastAsia="Arial" w:hAnsi="Arial"/>
          <w:b/>
          <w:bCs/>
          <w:color w:val="2D6E8E"/>
          <w:sz w:val="27"/>
          <w:szCs w:val="27"/>
        </w:rPr>
        <w:t xml:space="preserve">Review Actions</w:t>
      </w:r>
    </w:p>
    <w:p>
      <w:pPr>
        <w:pStyle w:val="ListParagraph"/>
        <w:numPr>
          <w:ilvl w:val="0"/>
          <w:numId w:val="2"/>
        </w:numPr>
        <w:spacing w:after="60" w:before="60"/>
      </w:pPr>
      <w:r>
        <w:rPr>
          <w:rFonts w:ascii="Arial" w:cs="Arial" w:eastAsia="Arial" w:hAnsi="Arial"/>
          <w:color w:val="1A1A2E"/>
          <w:sz w:val="22"/>
          <w:szCs w:val="22"/>
        </w:rPr>
        <w:t xml:space="preserve">Confirm ID — agree with the AI or community consensus</w:t>
      </w:r>
    </w:p>
    <w:p>
      <w:pPr>
        <w:pStyle w:val="ListParagraph"/>
        <w:numPr>
          <w:ilvl w:val="0"/>
          <w:numId w:val="2"/>
        </w:numPr>
        <w:spacing w:after="60" w:before="60"/>
      </w:pPr>
      <w:r>
        <w:rPr>
          <w:rFonts w:ascii="Arial" w:cs="Arial" w:eastAsia="Arial" w:hAnsi="Arial"/>
          <w:color w:val="1A1A2E"/>
          <w:sz w:val="22"/>
          <w:szCs w:val="22"/>
        </w:rPr>
        <w:t xml:space="preserve">Correct ID — select a different mineral from a searchable list, with a required note explaining the reasoning</w:t>
      </w:r>
    </w:p>
    <w:p>
      <w:pPr>
        <w:pStyle w:val="ListParagraph"/>
        <w:numPr>
          <w:ilvl w:val="0"/>
          <w:numId w:val="2"/>
        </w:numPr>
        <w:spacing w:after="60" w:before="60"/>
      </w:pPr>
      <w:r>
        <w:rPr>
          <w:rFonts w:ascii="Arial" w:cs="Arial" w:eastAsia="Arial" w:hAnsi="Arial"/>
          <w:color w:val="1A1A2E"/>
          <w:sz w:val="22"/>
          <w:szCs w:val="22"/>
        </w:rPr>
        <w:t xml:space="preserve">Confirm with note — agree but add a technical observation (“Likely amazonite var. from a pegmatite contact zone based on colour zoning visible in photo 2”)</w:t>
      </w:r>
    </w:p>
    <w:p>
      <w:pPr>
        <w:pStyle w:val="ListParagraph"/>
        <w:numPr>
          <w:ilvl w:val="0"/>
          <w:numId w:val="2"/>
        </w:numPr>
        <w:spacing w:after="60" w:before="60"/>
      </w:pPr>
      <w:r>
        <w:rPr>
          <w:rFonts w:ascii="Arial" w:cs="Arial" w:eastAsia="Arial" w:hAnsi="Arial"/>
          <w:color w:val="1A1A2E"/>
          <w:sz w:val="22"/>
          <w:szCs w:val="22"/>
        </w:rPr>
        <w:t xml:space="preserve">Request better photos — flag for the finder to resubmit with specific guidance</w:t>
      </w:r>
    </w:p>
    <w:p>
      <w:pPr>
        <w:pStyle w:val="ListParagraph"/>
        <w:numPr>
          <w:ilvl w:val="0"/>
          <w:numId w:val="2"/>
        </w:numPr>
        <w:spacing w:after="60" w:before="60"/>
      </w:pPr>
      <w:r>
        <w:rPr>
          <w:rFonts w:ascii="Arial" w:cs="Arial" w:eastAsia="Arial" w:hAnsi="Arial"/>
          <w:color w:val="1A1A2E"/>
          <w:sz w:val="22"/>
          <w:szCs w:val="22"/>
        </w:rPr>
        <w:t xml:space="preserve">Mark as unidentifiable — too weathered, too poorly photographed, or genuinely ambiguous</w:t>
      </w:r>
    </w:p>
    <w:p>
      <w:pPr>
        <w:pStyle w:val="ListParagraph"/>
        <w:numPr>
          <w:ilvl w:val="0"/>
          <w:numId w:val="2"/>
        </w:numPr>
        <w:spacing w:after="60" w:before="60"/>
      </w:pPr>
      <w:r>
        <w:rPr>
          <w:rFonts w:ascii="Arial" w:cs="Arial" w:eastAsia="Arial" w:hAnsi="Arial"/>
          <w:color w:val="1A1A2E"/>
          <w:sz w:val="22"/>
          <w:szCs w:val="22"/>
        </w:rPr>
        <w:t xml:space="preserve">Escalate to OGS — for OGS-Endorsed Reviewer tier only, for exceptional or scientifically significant finds</w:t>
      </w:r>
    </w:p>
    <w:p>
      <w:pPr>
        <w:pBdr>
          <w:left w:val="single" w:color="2D6E8E" w:sz="12" w:space="8"/>
        </w:pBdr>
        <w:spacing w:after="140" w:before="140"/>
        <w:ind w:left="360"/>
      </w:pPr>
      <w:r>
        <w:rPr>
          <w:rFonts w:ascii="Arial" w:cs="Arial" w:eastAsia="Arial" w:hAnsi="Arial"/>
          <w:i/>
          <w:iCs/>
          <w:color w:val="444455"/>
          <w:sz w:val="20"/>
          <w:szCs w:val="20"/>
        </w:rPr>
        <w:t xml:space="preserve">Review notes are public-facing on the find record. They become part of the educational value of the platform. Encourage reviewers to write notes that teach, not just correct.</w:t>
      </w:r>
    </w:p>
    <w:p>
      <w:pPr>
        <w:pStyle w:val="Heading2"/>
        <w:spacing w:after="130" w:before="340"/>
      </w:pPr>
      <w:r>
        <w:rPr>
          <w:rFonts w:ascii="Arial" w:cs="Arial" w:eastAsia="Arial" w:hAnsi="Arial"/>
          <w:b/>
          <w:bCs/>
          <w:color w:val="2D6E8E"/>
          <w:sz w:val="27"/>
          <w:szCs w:val="27"/>
        </w:rPr>
        <w:t xml:space="preserve">Reviewer Analytics</w:t>
      </w:r>
    </w:p>
    <w:p>
      <w:pPr>
        <w:spacing w:after="120" w:before="80"/>
      </w:pPr>
      <w:r>
        <w:rPr>
          <w:rFonts w:ascii="Arial" w:cs="Arial" w:eastAsia="Arial" w:hAnsi="Arial"/>
          <w:color w:val="1A1A2E"/>
          <w:sz w:val="22"/>
          <w:szCs w:val="22"/>
        </w:rPr>
        <w:t xml:space="preserve">Each reviewer sees their own performance data:</w:t>
      </w:r>
    </w:p>
    <w:p>
      <w:pPr>
        <w:pStyle w:val="ListParagraph"/>
        <w:numPr>
          <w:ilvl w:val="0"/>
          <w:numId w:val="2"/>
        </w:numPr>
        <w:spacing w:after="60" w:before="60"/>
      </w:pPr>
      <w:r>
        <w:rPr>
          <w:rFonts w:ascii="Arial" w:cs="Arial" w:eastAsia="Arial" w:hAnsi="Arial"/>
          <w:color w:val="1A1A2E"/>
          <w:sz w:val="22"/>
          <w:szCs w:val="22"/>
        </w:rPr>
        <w:t xml:space="preserve">Total reviews completed</w:t>
      </w:r>
    </w:p>
    <w:p>
      <w:pPr>
        <w:pStyle w:val="ListParagraph"/>
        <w:numPr>
          <w:ilvl w:val="0"/>
          <w:numId w:val="2"/>
        </w:numPr>
        <w:spacing w:after="60" w:before="60"/>
      </w:pPr>
      <w:r>
        <w:rPr>
          <w:rFonts w:ascii="Arial" w:cs="Arial" w:eastAsia="Arial" w:hAnsi="Arial"/>
          <w:color w:val="1A1A2E"/>
          <w:sz w:val="22"/>
          <w:szCs w:val="22"/>
        </w:rPr>
        <w:t xml:space="preserve">Agreement rate with other reviewers (consensus metric)</w:t>
      </w:r>
    </w:p>
    <w:p>
      <w:pPr>
        <w:pStyle w:val="ListParagraph"/>
        <w:numPr>
          <w:ilvl w:val="0"/>
          <w:numId w:val="2"/>
        </w:numPr>
        <w:spacing w:after="60" w:before="60"/>
      </w:pPr>
      <w:r>
        <w:rPr>
          <w:rFonts w:ascii="Arial" w:cs="Arial" w:eastAsia="Arial" w:hAnsi="Arial"/>
          <w:color w:val="1A1A2E"/>
          <w:sz w:val="22"/>
          <w:szCs w:val="22"/>
        </w:rPr>
        <w:t xml:space="preserve">Most reviewed mineral types and formations</w:t>
      </w:r>
    </w:p>
    <w:p>
      <w:pPr>
        <w:pStyle w:val="ListParagraph"/>
        <w:numPr>
          <w:ilvl w:val="0"/>
          <w:numId w:val="2"/>
        </w:numPr>
        <w:spacing w:after="60" w:before="60"/>
      </w:pPr>
      <w:r>
        <w:rPr>
          <w:rFonts w:ascii="Arial" w:cs="Arial" w:eastAsia="Arial" w:hAnsi="Arial"/>
          <w:color w:val="1A1A2E"/>
          <w:sz w:val="22"/>
          <w:szCs w:val="22"/>
        </w:rPr>
        <w:t xml:space="preserve">Review streak — consecutive weeks with at least one review</w:t>
      </w:r>
    </w:p>
    <w:p>
      <w:pPr>
        <w:pStyle w:val="ListParagraph"/>
        <w:numPr>
          <w:ilvl w:val="0"/>
          <w:numId w:val="2"/>
        </w:numPr>
        <w:spacing w:after="60" w:before="60"/>
      </w:pPr>
      <w:r>
        <w:rPr>
          <w:rFonts w:ascii="Arial" w:cs="Arial" w:eastAsia="Arial" w:hAnsi="Arial"/>
          <w:color w:val="1A1A2E"/>
          <w:sz w:val="22"/>
          <w:szCs w:val="22"/>
        </w:rPr>
        <w:t xml:space="preserve">Impact metric: “Your reviews have improved the quality of X citizen science data points”</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3: Formation-Level Analytics Dashboard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Spatial and temporal analytics on the citizen science dataset at formation level</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Medium — requires sufficient find volume to be meaningful</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Verified Expert tier and above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Genuine research utility, pattern discovery, dataset exploration</w:t>
            </w:r>
          </w:p>
        </w:tc>
      </w:tr>
    </w:tbl>
    <w:p>
      <w:pPr>
        <w:spacing w:after="0" w:before="0"/>
      </w:pPr>
    </w:p>
    <w:p>
      <w:pPr>
        <w:pStyle w:val="Heading2"/>
        <w:spacing w:after="130" w:before="340"/>
      </w:pPr>
      <w:r>
        <w:rPr>
          <w:rFonts w:ascii="Arial" w:cs="Arial" w:eastAsia="Arial" w:hAnsi="Arial"/>
          <w:b/>
          <w:bCs/>
          <w:color w:val="2D6E8E"/>
          <w:sz w:val="27"/>
          <w:szCs w:val="27"/>
        </w:rPr>
        <w:t xml:space="preserve">The Concept</w:t>
      </w:r>
    </w:p>
    <w:p>
      <w:pPr>
        <w:spacing w:after="120" w:before="80"/>
      </w:pPr>
      <w:r>
        <w:rPr>
          <w:rFonts w:ascii="Arial" w:cs="Arial" w:eastAsia="Arial" w:hAnsi="Arial"/>
          <w:color w:val="1A1A2E"/>
          <w:sz w:val="22"/>
          <w:szCs w:val="22"/>
        </w:rPr>
        <w:t xml:space="preserve">The formation analytics dashboard gives expert users the ability to explore the citizen science dataset as a spatial dataset — not as a list of individual finds, but as a body of evidence about Ontario’s surface mineralogy. A professional geologist looking at this dashboard should find it genuinely interesting, not just a consumer-grade summary.</w:t>
      </w:r>
    </w:p>
    <w:p>
      <w:pPr>
        <w:pBdr>
          <w:left w:val="single" w:color="2D6E8E" w:sz="18" w:space="12"/>
        </w:pBdr>
        <w:spacing w:after="200" w:before="200"/>
        <w:ind w:left="720" w:right="720"/>
      </w:pPr>
      <w:r>
        <w:rPr>
          <w:rFonts w:ascii="Arial" w:cs="Arial" w:eastAsia="Arial" w:hAnsi="Arial"/>
          <w:b/>
          <w:bCs/>
          <w:i/>
          <w:iCs/>
          <w:color w:val="3A4A5A"/>
          <w:sz w:val="25"/>
          <w:szCs w:val="25"/>
        </w:rPr>
        <w:t xml:space="preserve">How many sodalite finds have been logged from the Cardiff Syenite this season? Is the distribution consistent with known MDI localities or are there outliers worth investigating?</w:t>
      </w:r>
    </w:p>
    <w:p>
      <w:pPr>
        <w:pStyle w:val="Heading2"/>
        <w:spacing w:after="130" w:before="340"/>
      </w:pPr>
      <w:r>
        <w:rPr>
          <w:rFonts w:ascii="Arial" w:cs="Arial" w:eastAsia="Arial" w:hAnsi="Arial"/>
          <w:b/>
          <w:bCs/>
          <w:color w:val="2D6E8E"/>
          <w:sz w:val="27"/>
          <w:szCs w:val="27"/>
        </w:rPr>
        <w:t xml:space="preserve">Dashboard Modules</w:t>
      </w:r>
    </w:p>
    <w:p>
      <w:pPr>
        <w:pStyle w:val="Heading3"/>
        <w:spacing w:after="100" w:before="240"/>
      </w:pPr>
      <w:r>
        <w:rPr>
          <w:rFonts w:ascii="Arial" w:cs="Arial" w:eastAsia="Arial" w:hAnsi="Arial"/>
          <w:b/>
          <w:bCs/>
          <w:color w:val="3A4A5A"/>
          <w:sz w:val="24"/>
          <w:szCs w:val="24"/>
        </w:rPr>
        <w:t xml:space="preserve">Formation Summary</w:t>
      </w:r>
    </w:p>
    <w:p>
      <w:pPr>
        <w:pStyle w:val="ListParagraph"/>
        <w:numPr>
          <w:ilvl w:val="0"/>
          <w:numId w:val="2"/>
        </w:numPr>
        <w:spacing w:after="60" w:before="60"/>
      </w:pPr>
      <w:r>
        <w:rPr>
          <w:rFonts w:ascii="Arial" w:cs="Arial" w:eastAsia="Arial" w:hAnsi="Arial"/>
          <w:color w:val="1A1A2E"/>
          <w:sz w:val="22"/>
          <w:szCs w:val="22"/>
        </w:rPr>
        <w:t xml:space="preserve">Select any OGS formation from a searchable dropdown</w:t>
      </w:r>
    </w:p>
    <w:p>
      <w:pPr>
        <w:pStyle w:val="ListParagraph"/>
        <w:numPr>
          <w:ilvl w:val="0"/>
          <w:numId w:val="2"/>
        </w:numPr>
        <w:spacing w:after="60" w:before="60"/>
      </w:pPr>
      <w:r>
        <w:rPr>
          <w:rFonts w:ascii="Arial" w:cs="Arial" w:eastAsia="Arial" w:hAnsi="Arial"/>
          <w:color w:val="1A1A2E"/>
          <w:sz w:val="22"/>
          <w:szCs w:val="22"/>
        </w:rPr>
        <w:t xml:space="preserve">View: total finds logged from that formation, mineral breakdown, verification status distribution, find rate over time (seasonal patterns), comparison to OGS MDI known occurrences for the same formation</w:t>
      </w:r>
    </w:p>
    <w:p>
      <w:pPr>
        <w:pStyle w:val="ListParagraph"/>
        <w:numPr>
          <w:ilvl w:val="0"/>
          <w:numId w:val="2"/>
        </w:numPr>
        <w:spacing w:after="60" w:before="60"/>
      </w:pPr>
      <w:r>
        <w:rPr>
          <w:rFonts w:ascii="Arial" w:cs="Arial" w:eastAsia="Arial" w:hAnsi="Arial"/>
          <w:color w:val="1A1A2E"/>
          <w:sz w:val="22"/>
          <w:szCs w:val="22"/>
        </w:rPr>
        <w:t xml:space="preserve">Outlier flag: minerals reported from a formation where they’re not in the OGS MDI — either misidentifications or genuinely new observations</w:t>
      </w:r>
    </w:p>
    <w:p>
      <w:pPr>
        <w:pStyle w:val="Heading3"/>
        <w:spacing w:after="100" w:before="240"/>
      </w:pPr>
      <w:r>
        <w:rPr>
          <w:rFonts w:ascii="Arial" w:cs="Arial" w:eastAsia="Arial" w:hAnsi="Arial"/>
          <w:b/>
          <w:bCs/>
          <w:color w:val="3A4A5A"/>
          <w:sz w:val="24"/>
          <w:szCs w:val="24"/>
        </w:rPr>
        <w:t xml:space="preserve">Spatial Heatmap</w:t>
      </w:r>
    </w:p>
    <w:p>
      <w:pPr>
        <w:pStyle w:val="ListParagraph"/>
        <w:numPr>
          <w:ilvl w:val="0"/>
          <w:numId w:val="2"/>
        </w:numPr>
        <w:spacing w:after="60" w:before="60"/>
      </w:pPr>
      <w:r>
        <w:rPr>
          <w:rFonts w:ascii="Arial" w:cs="Arial" w:eastAsia="Arial" w:hAnsi="Arial"/>
          <w:color w:val="1A1A2E"/>
          <w:sz w:val="22"/>
          <w:szCs w:val="22"/>
        </w:rPr>
        <w:t xml:space="preserve">Find density rendered as a heatmap layer on the geology map</w:t>
      </w:r>
    </w:p>
    <w:p>
      <w:pPr>
        <w:pStyle w:val="ListParagraph"/>
        <w:numPr>
          <w:ilvl w:val="0"/>
          <w:numId w:val="2"/>
        </w:numPr>
        <w:spacing w:after="60" w:before="60"/>
      </w:pPr>
      <w:r>
        <w:rPr>
          <w:rFonts w:ascii="Arial" w:cs="Arial" w:eastAsia="Arial" w:hAnsi="Arial"/>
          <w:color w:val="1A1A2E"/>
          <w:sz w:val="22"/>
          <w:szCs w:val="22"/>
        </w:rPr>
        <w:t xml:space="preserve">Toggle between: raw find density, verified finds only, specific mineral type, specific formation</w:t>
      </w:r>
    </w:p>
    <w:p>
      <w:pPr>
        <w:pStyle w:val="ListParagraph"/>
        <w:numPr>
          <w:ilvl w:val="0"/>
          <w:numId w:val="2"/>
        </w:numPr>
        <w:spacing w:after="60" w:before="60"/>
      </w:pPr>
      <w:r>
        <w:rPr>
          <w:rFonts w:ascii="Arial" w:cs="Arial" w:eastAsia="Arial" w:hAnsi="Arial"/>
          <w:color w:val="1A1A2E"/>
          <w:sz w:val="22"/>
          <w:szCs w:val="22"/>
        </w:rPr>
        <w:t xml:space="preserve">Comparison mode: digby find density vs OGS MDI occurrence density — shows where citizen science is adding coverage beyond existing professional surveys</w:t>
      </w:r>
    </w:p>
    <w:p>
      <w:pPr>
        <w:pStyle w:val="ListParagraph"/>
        <w:numPr>
          <w:ilvl w:val="0"/>
          <w:numId w:val="2"/>
        </w:numPr>
        <w:spacing w:after="60" w:before="60"/>
      </w:pPr>
      <w:r>
        <w:rPr>
          <w:rFonts w:ascii="Arial" w:cs="Arial" w:eastAsia="Arial" w:hAnsi="Arial"/>
          <w:color w:val="1A1A2E"/>
          <w:sz w:val="22"/>
          <w:szCs w:val="22"/>
        </w:rPr>
        <w:t xml:space="preserve">Time slider: animate the dataset across months to show seasonal collection patterns</w:t>
      </w:r>
    </w:p>
    <w:p>
      <w:pPr>
        <w:pStyle w:val="Heading3"/>
        <w:spacing w:after="100" w:before="240"/>
      </w:pPr>
      <w:r>
        <w:rPr>
          <w:rFonts w:ascii="Arial" w:cs="Arial" w:eastAsia="Arial" w:hAnsi="Arial"/>
          <w:b/>
          <w:bCs/>
          <w:color w:val="3A4A5A"/>
          <w:sz w:val="24"/>
          <w:szCs w:val="24"/>
        </w:rPr>
        <w:t xml:space="preserve">Mineral Occurrence Analysis</w:t>
      </w:r>
    </w:p>
    <w:p>
      <w:pPr>
        <w:pStyle w:val="ListParagraph"/>
        <w:numPr>
          <w:ilvl w:val="0"/>
          <w:numId w:val="2"/>
        </w:numPr>
        <w:spacing w:after="60" w:before="60"/>
      </w:pPr>
      <w:r>
        <w:rPr>
          <w:rFonts w:ascii="Arial" w:cs="Arial" w:eastAsia="Arial" w:hAnsi="Arial"/>
          <w:color w:val="1A1A2E"/>
          <w:sz w:val="22"/>
          <w:szCs w:val="22"/>
        </w:rPr>
        <w:t xml:space="preserve">Select a mineral and see: all logged finds on a map, associated formations, depth/surface context (as reported), UV behaviour distribution, seasonal pattern</w:t>
      </w:r>
    </w:p>
    <w:p>
      <w:pPr>
        <w:pStyle w:val="ListParagraph"/>
        <w:numPr>
          <w:ilvl w:val="0"/>
          <w:numId w:val="2"/>
        </w:numPr>
        <w:spacing w:after="60" w:before="60"/>
      </w:pPr>
      <w:r>
        <w:rPr>
          <w:rFonts w:ascii="Arial" w:cs="Arial" w:eastAsia="Arial" w:hAnsi="Arial"/>
          <w:color w:val="1A1A2E"/>
          <w:sz w:val="22"/>
          <w:szCs w:val="22"/>
        </w:rPr>
        <w:t xml:space="preserve">Co-occurrence analysis: minerals most commonly found alongside the selected mineral — useful for understanding paragenesis</w:t>
      </w:r>
    </w:p>
    <w:p>
      <w:pPr>
        <w:pStyle w:val="ListParagraph"/>
        <w:numPr>
          <w:ilvl w:val="0"/>
          <w:numId w:val="2"/>
        </w:numPr>
        <w:spacing w:after="60" w:before="60"/>
      </w:pPr>
      <w:r>
        <w:rPr>
          <w:rFonts w:ascii="Arial" w:cs="Arial" w:eastAsia="Arial" w:hAnsi="Arial"/>
          <w:color w:val="1A1A2E"/>
          <w:sz w:val="22"/>
          <w:szCs w:val="22"/>
        </w:rPr>
        <w:t xml:space="preserve">Locality clustering: are finds clustering in known MDI localities or appearing in previously undocumented areas?</w:t>
      </w:r>
    </w:p>
    <w:p>
      <w:pPr>
        <w:pStyle w:val="Heading3"/>
        <w:spacing w:after="100" w:before="240"/>
      </w:pPr>
      <w:r>
        <w:rPr>
          <w:rFonts w:ascii="Arial" w:cs="Arial" w:eastAsia="Arial" w:hAnsi="Arial"/>
          <w:b/>
          <w:bCs/>
          <w:color w:val="3A4A5A"/>
          <w:sz w:val="24"/>
          <w:szCs w:val="24"/>
        </w:rPr>
        <w:t xml:space="preserve">Data Quality Overview</w:t>
      </w:r>
    </w:p>
    <w:p>
      <w:pPr>
        <w:pStyle w:val="ListParagraph"/>
        <w:numPr>
          <w:ilvl w:val="0"/>
          <w:numId w:val="2"/>
        </w:numPr>
        <w:spacing w:after="60" w:before="60"/>
      </w:pPr>
      <w:r>
        <w:rPr>
          <w:rFonts w:ascii="Arial" w:cs="Arial" w:eastAsia="Arial" w:hAnsi="Arial"/>
          <w:color w:val="1A1A2E"/>
          <w:sz w:val="22"/>
          <w:szCs w:val="22"/>
        </w:rPr>
        <w:t xml:space="preserve">Dataset-wide verification status breakdown</w:t>
      </w:r>
    </w:p>
    <w:p>
      <w:pPr>
        <w:pStyle w:val="ListParagraph"/>
        <w:numPr>
          <w:ilvl w:val="0"/>
          <w:numId w:val="2"/>
        </w:numPr>
        <w:spacing w:after="60" w:before="60"/>
      </w:pPr>
      <w:r>
        <w:rPr>
          <w:rFonts w:ascii="Arial" w:cs="Arial" w:eastAsia="Arial" w:hAnsi="Arial"/>
          <w:color w:val="1A1A2E"/>
          <w:sz w:val="22"/>
          <w:szCs w:val="22"/>
        </w:rPr>
        <w:t xml:space="preserve">Formation coverage: which formations have good citizen science coverage, which are underrepresented</w:t>
      </w:r>
    </w:p>
    <w:p>
      <w:pPr>
        <w:pStyle w:val="ListParagraph"/>
        <w:numPr>
          <w:ilvl w:val="0"/>
          <w:numId w:val="2"/>
        </w:numPr>
        <w:spacing w:after="60" w:before="60"/>
      </w:pPr>
      <w:r>
        <w:rPr>
          <w:rFonts w:ascii="Arial" w:cs="Arial" w:eastAsia="Arial" w:hAnsi="Arial"/>
          <w:color w:val="1A1A2E"/>
          <w:sz w:val="22"/>
          <w:szCs w:val="22"/>
        </w:rPr>
        <w:t xml:space="preserve">Identification confidence distribution by mineral type — which minerals are being misidentified most often</w:t>
      </w:r>
    </w:p>
    <w:p>
      <w:pPr>
        <w:pStyle w:val="ListParagraph"/>
        <w:numPr>
          <w:ilvl w:val="0"/>
          <w:numId w:val="2"/>
        </w:numPr>
        <w:spacing w:after="60" w:before="60"/>
      </w:pPr>
      <w:r>
        <w:rPr>
          <w:rFonts w:ascii="Arial" w:cs="Arial" w:eastAsia="Arial" w:hAnsi="Arial"/>
          <w:color w:val="1A1A2E"/>
          <w:sz w:val="22"/>
          <w:szCs w:val="22"/>
        </w:rPr>
        <w:t xml:space="preserve">Reviewer activity: verification queue depth, average time to review, active reviewer count</w:t>
      </w:r>
    </w:p>
    <w:p>
      <w:pPr>
        <w:pStyle w:val="Heading2"/>
        <w:spacing w:after="130" w:before="340"/>
      </w:pPr>
      <w:r>
        <w:rPr>
          <w:rFonts w:ascii="Arial" w:cs="Arial" w:eastAsia="Arial" w:hAnsi="Arial"/>
          <w:b/>
          <w:bCs/>
          <w:color w:val="2D6E8E"/>
          <w:sz w:val="27"/>
          <w:szCs w:val="27"/>
        </w:rPr>
        <w:t xml:space="preserve">Technical Notes</w:t>
      </w:r>
    </w:p>
    <w:p>
      <w:pPr>
        <w:pStyle w:val="ListParagraph"/>
        <w:numPr>
          <w:ilvl w:val="0"/>
          <w:numId w:val="2"/>
        </w:numPr>
        <w:spacing w:after="60" w:before="60"/>
      </w:pPr>
      <w:r>
        <w:rPr>
          <w:rFonts w:ascii="Arial" w:cs="Arial" w:eastAsia="Arial" w:hAnsi="Arial"/>
          <w:color w:val="1A1A2E"/>
          <w:sz w:val="22"/>
          <w:szCs w:val="22"/>
        </w:rPr>
        <w:t xml:space="preserve">Analytics queries run against a pre-aggregated analytics collection updated nightly — not live queries against the finds collection</w:t>
      </w:r>
    </w:p>
    <w:p>
      <w:pPr>
        <w:pStyle w:val="ListParagraph"/>
        <w:numPr>
          <w:ilvl w:val="0"/>
          <w:numId w:val="2"/>
        </w:numPr>
        <w:spacing w:after="60" w:before="60"/>
      </w:pPr>
      <w:r>
        <w:rPr>
          <w:rFonts w:ascii="Arial" w:cs="Arial" w:eastAsia="Arial" w:hAnsi="Arial"/>
          <w:color w:val="1A1A2E"/>
          <w:sz w:val="22"/>
          <w:szCs w:val="22"/>
        </w:rPr>
        <w:t xml:space="preserve">Heatmap tiles generated server-side using the same Mapbox tileset pipeline as the geology map</w:t>
      </w:r>
    </w:p>
    <w:p>
      <w:pPr>
        <w:pStyle w:val="ListParagraph"/>
        <w:numPr>
          <w:ilvl w:val="0"/>
          <w:numId w:val="2"/>
        </w:numPr>
        <w:spacing w:after="60" w:before="60"/>
      </w:pPr>
      <w:r>
        <w:rPr>
          <w:rFonts w:ascii="Arial" w:cs="Arial" w:eastAsia="Arial" w:hAnsi="Arial"/>
          <w:color w:val="1A1A2E"/>
          <w:sz w:val="22"/>
          <w:szCs w:val="22"/>
        </w:rPr>
        <w:t xml:space="preserve">Formation dropdown populated from the OGS bedrock layer attribute data already in the system</w:t>
      </w:r>
    </w:p>
    <w:p>
      <w:pPr>
        <w:pStyle w:val="ListParagraph"/>
        <w:numPr>
          <w:ilvl w:val="0"/>
          <w:numId w:val="2"/>
        </w:numPr>
        <w:spacing w:after="60" w:before="60"/>
      </w:pPr>
      <w:r>
        <w:rPr>
          <w:rFonts w:ascii="Arial" w:cs="Arial" w:eastAsia="Arial" w:hAnsi="Arial"/>
          <w:color w:val="1A1A2E"/>
          <w:sz w:val="22"/>
          <w:szCs w:val="22"/>
        </w:rPr>
        <w:t xml:space="preserve">Outlier detection: a nightly job flags finds where the reported mineral is not in the OGS MDI for that formation — these go into a special review queue</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4: GIS Data Export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Professional-grade export of the citizen science dataset in standard GIS formats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Medium-high — critical for OGS partnership and academic use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Verified Expert tier (personal finds); OGS-Endorsed Reviewer (full dataset exports)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Workflow integration, research use, professional utility</w:t>
            </w:r>
          </w:p>
        </w:tc>
      </w:tr>
    </w:tbl>
    <w:p>
      <w:pPr>
        <w:spacing w:after="0" w:before="0"/>
      </w:pPr>
    </w:p>
    <w:p>
      <w:pPr>
        <w:pStyle w:val="Heading2"/>
        <w:spacing w:after="130" w:before="340"/>
      </w:pPr>
      <w:r>
        <w:rPr>
          <w:rFonts w:ascii="Arial" w:cs="Arial" w:eastAsia="Arial" w:hAnsi="Arial"/>
          <w:b/>
          <w:bCs/>
          <w:color w:val="2D6E8E"/>
          <w:sz w:val="27"/>
          <w:szCs w:val="27"/>
        </w:rPr>
        <w:t xml:space="preserve">Export Formats</w:t>
      </w:r>
    </w:p>
    <w:p>
      <w:pPr>
        <w:spacing w:after="120" w:before="80"/>
      </w:pPr>
      <w:r>
        <w:rPr>
          <w:rFonts w:ascii="Arial" w:cs="Arial" w:eastAsia="Arial" w:hAnsi="Arial"/>
          <w:color w:val="1A1A2E"/>
          <w:sz w:val="22"/>
          <w:szCs w:val="22"/>
        </w:rPr>
        <w:t xml:space="preserve">All exports should work directly in standard GIS and data science tools without conversion:</w:t>
      </w:r>
    </w:p>
    <w:p>
      <w:pPr>
        <w:pStyle w:val="ListParagraph"/>
        <w:numPr>
          <w:ilvl w:val="0"/>
          <w:numId w:val="2"/>
        </w:numPr>
        <w:spacing w:after="60" w:before="60"/>
      </w:pPr>
      <w:r>
        <w:rPr>
          <w:rFonts w:ascii="Arial" w:cs="Arial" w:eastAsia="Arial" w:hAnsi="Arial"/>
          <w:color w:val="1A1A2E"/>
          <w:sz w:val="22"/>
          <w:szCs w:val="22"/>
        </w:rPr>
        <w:t xml:space="preserve">GeoJSON — universal, works in QGIS, Mapbox, web applications, Python (geopandas)</w:t>
      </w:r>
    </w:p>
    <w:p>
      <w:pPr>
        <w:pStyle w:val="ListParagraph"/>
        <w:numPr>
          <w:ilvl w:val="0"/>
          <w:numId w:val="2"/>
        </w:numPr>
        <w:spacing w:after="60" w:before="60"/>
      </w:pPr>
      <w:r>
        <w:rPr>
          <w:rFonts w:ascii="Arial" w:cs="Arial" w:eastAsia="Arial" w:hAnsi="Arial"/>
          <w:color w:val="1A1A2E"/>
          <w:sz w:val="22"/>
          <w:szCs w:val="22"/>
        </w:rPr>
        <w:t xml:space="preserve">Shapefile (.shp bundle as .zip) — required for ArcGIS Pro and legacy GIS workflows</w:t>
      </w:r>
    </w:p>
    <w:p>
      <w:pPr>
        <w:pStyle w:val="ListParagraph"/>
        <w:numPr>
          <w:ilvl w:val="0"/>
          <w:numId w:val="2"/>
        </w:numPr>
        <w:spacing w:after="60" w:before="60"/>
      </w:pPr>
      <w:r>
        <w:rPr>
          <w:rFonts w:ascii="Arial" w:cs="Arial" w:eastAsia="Arial" w:hAnsi="Arial"/>
          <w:color w:val="1A1A2E"/>
          <w:sz w:val="22"/>
          <w:szCs w:val="22"/>
        </w:rPr>
        <w:t xml:space="preserve">CSV with WGS84 coordinates — for spreadsheet and data science use</w:t>
      </w:r>
    </w:p>
    <w:p>
      <w:pPr>
        <w:pStyle w:val="ListParagraph"/>
        <w:numPr>
          <w:ilvl w:val="0"/>
          <w:numId w:val="2"/>
        </w:numPr>
        <w:spacing w:after="60" w:before="60"/>
      </w:pPr>
      <w:r>
        <w:rPr>
          <w:rFonts w:ascii="Arial" w:cs="Arial" w:eastAsia="Arial" w:hAnsi="Arial"/>
          <w:color w:val="1A1A2E"/>
          <w:sz w:val="22"/>
          <w:szCs w:val="22"/>
        </w:rPr>
        <w:t xml:space="preserve">GeoPackage (.gpkg) — modern single-file GIS format, preferred for QGIS</w:t>
      </w:r>
    </w:p>
    <w:p>
      <w:pPr>
        <w:pStyle w:val="ListParagraph"/>
        <w:numPr>
          <w:ilvl w:val="0"/>
          <w:numId w:val="2"/>
        </w:numPr>
        <w:spacing w:after="60" w:before="60"/>
      </w:pPr>
      <w:r>
        <w:rPr>
          <w:rFonts w:ascii="Arial" w:cs="Arial" w:eastAsia="Arial" w:hAnsi="Arial"/>
          <w:color w:val="1A1A2E"/>
          <w:sz w:val="22"/>
          <w:szCs w:val="22"/>
        </w:rPr>
        <w:t xml:space="preserve">KML — for Google Earth and field GPS devices</w:t>
      </w:r>
    </w:p>
    <w:p>
      <w:pPr>
        <w:pStyle w:val="Heading2"/>
        <w:spacing w:after="130" w:before="340"/>
      </w:pPr>
      <w:r>
        <w:rPr>
          <w:rFonts w:ascii="Arial" w:cs="Arial" w:eastAsia="Arial" w:hAnsi="Arial"/>
          <w:b/>
          <w:bCs/>
          <w:color w:val="2D6E8E"/>
          <w:sz w:val="27"/>
          <w:szCs w:val="27"/>
        </w:rPr>
        <w:t xml:space="preserve">Export Scopes</w:t>
      </w:r>
    </w:p>
    <w:p>
      <w:pPr>
        <w:pStyle w:val="Heading3"/>
        <w:spacing w:after="100" w:before="240"/>
      </w:pPr>
      <w:r>
        <w:rPr>
          <w:rFonts w:ascii="Arial" w:cs="Arial" w:eastAsia="Arial" w:hAnsi="Arial"/>
          <w:b/>
          <w:bCs/>
          <w:color w:val="3A4A5A"/>
          <w:sz w:val="24"/>
          <w:szCs w:val="24"/>
        </w:rPr>
        <w:t xml:space="preserve">Personal Export (all Verified Expert users)</w:t>
      </w:r>
    </w:p>
    <w:p>
      <w:pPr>
        <w:pStyle w:val="ListParagraph"/>
        <w:numPr>
          <w:ilvl w:val="0"/>
          <w:numId w:val="2"/>
        </w:numPr>
        <w:spacing w:after="60" w:before="60"/>
      </w:pPr>
      <w:r>
        <w:rPr>
          <w:rFonts w:ascii="Arial" w:cs="Arial" w:eastAsia="Arial" w:hAnsi="Arial"/>
          <w:color w:val="1A1A2E"/>
          <w:sz w:val="22"/>
          <w:szCs w:val="22"/>
        </w:rPr>
        <w:t xml:space="preserve">All of the user’s own finds in any format</w:t>
      </w:r>
    </w:p>
    <w:p>
      <w:pPr>
        <w:pStyle w:val="ListParagraph"/>
        <w:numPr>
          <w:ilvl w:val="0"/>
          <w:numId w:val="2"/>
        </w:numPr>
        <w:spacing w:after="60" w:before="60"/>
      </w:pPr>
      <w:r>
        <w:rPr>
          <w:rFonts w:ascii="Arial" w:cs="Arial" w:eastAsia="Arial" w:hAnsi="Arial"/>
          <w:color w:val="1A1A2E"/>
          <w:sz w:val="22"/>
          <w:szCs w:val="22"/>
        </w:rPr>
        <w:t xml:space="preserve">Filtered subsets: by date range, mineral, formation, province, verification status</w:t>
      </w:r>
    </w:p>
    <w:p>
      <w:pPr>
        <w:pStyle w:val="ListParagraph"/>
        <w:numPr>
          <w:ilvl w:val="0"/>
          <w:numId w:val="2"/>
        </w:numPr>
        <w:spacing w:after="60" w:before="60"/>
      </w:pPr>
      <w:r>
        <w:rPr>
          <w:rFonts w:ascii="Arial" w:cs="Arial" w:eastAsia="Arial" w:hAnsi="Arial"/>
          <w:color w:val="1A1A2E"/>
          <w:sz w:val="22"/>
          <w:szCs w:val="22"/>
        </w:rPr>
        <w:t xml:space="preserve">Includes all fields: GPS coordinates, mineral ID, confidence, formation, host rock, photos (as URLs), verification status and reviewer notes</w:t>
      </w:r>
    </w:p>
    <w:p>
      <w:pPr>
        <w:pStyle w:val="Heading3"/>
        <w:spacing w:after="100" w:before="240"/>
      </w:pPr>
      <w:r>
        <w:rPr>
          <w:rFonts w:ascii="Arial" w:cs="Arial" w:eastAsia="Arial" w:hAnsi="Arial"/>
          <w:b/>
          <w:bCs/>
          <w:color w:val="3A4A5A"/>
          <w:sz w:val="24"/>
          <w:szCs w:val="24"/>
        </w:rPr>
        <w:t xml:space="preserve">Public Dataset Export (Community Reviewer and above)</w:t>
      </w:r>
    </w:p>
    <w:p>
      <w:pPr>
        <w:pStyle w:val="ListParagraph"/>
        <w:numPr>
          <w:ilvl w:val="0"/>
          <w:numId w:val="2"/>
        </w:numPr>
        <w:spacing w:after="60" w:before="60"/>
      </w:pPr>
      <w:r>
        <w:rPr>
          <w:rFonts w:ascii="Arial" w:cs="Arial" w:eastAsia="Arial" w:hAnsi="Arial"/>
          <w:color w:val="1A1A2E"/>
          <w:sz w:val="22"/>
          <w:szCs w:val="22"/>
        </w:rPr>
        <w:t xml:space="preserve">All community-visible verified finds (community-verified or expert-verified status)</w:t>
      </w:r>
    </w:p>
    <w:p>
      <w:pPr>
        <w:pStyle w:val="ListParagraph"/>
        <w:numPr>
          <w:ilvl w:val="0"/>
          <w:numId w:val="2"/>
        </w:numPr>
        <w:spacing w:after="60" w:before="60"/>
      </w:pPr>
      <w:r>
        <w:rPr>
          <w:rFonts w:ascii="Arial" w:cs="Arial" w:eastAsia="Arial" w:hAnsi="Arial"/>
          <w:color w:val="1A1A2E"/>
          <w:sz w:val="22"/>
          <w:szCs w:val="22"/>
        </w:rPr>
        <w:t xml:space="preserve">Anonymised: no finder names or account IDs, only find metadata</w:t>
      </w:r>
    </w:p>
    <w:p>
      <w:pPr>
        <w:pStyle w:val="ListParagraph"/>
        <w:numPr>
          <w:ilvl w:val="0"/>
          <w:numId w:val="2"/>
        </w:numPr>
        <w:spacing w:after="60" w:before="60"/>
      </w:pPr>
      <w:r>
        <w:rPr>
          <w:rFonts w:ascii="Arial" w:cs="Arial" w:eastAsia="Arial" w:hAnsi="Arial"/>
          <w:color w:val="1A1A2E"/>
          <w:sz w:val="22"/>
          <w:szCs w:val="22"/>
        </w:rPr>
        <w:t xml:space="preserve">Filterable by all fields before export</w:t>
      </w:r>
    </w:p>
    <w:p>
      <w:pPr>
        <w:pStyle w:val="ListParagraph"/>
        <w:numPr>
          <w:ilvl w:val="0"/>
          <w:numId w:val="2"/>
        </w:numPr>
        <w:spacing w:after="60" w:before="60"/>
      </w:pPr>
      <w:r>
        <w:rPr>
          <w:rFonts w:ascii="Arial" w:cs="Arial" w:eastAsia="Arial" w:hAnsi="Arial"/>
          <w:color w:val="1A1A2E"/>
          <w:sz w:val="22"/>
          <w:szCs w:val="22"/>
        </w:rPr>
        <w:t xml:space="preserve">Rate limited: max one full dataset export per 24 hours per user</w:t>
      </w:r>
    </w:p>
    <w:p>
      <w:pPr>
        <w:pStyle w:val="Heading3"/>
        <w:spacing w:after="100" w:before="240"/>
      </w:pPr>
      <w:r>
        <w:rPr>
          <w:rFonts w:ascii="Arial" w:cs="Arial" w:eastAsia="Arial" w:hAnsi="Arial"/>
          <w:b/>
          <w:bCs/>
          <w:color w:val="3A4A5A"/>
          <w:sz w:val="24"/>
          <w:szCs w:val="24"/>
        </w:rPr>
        <w:t xml:space="preserve">OGS Partnership Export (OGS-Endorsed Reviewer only)</w:t>
      </w:r>
    </w:p>
    <w:p>
      <w:pPr>
        <w:pStyle w:val="ListParagraph"/>
        <w:numPr>
          <w:ilvl w:val="0"/>
          <w:numId w:val="2"/>
        </w:numPr>
        <w:spacing w:after="60" w:before="60"/>
      </w:pPr>
      <w:r>
        <w:rPr>
          <w:rFonts w:ascii="Arial" w:cs="Arial" w:eastAsia="Arial" w:hAnsi="Arial"/>
          <w:color w:val="1A1A2E"/>
          <w:sz w:val="22"/>
          <w:szCs w:val="22"/>
        </w:rPr>
        <w:t xml:space="preserve">Full citizen science quality dataset including unverified finds with quality scores</w:t>
      </w:r>
    </w:p>
    <w:p>
      <w:pPr>
        <w:pStyle w:val="ListParagraph"/>
        <w:numPr>
          <w:ilvl w:val="0"/>
          <w:numId w:val="2"/>
        </w:numPr>
        <w:spacing w:after="60" w:before="60"/>
      </w:pPr>
      <w:r>
        <w:rPr>
          <w:rFonts w:ascii="Arial" w:cs="Arial" w:eastAsia="Arial" w:hAnsi="Arial"/>
          <w:color w:val="1A1A2E"/>
          <w:sz w:val="22"/>
          <w:szCs w:val="22"/>
        </w:rPr>
        <w:t xml:space="preserve">Includes reviewer notes and verification history</w:t>
      </w:r>
    </w:p>
    <w:p>
      <w:pPr>
        <w:pStyle w:val="ListParagraph"/>
        <w:numPr>
          <w:ilvl w:val="0"/>
          <w:numId w:val="2"/>
        </w:numPr>
        <w:spacing w:after="60" w:before="60"/>
      </w:pPr>
      <w:r>
        <w:rPr>
          <w:rFonts w:ascii="Arial" w:cs="Arial" w:eastAsia="Arial" w:hAnsi="Arial"/>
          <w:color w:val="1A1A2E"/>
          <w:sz w:val="22"/>
          <w:szCs w:val="22"/>
        </w:rPr>
        <w:t xml:space="preserve">Formatted to OGS data standards (to be agreed as part of partnership)</w:t>
      </w:r>
    </w:p>
    <w:p>
      <w:pPr>
        <w:pStyle w:val="ListParagraph"/>
        <w:numPr>
          <w:ilvl w:val="0"/>
          <w:numId w:val="2"/>
        </w:numPr>
        <w:spacing w:after="60" w:before="60"/>
      </w:pPr>
      <w:r>
        <w:rPr>
          <w:rFonts w:ascii="Arial" w:cs="Arial" w:eastAsia="Arial" w:hAnsi="Arial"/>
          <w:color w:val="1A1A2E"/>
          <w:sz w:val="22"/>
          <w:szCs w:val="22"/>
        </w:rPr>
        <w:t xml:space="preserve">Delivered via API or scheduled export to an agreed endpoint</w:t>
      </w:r>
    </w:p>
    <w:p>
      <w:pPr>
        <w:pStyle w:val="Heading2"/>
        <w:spacing w:after="130" w:before="340"/>
      </w:pPr>
      <w:r>
        <w:rPr>
          <w:rFonts w:ascii="Arial" w:cs="Arial" w:eastAsia="Arial" w:hAnsi="Arial"/>
          <w:b/>
          <w:bCs/>
          <w:color w:val="2D6E8E"/>
          <w:sz w:val="27"/>
          <w:szCs w:val="27"/>
        </w:rPr>
        <w:t xml:space="preserve">Export UI</w:t>
      </w:r>
    </w:p>
    <w:p>
      <w:pPr>
        <w:pStyle w:val="ListParagraph"/>
        <w:numPr>
          <w:ilvl w:val="0"/>
          <w:numId w:val="2"/>
        </w:numPr>
        <w:spacing w:after="60" w:before="60"/>
      </w:pPr>
      <w:r>
        <w:rPr>
          <w:rFonts w:ascii="Arial" w:cs="Arial" w:eastAsia="Arial" w:hAnsi="Arial"/>
          <w:color w:val="1A1A2E"/>
          <w:sz w:val="22"/>
          <w:szCs w:val="22"/>
        </w:rPr>
        <w:t xml:space="preserve">Export panel accessible from the analytics dashboard and from the user’s profile</w:t>
      </w:r>
    </w:p>
    <w:p>
      <w:pPr>
        <w:pStyle w:val="ListParagraph"/>
        <w:numPr>
          <w:ilvl w:val="0"/>
          <w:numId w:val="2"/>
        </w:numPr>
        <w:spacing w:after="60" w:before="60"/>
      </w:pPr>
      <w:r>
        <w:rPr>
          <w:rFonts w:ascii="Arial" w:cs="Arial" w:eastAsia="Arial" w:hAnsi="Arial"/>
          <w:color w:val="1A1A2E"/>
          <w:sz w:val="22"/>
          <w:szCs w:val="22"/>
        </w:rPr>
        <w:t xml:space="preserve">Format selector, scope selector, and filter panel</w:t>
      </w:r>
    </w:p>
    <w:p>
      <w:pPr>
        <w:pStyle w:val="ListParagraph"/>
        <w:numPr>
          <w:ilvl w:val="0"/>
          <w:numId w:val="2"/>
        </w:numPr>
        <w:spacing w:after="60" w:before="60"/>
      </w:pPr>
      <w:r>
        <w:rPr>
          <w:rFonts w:ascii="Arial" w:cs="Arial" w:eastAsia="Arial" w:hAnsi="Arial"/>
          <w:color w:val="1A1A2E"/>
          <w:sz w:val="22"/>
          <w:szCs w:val="22"/>
        </w:rPr>
        <w:t xml:space="preserve">Estimated record count shown before export</w:t>
      </w:r>
    </w:p>
    <w:p>
      <w:pPr>
        <w:pStyle w:val="ListParagraph"/>
        <w:numPr>
          <w:ilvl w:val="0"/>
          <w:numId w:val="2"/>
        </w:numPr>
        <w:spacing w:after="60" w:before="60"/>
      </w:pPr>
      <w:r>
        <w:rPr>
          <w:rFonts w:ascii="Arial" w:cs="Arial" w:eastAsia="Arial" w:hAnsi="Arial"/>
          <w:color w:val="1A1A2E"/>
          <w:sz w:val="22"/>
          <w:szCs w:val="22"/>
        </w:rPr>
        <w:t xml:space="preserve">Download as file or copy as URL for programmatic access</w:t>
      </w:r>
    </w:p>
    <w:p>
      <w:pPr>
        <w:pStyle w:val="ListParagraph"/>
        <w:numPr>
          <w:ilvl w:val="0"/>
          <w:numId w:val="2"/>
        </w:numPr>
        <w:spacing w:after="60" w:before="60"/>
      </w:pPr>
      <w:r>
        <w:rPr>
          <w:rFonts w:ascii="Arial" w:cs="Arial" w:eastAsia="Arial" w:hAnsi="Arial"/>
          <w:color w:val="1A1A2E"/>
          <w:sz w:val="22"/>
          <w:szCs w:val="22"/>
        </w:rPr>
        <w:t xml:space="preserve">Export history: log of previous exports with download links (valid for 7 days)</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5: The digby Public API</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A documented REST API providing programmatic access to digby’s geology and citizen science data</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Medium — design now, build when dataset has sufficient volume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API keys issued to Verified Expert tier and above; read-only public tier for site/geology data</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Integration into professional tools, research workflows, custom applications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Platform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OGS partnership enabler, academic credibility, developer ecosystem</w:t>
            </w:r>
          </w:p>
        </w:tc>
      </w:tr>
    </w:tbl>
    <w:p>
      <w:pPr>
        <w:spacing w:after="0" w:before="0"/>
      </w:pPr>
    </w:p>
    <w:p>
      <w:pPr>
        <w:pStyle w:val="Heading2"/>
        <w:spacing w:after="130" w:before="340"/>
      </w:pPr>
      <w:r>
        <w:rPr>
          <w:rFonts w:ascii="Arial" w:cs="Arial" w:eastAsia="Arial" w:hAnsi="Arial"/>
          <w:b/>
          <w:bCs/>
          <w:color w:val="2D6E8E"/>
          <w:sz w:val="27"/>
          <w:szCs w:val="27"/>
        </w:rPr>
        <w:t xml:space="preserve">Why an API</w:t>
      </w:r>
    </w:p>
    <w:p>
      <w:pPr>
        <w:spacing w:after="120" w:before="80"/>
      </w:pPr>
      <w:r>
        <w:rPr>
          <w:rFonts w:ascii="Arial" w:cs="Arial" w:eastAsia="Arial" w:hAnsi="Arial"/>
          <w:color w:val="1A1A2E"/>
          <w:sz w:val="22"/>
          <w:szCs w:val="22"/>
        </w:rPr>
        <w:t xml:space="preserve">The digby API is what transforms the platform from a consumer application into a piece of scientific infrastructure. A GIS analyst can pull the citizen science dataset directly into their QGIS workflow. A graduate student can query find patterns from a Python notebook. The OGS can receive scheduled data exports without manual intervention. A university can build a field data collection tool on top of digby’s data model.</w:t>
      </w:r>
    </w:p>
    <w:p>
      <w:pPr>
        <w:spacing w:after="120" w:before="80"/>
      </w:pPr>
      <w:r>
        <w:rPr>
          <w:rFonts w:ascii="Arial" w:cs="Arial" w:eastAsia="Arial" w:hAnsi="Arial"/>
          <w:color w:val="1A1A2E"/>
          <w:sz w:val="22"/>
          <w:szCs w:val="22"/>
        </w:rPr>
        <w:t xml:space="preserve">The API is also the most concrete thing digby can offer in the OGS partnership conversation. “We have a public API with a documented schema that you can integrate with your own systems” is a very different proposition from “we’ll email you a CSV occasionally.”</w:t>
      </w:r>
    </w:p>
    <w:p>
      <w:pPr>
        <w:pStyle w:val="Heading2"/>
        <w:spacing w:after="130" w:before="340"/>
      </w:pPr>
      <w:r>
        <w:rPr>
          <w:rFonts w:ascii="Arial" w:cs="Arial" w:eastAsia="Arial" w:hAnsi="Arial"/>
          <w:b/>
          <w:bCs/>
          <w:color w:val="2D6E8E"/>
          <w:sz w:val="27"/>
          <w:szCs w:val="27"/>
        </w:rPr>
        <w:t xml:space="preserve">Authentication</w:t>
      </w:r>
    </w:p>
    <w:p>
      <w:pPr>
        <w:pStyle w:val="ListParagraph"/>
        <w:numPr>
          <w:ilvl w:val="0"/>
          <w:numId w:val="2"/>
        </w:numPr>
        <w:spacing w:after="60" w:before="60"/>
      </w:pPr>
      <w:r>
        <w:rPr>
          <w:rFonts w:ascii="Arial" w:cs="Arial" w:eastAsia="Arial" w:hAnsi="Arial"/>
          <w:color w:val="1A1A2E"/>
          <w:sz w:val="22"/>
          <w:szCs w:val="22"/>
        </w:rPr>
        <w:t xml:space="preserve">API keys issued per user, managed from the expert profile page</w:t>
      </w:r>
    </w:p>
    <w:p>
      <w:pPr>
        <w:pStyle w:val="ListParagraph"/>
        <w:numPr>
          <w:ilvl w:val="0"/>
          <w:numId w:val="2"/>
        </w:numPr>
        <w:spacing w:after="60" w:before="60"/>
      </w:pPr>
      <w:r>
        <w:rPr>
          <w:rFonts w:ascii="Arial" w:cs="Arial" w:eastAsia="Arial" w:hAnsi="Arial"/>
          <w:color w:val="1A1A2E"/>
          <w:sz w:val="22"/>
          <w:szCs w:val="22"/>
        </w:rPr>
        <w:t xml:space="preserve">Two key types: read-only (default for Verified Expert) and read-write (for OGS-Endorsed Reviewers submitting verifications programmatically)</w:t>
      </w:r>
    </w:p>
    <w:p>
      <w:pPr>
        <w:pStyle w:val="ListParagraph"/>
        <w:numPr>
          <w:ilvl w:val="0"/>
          <w:numId w:val="2"/>
        </w:numPr>
        <w:spacing w:after="60" w:before="60"/>
      </w:pPr>
      <w:r>
        <w:rPr>
          <w:rFonts w:ascii="Arial" w:cs="Arial" w:eastAsia="Arial" w:hAnsi="Arial"/>
          <w:color w:val="1A1A2E"/>
          <w:sz w:val="22"/>
          <w:szCs w:val="22"/>
        </w:rPr>
        <w:t xml:space="preserve">Keys passed as Bearer token in Authorization header</w:t>
      </w:r>
    </w:p>
    <w:p>
      <w:pPr>
        <w:pStyle w:val="ListParagraph"/>
        <w:numPr>
          <w:ilvl w:val="0"/>
          <w:numId w:val="2"/>
        </w:numPr>
        <w:spacing w:after="60" w:before="60"/>
      </w:pPr>
      <w:r>
        <w:rPr>
          <w:rFonts w:ascii="Arial" w:cs="Arial" w:eastAsia="Arial" w:hAnsi="Arial"/>
          <w:color w:val="1A1A2E"/>
          <w:sz w:val="22"/>
          <w:szCs w:val="22"/>
        </w:rPr>
        <w:t xml:space="preserve">Rate limiting: 1,000 requests/hour for read-only; 100 requests/hour for read-write</w:t>
      </w:r>
    </w:p>
    <w:p>
      <w:pPr>
        <w:pStyle w:val="ListParagraph"/>
        <w:numPr>
          <w:ilvl w:val="0"/>
          <w:numId w:val="2"/>
        </w:numPr>
        <w:spacing w:after="60" w:before="60"/>
      </w:pPr>
      <w:r>
        <w:rPr>
          <w:rFonts w:ascii="Arial" w:cs="Arial" w:eastAsia="Arial" w:hAnsi="Arial"/>
          <w:color w:val="1A1A2E"/>
          <w:sz w:val="22"/>
          <w:szCs w:val="22"/>
        </w:rPr>
        <w:t xml:space="preserve">API key rotation available from profile page at any time</w:t>
      </w:r>
    </w:p>
    <w:p>
      <w:pPr>
        <w:pStyle w:val="ListParagraph"/>
        <w:numPr>
          <w:ilvl w:val="0"/>
          <w:numId w:val="2"/>
        </w:numPr>
        <w:spacing w:after="60" w:before="60"/>
      </w:pPr>
      <w:r>
        <w:rPr>
          <w:rFonts w:ascii="Arial" w:cs="Arial" w:eastAsia="Arial" w:hAnsi="Arial"/>
          <w:color w:val="1A1A2E"/>
          <w:sz w:val="22"/>
          <w:szCs w:val="22"/>
        </w:rPr>
        <w:t xml:space="preserve">Usage dashboard: requests per day, endpoint breakdown, quota remaining</w:t>
      </w:r>
    </w:p>
    <w:p>
      <w:pPr>
        <w:pStyle w:val="Heading2"/>
        <w:spacing w:after="130" w:before="340"/>
      </w:pPr>
      <w:r>
        <w:rPr>
          <w:rFonts w:ascii="Arial" w:cs="Arial" w:eastAsia="Arial" w:hAnsi="Arial"/>
          <w:b/>
          <w:bCs/>
          <w:color w:val="2D6E8E"/>
          <w:sz w:val="27"/>
          <w:szCs w:val="27"/>
        </w:rPr>
        <w:t xml:space="preserve">Public Tier (no auth required)</w:t>
      </w:r>
    </w:p>
    <w:p>
      <w:pPr>
        <w:spacing w:after="120" w:before="80"/>
      </w:pPr>
      <w:r>
        <w:rPr>
          <w:rFonts w:ascii="Arial" w:cs="Arial" w:eastAsia="Arial" w:hAnsi="Arial"/>
          <w:color w:val="1A1A2E"/>
          <w:sz w:val="22"/>
          <w:szCs w:val="22"/>
        </w:rPr>
        <w:t xml:space="preserve">A subset of endpoints available without authentication, for static geology and site data: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Endpoint</w:t>
            </w:r>
          </w:p>
        </w:tc>
        <w:tc>
          <w:tcPr>
            <w:tcW w:type="dxa" w:w="216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Method</w:t>
            </w:r>
          </w:p>
        </w:tc>
        <w:tc>
          <w:tcPr>
            <w:tcW w:type="dxa" w:w="432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Description</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/api/v1/sites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List all digby bookable sites with location and mineral associations</w:t>
            </w:r>
          </w:p>
        </w:tc>
      </w:tr>
      <w:tr>
        <w:tc>
          <w:tcPr>
            <w:tcW w:type="dxa" w:w="288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/api/v1/sites/:slug</w:t>
            </w:r>
          </w:p>
        </w:tc>
        <w:tc>
          <w:tcPr>
            <w:tcW w:type="dxa" w:w="216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Single site detail including GeoJSON location</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/api/v1/minerals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Ontario mineral reference list with properties and localities</w:t>
            </w:r>
          </w:p>
        </w:tc>
      </w:tr>
      <w:tr>
        <w:tc>
          <w:tcPr>
            <w:tcW w:type="dxa" w:w="288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/api/v1/minerals/:slug</w:t>
            </w:r>
          </w:p>
        </w:tc>
        <w:tc>
          <w:tcPr>
            <w:tcW w:type="dxa" w:w="216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Full mineral detail including formation associations</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/api/v1/provinces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Ontario geological provinces with summary data</w:t>
            </w:r>
          </w:p>
        </w:tc>
      </w:tr>
    </w:tbl>
    <w:p>
      <w:pPr>
        <w:spacing w:after="0" w:before="0"/>
      </w:pPr>
    </w:p>
    <w:p>
      <w:pPr>
        <w:pStyle w:val="Heading2"/>
        <w:spacing w:after="130" w:before="340"/>
      </w:pPr>
      <w:r>
        <w:rPr>
          <w:rFonts w:ascii="Arial" w:cs="Arial" w:eastAsia="Arial" w:hAnsi="Arial"/>
          <w:b/>
          <w:bCs/>
          <w:color w:val="2D6E8E"/>
          <w:sz w:val="27"/>
          <w:szCs w:val="27"/>
        </w:rPr>
        <w:t xml:space="preserve">Authenticated Tier (API key required)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Endpoint</w:t>
            </w:r>
          </w:p>
        </w:tc>
        <w:tc>
          <w:tcPr>
            <w:tcW w:type="dxa" w:w="216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Method</w:t>
            </w:r>
          </w:p>
        </w:tc>
        <w:tc>
          <w:tcPr>
            <w:tcW w:type="dxa" w:w="4320"/>
            <w:tcBorders>
              <w:top w:val="single" w:color="CCCCDD" w:sz="1"/>
              <w:left w:val="single" w:color="CCCCDD" w:sz="1"/>
              <w:bottom w:val="single" w:color="CCCCDD" w:sz="1"/>
              <w:right w:val="single" w:color="CCCCDD" w:sz="1"/>
            </w:tcBorders>
            <w:shd w:fill="1A1A2E" w:val="clear"/>
            <w:tcMar>
              <w:top w:type="dxa" w:w="80"/>
              <w:left w:type="dxa" w:w="100"/>
              <w:bottom w:type="dxa" w:w="80"/>
              <w:right w:type="dxa" w:w="100"/>
            </w:tcMar>
          </w:tcPr>
          <w:p>
            <w:r>
              <w:rPr>
                <w:rFonts w:ascii="Courier New" w:cs="Courier New" w:eastAsia="Courier New" w:hAnsi="Courier New"/>
                <w:b/>
                <w:bCs/>
                <w:color w:val="FFFFFF"/>
                <w:sz w:val="19"/>
                <w:szCs w:val="19"/>
              </w:rPr>
              <w:t xml:space="preserve">Description</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/api/v1/finds</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Query citizen science finds. Params: mineral, formation, province, bbox, date_from, date_to, status, limit, offset</w:t>
            </w:r>
          </w:p>
        </w:tc>
      </w:tr>
      <w:tr>
        <w:tc>
          <w:tcPr>
            <w:tcW w:type="dxa" w:w="288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/api/v1/finds/:id</w:t>
            </w:r>
          </w:p>
        </w:tc>
        <w:tc>
          <w:tcPr>
            <w:tcW w:type="dxa" w:w="216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Single find detail with full metadata and reviewer notes</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/api/v1/finds/export</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Export finds in specified format. Params: format (geojson/shapefile/csv/gpkg/kml), plus all query params above</w:t>
            </w:r>
          </w:p>
        </w:tc>
      </w:tr>
      <w:tr>
        <w:tc>
          <w:tcPr>
            <w:tcW w:type="dxa" w:w="288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/api/v1/formations/:id/stats</w:t>
            </w:r>
          </w:p>
        </w:tc>
        <w:tc>
          <w:tcPr>
            <w:tcW w:type="dxa" w:w="216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Aggregated find statistics for a given OGS formation ID</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/api/v1/analytics/heatmap</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Find density as GeoJSON for a given bounding box and optional mineral/formation filter</w:t>
            </w:r>
          </w:p>
        </w:tc>
      </w:tr>
      <w:tr>
        <w:tc>
          <w:tcPr>
            <w:tcW w:type="dxa" w:w="288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GET /api/v1/analytics/cooccurrence/:mineral_slug</w:t>
            </w:r>
          </w:p>
        </w:tc>
        <w:tc>
          <w:tcPr>
            <w:tcW w:type="dxa" w:w="216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GET</w:t>
            </w:r>
          </w:p>
        </w:tc>
        <w:tc>
          <w:tcPr>
            <w:tcW w:type="dxa" w:w="4320"/>
            <w:tcBorders>
              <w:top w:val="single" w:color="CCCCDD" w:sz="1"/>
              <w:left w:val="single" w:color="CCCCDD" w:sz="1"/>
              <w:bottom w:val="single" w:color="CCCCDD" w:sz="1"/>
              <w:right w:val="single" w:color="CCCCDD" w:sz="1"/>
            </w:tcBorders>
            <w:shd w:fill="F0F4F8" w:val="clear"/>
            <w:tcMar>
              <w:top w:type="dxa" w:w="80"/>
              <w:left w:type="dxa" w:w="100"/>
              <w:bottom w:type="dxa" w:w="80"/>
              <w:right w:type="dxa" w:w="100"/>
            </w:tcMar>
          </w:tcPr>
          <w:p>
            <w:r>
              <w:rPr>
                <w:rFonts w:ascii="Arial" w:cs="Arial" w:eastAsia="Arial" w:hAnsi="Arial"/>
                <w:b w:val="false"/>
                <w:bCs w:val="false"/>
                <w:color w:val="1A1A2E"/>
                <w:sz w:val="18"/>
                <w:szCs w:val="18"/>
              </w:rPr>
              <w:t xml:space="preserve">Minerals most commonly found alongside the specified mineral</w:t>
            </w:r>
          </w:p>
        </w:tc>
      </w:tr>
      <w:tr>
        <w:tc>
          <w:tcPr>
            <w:tcW w:type="dxa" w:w="288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Courier New" w:cs="Courier New" w:eastAsia="Courier New" w:hAnsi="Courier New"/>
                <w:b/>
                <w:bCs/>
                <w:color w:val="2D6E3A"/>
                <w:sz w:val="18"/>
                <w:szCs w:val="18"/>
              </w:rPr>
              <w:t xml:space="preserve">POST /api/v1/finds/:id/verify</w:t>
            </w:r>
          </w:p>
        </w:tc>
        <w:tc>
          <w:tcPr>
            <w:tcW w:type="dxa" w:w="216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POST</w:t>
            </w:r>
          </w:p>
        </w:tc>
        <w:tc>
          <w:tcPr>
            <w:tcW w:type="dxa" w:w="4320"/>
            <w:tcBorders>
              <w:top w:val="single" w:color="CCCCDD" w:sz="1"/>
              <w:left w:val="single" w:color="CCCCDD" w:sz="1"/>
              <w:bottom w:val="single" w:color="CCCCDD" w:sz="1"/>
              <w:right w:val="single" w:color="CCCCDD" w:sz="1"/>
            </w:tcBorders>
            <w:shd w:fill="FFFFFF" w:val="clear"/>
            <w:tcMar>
              <w:top w:type="dxa" w:w="80"/>
              <w:left w:type="dxa" w:w="100"/>
              <w:bottom w:type="dxa" w:w="80"/>
              <w:right w:type="dxa" w:w="100"/>
            </w:tcMar>
          </w:tcPr>
          <w:p>
            <w:r>
              <w:rPr>
                <w:rFonts w:ascii="Arial" w:cs="Arial" w:eastAsia="Arial" w:hAnsi="Arial"/>
                <w:b w:val="false"/>
                <w:bCs w:val="false"/>
                <w:color w:val="1A1A2E"/>
                <w:sz w:val="18"/>
                <w:szCs w:val="18"/>
              </w:rPr>
              <w:t xml:space="preserve">Submit a verification decision (read-write key, Reviewer tier only)</w:t>
            </w:r>
          </w:p>
        </w:tc>
      </w:tr>
    </w:tbl>
    <w:p>
      <w:pPr>
        <w:spacing w:after="0" w:before="0"/>
      </w:pPr>
    </w:p>
    <w:p>
      <w:pPr>
        <w:pStyle w:val="Heading2"/>
        <w:spacing w:after="130" w:before="340"/>
      </w:pPr>
      <w:r>
        <w:rPr>
          <w:rFonts w:ascii="Arial" w:cs="Arial" w:eastAsia="Arial" w:hAnsi="Arial"/>
          <w:b/>
          <w:bCs/>
          <w:color w:val="2D6E8E"/>
          <w:sz w:val="27"/>
          <w:szCs w:val="27"/>
        </w:rPr>
        <w:t xml:space="preserve">Query Parameters in Detail</w:t>
      </w:r>
    </w:p>
    <w:p>
      <w:pPr>
        <w:pStyle w:val="Heading3"/>
        <w:spacing w:after="100" w:before="240"/>
      </w:pPr>
      <w:r>
        <w:rPr>
          <w:rFonts w:ascii="Arial" w:cs="Arial" w:eastAsia="Arial" w:hAnsi="Arial"/>
          <w:b/>
          <w:bCs/>
          <w:color w:val="3A4A5A"/>
          <w:sz w:val="24"/>
          <w:szCs w:val="24"/>
        </w:rPr>
        <w:t xml:space="preserve">Spatial Filtering</w:t>
      </w:r>
    </w:p>
    <w:p>
      <w:pPr>
        <w:pStyle w:val="ListParagraph"/>
        <w:numPr>
          <w:ilvl w:val="0"/>
          <w:numId w:val="2"/>
        </w:numPr>
        <w:spacing w:after="60" w:before="60"/>
      </w:pPr>
      <w:r>
        <w:rPr>
          <w:rFonts w:ascii="Arial" w:cs="Arial" w:eastAsia="Arial" w:hAnsi="Arial"/>
          <w:color w:val="1A1A2E"/>
          <w:sz w:val="22"/>
          <w:szCs w:val="22"/>
        </w:rPr>
        <w:t xml:space="preserve">bbox — bounding box as minLon,minLat,maxLon,maxLat (WGS84 decimal degrees)</w:t>
      </w:r>
    </w:p>
    <w:p>
      <w:pPr>
        <w:pStyle w:val="ListParagraph"/>
        <w:numPr>
          <w:ilvl w:val="0"/>
          <w:numId w:val="2"/>
        </w:numPr>
        <w:spacing w:after="60" w:before="60"/>
      </w:pPr>
      <w:r>
        <w:rPr>
          <w:rFonts w:ascii="Arial" w:cs="Arial" w:eastAsia="Arial" w:hAnsi="Arial"/>
          <w:color w:val="1A1A2E"/>
          <w:sz w:val="22"/>
          <w:szCs w:val="22"/>
        </w:rPr>
        <w:t xml:space="preserve">province — geological province slug (grenville, superior, southern, bear)</w:t>
      </w:r>
    </w:p>
    <w:p>
      <w:pPr>
        <w:pStyle w:val="ListParagraph"/>
        <w:numPr>
          <w:ilvl w:val="0"/>
          <w:numId w:val="2"/>
        </w:numPr>
        <w:spacing w:after="60" w:before="60"/>
      </w:pPr>
      <w:r>
        <w:rPr>
          <w:rFonts w:ascii="Arial" w:cs="Arial" w:eastAsia="Arial" w:hAnsi="Arial"/>
          <w:color w:val="1A1A2E"/>
          <w:sz w:val="22"/>
          <w:szCs w:val="22"/>
        </w:rPr>
        <w:t xml:space="preserve">formation_id — OGS formation identifier from the bedrock geology layer</w:t>
      </w:r>
    </w:p>
    <w:p>
      <w:pPr>
        <w:pStyle w:val="ListParagraph"/>
        <w:numPr>
          <w:ilvl w:val="0"/>
          <w:numId w:val="2"/>
        </w:numPr>
        <w:spacing w:after="60" w:before="60"/>
      </w:pPr>
      <w:r>
        <w:rPr>
          <w:rFonts w:ascii="Arial" w:cs="Arial" w:eastAsia="Arial" w:hAnsi="Arial"/>
          <w:color w:val="1A1A2E"/>
          <w:sz w:val="22"/>
          <w:szCs w:val="22"/>
        </w:rPr>
        <w:t xml:space="preserve">radius — point + radius in km: lat,lon,radius (e.g. 45.2,-78.3,50)</w:t>
      </w:r>
    </w:p>
    <w:p>
      <w:pPr>
        <w:pStyle w:val="Heading3"/>
        <w:spacing w:after="100" w:before="240"/>
      </w:pPr>
      <w:r>
        <w:rPr>
          <w:rFonts w:ascii="Arial" w:cs="Arial" w:eastAsia="Arial" w:hAnsi="Arial"/>
          <w:b/>
          <w:bCs/>
          <w:color w:val="3A4A5A"/>
          <w:sz w:val="24"/>
          <w:szCs w:val="24"/>
        </w:rPr>
        <w:t xml:space="preserve">Attribute Filtering</w:t>
      </w:r>
    </w:p>
    <w:p>
      <w:pPr>
        <w:pStyle w:val="ListParagraph"/>
        <w:numPr>
          <w:ilvl w:val="0"/>
          <w:numId w:val="2"/>
        </w:numPr>
        <w:spacing w:after="60" w:before="60"/>
      </w:pPr>
      <w:r>
        <w:rPr>
          <w:rFonts w:ascii="Arial" w:cs="Arial" w:eastAsia="Arial" w:hAnsi="Arial"/>
          <w:color w:val="1A1A2E"/>
          <w:sz w:val="22"/>
          <w:szCs w:val="22"/>
        </w:rPr>
        <w:t xml:space="preserve">mineral — mineral slug or comma-separated list</w:t>
      </w:r>
    </w:p>
    <w:p>
      <w:pPr>
        <w:pStyle w:val="ListParagraph"/>
        <w:numPr>
          <w:ilvl w:val="0"/>
          <w:numId w:val="2"/>
        </w:numPr>
        <w:spacing w:after="60" w:before="60"/>
      </w:pPr>
      <w:r>
        <w:rPr>
          <w:rFonts w:ascii="Arial" w:cs="Arial" w:eastAsia="Arial" w:hAnsi="Arial"/>
          <w:color w:val="1A1A2E"/>
          <w:sz w:val="22"/>
          <w:szCs w:val="22"/>
        </w:rPr>
        <w:t xml:space="preserve">status — unverified / ai_likely / community_verified / expert_verified</w:t>
      </w:r>
    </w:p>
    <w:p>
      <w:pPr>
        <w:pStyle w:val="ListParagraph"/>
        <w:numPr>
          <w:ilvl w:val="0"/>
          <w:numId w:val="2"/>
        </w:numPr>
        <w:spacing w:after="60" w:before="60"/>
      </w:pPr>
      <w:r>
        <w:rPr>
          <w:rFonts w:ascii="Arial" w:cs="Arial" w:eastAsia="Arial" w:hAnsi="Arial"/>
          <w:color w:val="1A1A2E"/>
          <w:sz w:val="22"/>
          <w:szCs w:val="22"/>
        </w:rPr>
        <w:t xml:space="preserve">host_rock — granite / marble / schist / limestone / volcanic / unknown</w:t>
      </w:r>
    </w:p>
    <w:p>
      <w:pPr>
        <w:pStyle w:val="ListParagraph"/>
        <w:numPr>
          <w:ilvl w:val="0"/>
          <w:numId w:val="2"/>
        </w:numPr>
        <w:spacing w:after="60" w:before="60"/>
      </w:pPr>
      <w:r>
        <w:rPr>
          <w:rFonts w:ascii="Arial" w:cs="Arial" w:eastAsia="Arial" w:hAnsi="Arial"/>
          <w:color w:val="1A1A2E"/>
          <w:sz w:val="22"/>
          <w:szCs w:val="22"/>
        </w:rPr>
        <w:t xml:space="preserve">uv_fluorescent — true/false</w:t>
      </w:r>
    </w:p>
    <w:p>
      <w:pPr>
        <w:pStyle w:val="ListParagraph"/>
        <w:numPr>
          <w:ilvl w:val="0"/>
          <w:numId w:val="2"/>
        </w:numPr>
        <w:spacing w:after="60" w:before="60"/>
      </w:pPr>
      <w:r>
        <w:rPr>
          <w:rFonts w:ascii="Arial" w:cs="Arial" w:eastAsia="Arial" w:hAnsi="Arial"/>
          <w:color w:val="1A1A2E"/>
          <w:sz w:val="22"/>
          <w:szCs w:val="22"/>
        </w:rPr>
        <w:t xml:space="preserve">date_from / date_to — ISO 8601 dates</w:t>
      </w:r>
    </w:p>
    <w:p>
      <w:pPr>
        <w:pStyle w:val="ListParagraph"/>
        <w:numPr>
          <w:ilvl w:val="0"/>
          <w:numId w:val="2"/>
        </w:numPr>
        <w:spacing w:after="60" w:before="60"/>
      </w:pPr>
      <w:r>
        <w:rPr>
          <w:rFonts w:ascii="Arial" w:cs="Arial" w:eastAsia="Arial" w:hAnsi="Arial"/>
          <w:color w:val="1A1A2E"/>
          <w:sz w:val="22"/>
          <w:szCs w:val="22"/>
        </w:rPr>
        <w:t xml:space="preserve">has_photo — true/false</w:t>
      </w:r>
    </w:p>
    <w:p>
      <w:pPr>
        <w:pStyle w:val="Heading3"/>
        <w:spacing w:after="100" w:before="240"/>
      </w:pPr>
      <w:r>
        <w:rPr>
          <w:rFonts w:ascii="Arial" w:cs="Arial" w:eastAsia="Arial" w:hAnsi="Arial"/>
          <w:b/>
          <w:bCs/>
          <w:color w:val="3A4A5A"/>
          <w:sz w:val="24"/>
          <w:szCs w:val="24"/>
        </w:rPr>
        <w:t xml:space="preserve">Pagination</w:t>
      </w:r>
    </w:p>
    <w:p>
      <w:pPr>
        <w:pStyle w:val="ListParagraph"/>
        <w:numPr>
          <w:ilvl w:val="0"/>
          <w:numId w:val="2"/>
        </w:numPr>
        <w:spacing w:after="60" w:before="60"/>
      </w:pPr>
      <w:r>
        <w:rPr>
          <w:rFonts w:ascii="Arial" w:cs="Arial" w:eastAsia="Arial" w:hAnsi="Arial"/>
          <w:color w:val="1A1A2E"/>
          <w:sz w:val="22"/>
          <w:szCs w:val="22"/>
        </w:rPr>
        <w:t xml:space="preserve">limit — max records per response (default 100, max 1000)</w:t>
      </w:r>
    </w:p>
    <w:p>
      <w:pPr>
        <w:pStyle w:val="ListParagraph"/>
        <w:numPr>
          <w:ilvl w:val="0"/>
          <w:numId w:val="2"/>
        </w:numPr>
        <w:spacing w:after="60" w:before="60"/>
      </w:pPr>
      <w:r>
        <w:rPr>
          <w:rFonts w:ascii="Arial" w:cs="Arial" w:eastAsia="Arial" w:hAnsi="Arial"/>
          <w:color w:val="1A1A2E"/>
          <w:sz w:val="22"/>
          <w:szCs w:val="22"/>
        </w:rPr>
        <w:t xml:space="preserve">offset — for cursor-based pagination</w:t>
      </w:r>
    </w:p>
    <w:p>
      <w:pPr>
        <w:pStyle w:val="ListParagraph"/>
        <w:numPr>
          <w:ilvl w:val="0"/>
          <w:numId w:val="2"/>
        </w:numPr>
        <w:spacing w:after="60" w:before="60"/>
      </w:pPr>
      <w:r>
        <w:rPr>
          <w:rFonts w:ascii="Arial" w:cs="Arial" w:eastAsia="Arial" w:hAnsi="Arial"/>
          <w:color w:val="1A1A2E"/>
          <w:sz w:val="22"/>
          <w:szCs w:val="22"/>
        </w:rPr>
        <w:t xml:space="preserve">Response includes: total_count, next_offset, has_more</w:t>
      </w:r>
    </w:p>
    <w:p>
      <w:pPr>
        <w:pStyle w:val="Heading2"/>
        <w:spacing w:after="130" w:before="340"/>
      </w:pPr>
      <w:r>
        <w:rPr>
          <w:rFonts w:ascii="Arial" w:cs="Arial" w:eastAsia="Arial" w:hAnsi="Arial"/>
          <w:b/>
          <w:bCs/>
          <w:color w:val="2D6E8E"/>
          <w:sz w:val="27"/>
          <w:szCs w:val="27"/>
        </w:rPr>
        <w:t xml:space="preserve">Response Format</w:t>
      </w:r>
    </w:p>
    <w:p>
      <w:pPr>
        <w:spacing w:after="120" w:before="80"/>
      </w:pPr>
      <w:r>
        <w:rPr>
          <w:rFonts w:ascii="Arial" w:cs="Arial" w:eastAsia="Arial" w:hAnsi="Arial"/>
          <w:color w:val="1A1A2E"/>
          <w:sz w:val="22"/>
          <w:szCs w:val="22"/>
        </w:rPr>
        <w:t xml:space="preserve">All endpoints return JSON. Find endpoints return GeoJSON FeatureCollections by default, with digby-specific properties in the feature properties object:</w:t>
      </w:r>
    </w:p>
    <w:p>
      <w:pPr>
        <w:spacing w:after="60" w:before="60"/>
        <w:ind w:left="720"/>
      </w:pPr>
      <w:r>
        <w:rPr>
          <w:rFonts w:ascii="Courier New" w:cs="Courier New" w:eastAsia="Courier New" w:hAnsi="Courier New"/>
          <w:color w:val="2D6E3A"/>
          <w:sz w:val="20"/>
          <w:szCs w:val="20"/>
        </w:rPr>
        <w:t xml:space="preserve">{</w:t>
      </w:r>
    </w:p>
    <w:p>
      <w:pPr>
        <w:spacing w:after="60" w:before="60"/>
        <w:ind w:left="720"/>
      </w:pPr>
      <w:r>
        <w:rPr>
          <w:rFonts w:ascii="Courier New" w:cs="Courier New" w:eastAsia="Courier New" w:hAnsi="Courier New"/>
          <w:color w:val="2D6E3A"/>
          <w:sz w:val="20"/>
          <w:szCs w:val="20"/>
        </w:rPr>
        <w:t xml:space="preserve">  type: 'FeatureCollection',</w:t>
      </w:r>
    </w:p>
    <w:p>
      <w:pPr>
        <w:spacing w:after="60" w:before="60"/>
        <w:ind w:left="720"/>
      </w:pPr>
      <w:r>
        <w:rPr>
          <w:rFonts w:ascii="Courier New" w:cs="Courier New" w:eastAsia="Courier New" w:hAnsi="Courier New"/>
          <w:color w:val="2D6E3A"/>
          <w:sz w:val="20"/>
          <w:szCs w:val="20"/>
        </w:rPr>
        <w:t xml:space="preserve">  metadata: {</w:t>
      </w:r>
    </w:p>
    <w:p>
      <w:pPr>
        <w:spacing w:after="60" w:before="60"/>
        <w:ind w:left="720"/>
      </w:pPr>
      <w:r>
        <w:rPr>
          <w:rFonts w:ascii="Courier New" w:cs="Courier New" w:eastAsia="Courier New" w:hAnsi="Courier New"/>
          <w:color w:val="2D6E3A"/>
          <w:sz w:val="20"/>
          <w:szCs w:val="20"/>
        </w:rPr>
        <w:t xml:space="preserve">    total_count: 1247,</w:t>
      </w:r>
    </w:p>
    <w:p>
      <w:pPr>
        <w:spacing w:after="60" w:before="60"/>
        <w:ind w:left="720"/>
      </w:pPr>
      <w:r>
        <w:rPr>
          <w:rFonts w:ascii="Courier New" w:cs="Courier New" w:eastAsia="Courier New" w:hAnsi="Courier New"/>
          <w:color w:val="2D6E3A"/>
          <w:sz w:val="20"/>
          <w:szCs w:val="20"/>
        </w:rPr>
        <w:t xml:space="preserve">    query_params: { mineral: 'sodalite', province: 'grenville' },</w:t>
      </w:r>
    </w:p>
    <w:p>
      <w:pPr>
        <w:spacing w:after="60" w:before="60"/>
        <w:ind w:left="720"/>
      </w:pPr>
      <w:r>
        <w:rPr>
          <w:rFonts w:ascii="Courier New" w:cs="Courier New" w:eastAsia="Courier New" w:hAnsi="Courier New"/>
          <w:color w:val="2D6E3A"/>
          <w:sz w:val="20"/>
          <w:szCs w:val="20"/>
        </w:rPr>
        <w:t xml:space="preserve">    generated_at: '2026-05-22T14:30:00Z'</w:t>
      </w:r>
    </w:p>
    <w:p>
      <w:pPr>
        <w:spacing w:after="60" w:before="60"/>
        <w:ind w:left="720"/>
      </w:pPr>
      <w:r>
        <w:rPr>
          <w:rFonts w:ascii="Courier New" w:cs="Courier New" w:eastAsia="Courier New" w:hAnsi="Courier New"/>
          <w:color w:val="2D6E3A"/>
          <w:sz w:val="20"/>
          <w:szCs w:val="20"/>
        </w:rPr>
        <w:t xml:space="preserve">  },</w:t>
      </w:r>
    </w:p>
    <w:p>
      <w:pPr>
        <w:spacing w:after="60" w:before="60"/>
        <w:ind w:left="720"/>
      </w:pPr>
      <w:r>
        <w:rPr>
          <w:rFonts w:ascii="Courier New" w:cs="Courier New" w:eastAsia="Courier New" w:hAnsi="Courier New"/>
          <w:color w:val="2D6E3A"/>
          <w:sz w:val="20"/>
          <w:szCs w:val="20"/>
        </w:rPr>
        <w:t xml:space="preserve">  features: [</w:t>
      </w:r>
    </w:p>
    <w:p>
      <w:pPr>
        <w:spacing w:after="60" w:before="60"/>
        <w:ind w:left="720"/>
      </w:pPr>
      <w:r>
        <w:rPr>
          <w:rFonts w:ascii="Courier New" w:cs="Courier New" w:eastAsia="Courier New" w:hAnsi="Courier New"/>
          <w:color w:val="2D6E3A"/>
          <w:sz w:val="20"/>
          <w:szCs w:val="20"/>
        </w:rPr>
        <w:t xml:space="preserve">    {</w:t>
      </w:r>
    </w:p>
    <w:p>
      <w:pPr>
        <w:spacing w:after="60" w:before="60"/>
        <w:ind w:left="720"/>
      </w:pPr>
      <w:r>
        <w:rPr>
          <w:rFonts w:ascii="Courier New" w:cs="Courier New" w:eastAsia="Courier New" w:hAnsi="Courier New"/>
          <w:color w:val="2D6E3A"/>
          <w:sz w:val="20"/>
          <w:szCs w:val="20"/>
        </w:rPr>
        <w:t xml:space="preserve">      type: 'Feature',</w:t>
      </w:r>
    </w:p>
    <w:p>
      <w:pPr>
        <w:spacing w:after="60" w:before="60"/>
        <w:ind w:left="720"/>
      </w:pPr>
      <w:r>
        <w:rPr>
          <w:rFonts w:ascii="Courier New" w:cs="Courier New" w:eastAsia="Courier New" w:hAnsi="Courier New"/>
          <w:color w:val="2D6E3A"/>
          <w:sz w:val="20"/>
          <w:szCs w:val="20"/>
        </w:rPr>
        <w:t xml:space="preserve">      geometry: { type: 'Point', coordinates: [-77.843, 45.061] },</w:t>
      </w:r>
    </w:p>
    <w:p>
      <w:pPr>
        <w:spacing w:after="60" w:before="60"/>
        <w:ind w:left="720"/>
      </w:pPr>
      <w:r>
        <w:rPr>
          <w:rFonts w:ascii="Courier New" w:cs="Courier New" w:eastAsia="Courier New" w:hAnsi="Courier New"/>
          <w:color w:val="2D6E3A"/>
          <w:sz w:val="20"/>
          <w:szCs w:val="20"/>
        </w:rPr>
        <w:t xml:space="preserve">      properties: {</w:t>
      </w:r>
    </w:p>
    <w:p>
      <w:pPr>
        <w:spacing w:after="60" w:before="60"/>
        <w:ind w:left="720"/>
      </w:pPr>
      <w:r>
        <w:rPr>
          <w:rFonts w:ascii="Courier New" w:cs="Courier New" w:eastAsia="Courier New" w:hAnsi="Courier New"/>
          <w:color w:val="2D6E3A"/>
          <w:sz w:val="20"/>
          <w:szCs w:val="20"/>
        </w:rPr>
        <w:t xml:space="preserve">        id: 'find_abc123',</w:t>
      </w:r>
    </w:p>
    <w:p>
      <w:pPr>
        <w:spacing w:after="60" w:before="60"/>
        <w:ind w:left="720"/>
      </w:pPr>
      <w:r>
        <w:rPr>
          <w:rFonts w:ascii="Courier New" w:cs="Courier New" w:eastAsia="Courier New" w:hAnsi="Courier New"/>
          <w:color w:val="2D6E3A"/>
          <w:sz w:val="20"/>
          <w:szCs w:val="20"/>
        </w:rPr>
        <w:t xml:space="preserve">        mineral_slug: 'sodalite',</w:t>
      </w:r>
    </w:p>
    <w:p>
      <w:pPr>
        <w:spacing w:after="60" w:before="60"/>
        <w:ind w:left="720"/>
      </w:pPr>
      <w:r>
        <w:rPr>
          <w:rFonts w:ascii="Courier New" w:cs="Courier New" w:eastAsia="Courier New" w:hAnsi="Courier New"/>
          <w:color w:val="2D6E3A"/>
          <w:sz w:val="20"/>
          <w:szCs w:val="20"/>
        </w:rPr>
        <w:t xml:space="preserve">        mineral_name: 'Sodalite',</w:t>
      </w:r>
    </w:p>
    <w:p>
      <w:pPr>
        <w:spacing w:after="60" w:before="60"/>
        <w:ind w:left="720"/>
      </w:pPr>
      <w:r>
        <w:rPr>
          <w:rFonts w:ascii="Courier New" w:cs="Courier New" w:eastAsia="Courier New" w:hAnsi="Courier New"/>
          <w:color w:val="2D6E3A"/>
          <w:sz w:val="20"/>
          <w:szCs w:val="20"/>
        </w:rPr>
        <w:t xml:space="preserve">        confidence: 'high',</w:t>
      </w:r>
    </w:p>
    <w:p>
      <w:pPr>
        <w:spacing w:after="60" w:before="60"/>
        <w:ind w:left="720"/>
      </w:pPr>
      <w:r>
        <w:rPr>
          <w:rFonts w:ascii="Courier New" w:cs="Courier New" w:eastAsia="Courier New" w:hAnsi="Courier New"/>
          <w:color w:val="2D6E3A"/>
          <w:sz w:val="20"/>
          <w:szCs w:val="20"/>
        </w:rPr>
        <w:t xml:space="preserve">        verification_status: 'community_verified',</w:t>
      </w:r>
    </w:p>
    <w:p>
      <w:pPr>
        <w:spacing w:after="60" w:before="60"/>
        <w:ind w:left="720"/>
      </w:pPr>
      <w:r>
        <w:rPr>
          <w:rFonts w:ascii="Courier New" w:cs="Courier New" w:eastAsia="Courier New" w:hAnsi="Courier New"/>
          <w:color w:val="2D6E3A"/>
          <w:sz w:val="20"/>
          <w:szCs w:val="20"/>
        </w:rPr>
        <w:t xml:space="preserve">        formation_name: 'Cardiff Nepheline Syenite',</w:t>
      </w:r>
    </w:p>
    <w:p>
      <w:pPr>
        <w:spacing w:after="60" w:before="60"/>
        <w:ind w:left="720"/>
      </w:pPr>
      <w:r>
        <w:rPr>
          <w:rFonts w:ascii="Courier New" w:cs="Courier New" w:eastAsia="Courier New" w:hAnsi="Courier New"/>
          <w:color w:val="2D6E3A"/>
          <w:sz w:val="20"/>
          <w:szCs w:val="20"/>
        </w:rPr>
        <w:t xml:space="preserve">        formation_id: 'OGS_F_04821',</w:t>
      </w:r>
    </w:p>
    <w:p>
      <w:pPr>
        <w:spacing w:after="60" w:before="60"/>
        <w:ind w:left="720"/>
      </w:pPr>
      <w:r>
        <w:rPr>
          <w:rFonts w:ascii="Courier New" w:cs="Courier New" w:eastAsia="Courier New" w:hAnsi="Courier New"/>
          <w:color w:val="2D6E3A"/>
          <w:sz w:val="20"/>
          <w:szCs w:val="20"/>
        </w:rPr>
        <w:t xml:space="preserve">        province: 'grenville',</w:t>
      </w:r>
    </w:p>
    <w:p>
      <w:pPr>
        <w:spacing w:after="60" w:before="60"/>
        <w:ind w:left="720"/>
      </w:pPr>
      <w:r>
        <w:rPr>
          <w:rFonts w:ascii="Courier New" w:cs="Courier New" w:eastAsia="Courier New" w:hAnsi="Courier New"/>
          <w:color w:val="2D6E3A"/>
          <w:sz w:val="20"/>
          <w:szCs w:val="20"/>
        </w:rPr>
        <w:t xml:space="preserve">        host_rock: 'syenite',</w:t>
      </w:r>
    </w:p>
    <w:p>
      <w:pPr>
        <w:spacing w:after="60" w:before="60"/>
        <w:ind w:left="720"/>
      </w:pPr>
      <w:r>
        <w:rPr>
          <w:rFonts w:ascii="Courier New" w:cs="Courier New" w:eastAsia="Courier New" w:hAnsi="Courier New"/>
          <w:color w:val="2D6E3A"/>
          <w:sz w:val="20"/>
          <w:szCs w:val="20"/>
        </w:rPr>
        <w:t xml:space="preserve">        uv_fluorescent: true,</w:t>
      </w:r>
    </w:p>
    <w:p>
      <w:pPr>
        <w:spacing w:after="60" w:before="60"/>
        <w:ind w:left="720"/>
      </w:pPr>
      <w:r>
        <w:rPr>
          <w:rFonts w:ascii="Courier New" w:cs="Courier New" w:eastAsia="Courier New" w:hAnsi="Courier New"/>
          <w:color w:val="2D6E3A"/>
          <w:sz w:val="20"/>
          <w:szCs w:val="20"/>
        </w:rPr>
        <w:t xml:space="preserve">        uv_colour: 'orange',</w:t>
      </w:r>
    </w:p>
    <w:p>
      <w:pPr>
        <w:spacing w:after="60" w:before="60"/>
        <w:ind w:left="720"/>
      </w:pPr>
      <w:r>
        <w:rPr>
          <w:rFonts w:ascii="Courier New" w:cs="Courier New" w:eastAsia="Courier New" w:hAnsi="Courier New"/>
          <w:color w:val="2D6E3A"/>
          <w:sz w:val="20"/>
          <w:szCs w:val="20"/>
        </w:rPr>
        <w:t xml:space="preserve">        date_found: '2026-04-15',</w:t>
      </w:r>
    </w:p>
    <w:p>
      <w:pPr>
        <w:spacing w:after="60" w:before="60"/>
        <w:ind w:left="720"/>
      </w:pPr>
      <w:r>
        <w:rPr>
          <w:rFonts w:ascii="Courier New" w:cs="Courier New" w:eastAsia="Courier New" w:hAnsi="Courier New"/>
          <w:color w:val="2D6E3A"/>
          <w:sz w:val="20"/>
          <w:szCs w:val="20"/>
        </w:rPr>
        <w:t xml:space="preserve">        has_photo: true,</w:t>
      </w:r>
    </w:p>
    <w:p>
      <w:pPr>
        <w:spacing w:after="60" w:before="60"/>
        <w:ind w:left="720"/>
      </w:pPr>
      <w:r>
        <w:rPr>
          <w:rFonts w:ascii="Courier New" w:cs="Courier New" w:eastAsia="Courier New" w:hAnsi="Courier New"/>
          <w:color w:val="2D6E3A"/>
          <w:sz w:val="20"/>
          <w:szCs w:val="20"/>
        </w:rPr>
        <w:t xml:space="preserve">        photo_url: 'https://...',</w:t>
      </w:r>
    </w:p>
    <w:p>
      <w:pPr>
        <w:spacing w:after="60" w:before="60"/>
        <w:ind w:left="720"/>
      </w:pPr>
      <w:r>
        <w:rPr>
          <w:rFonts w:ascii="Courier New" w:cs="Courier New" w:eastAsia="Courier New" w:hAnsi="Courier New"/>
          <w:color w:val="2D6E3A"/>
          <w:sz w:val="20"/>
          <w:szCs w:val="20"/>
        </w:rPr>
        <w:t xml:space="preserve">        reviewer_notes: 'Classic sodalite habit...',</w:t>
      </w:r>
    </w:p>
    <w:p>
      <w:pPr>
        <w:spacing w:after="60" w:before="60"/>
        <w:ind w:left="720"/>
      </w:pPr>
      <w:r>
        <w:rPr>
          <w:rFonts w:ascii="Courier New" w:cs="Courier New" w:eastAsia="Courier New" w:hAnsi="Courier New"/>
          <w:color w:val="2D6E3A"/>
          <w:sz w:val="20"/>
          <w:szCs w:val="20"/>
        </w:rPr>
        <w:t xml:space="preserve">        digby_site_slug: 'bancroft-sodalite-hill'</w:t>
      </w:r>
    </w:p>
    <w:p>
      <w:pPr>
        <w:spacing w:after="60" w:before="60"/>
        <w:ind w:left="720"/>
      </w:pPr>
      <w:r>
        <w:rPr>
          <w:rFonts w:ascii="Courier New" w:cs="Courier New" w:eastAsia="Courier New" w:hAnsi="Courier New"/>
          <w:color w:val="2D6E3A"/>
          <w:sz w:val="20"/>
          <w:szCs w:val="20"/>
        </w:rPr>
        <w:t xml:space="preserve">      }</w:t>
      </w:r>
    </w:p>
    <w:p>
      <w:pPr>
        <w:spacing w:after="60" w:before="60"/>
        <w:ind w:left="720"/>
      </w:pPr>
      <w:r>
        <w:rPr>
          <w:rFonts w:ascii="Courier New" w:cs="Courier New" w:eastAsia="Courier New" w:hAnsi="Courier New"/>
          <w:color w:val="2D6E3A"/>
          <w:sz w:val="20"/>
          <w:szCs w:val="20"/>
        </w:rPr>
        <w:t xml:space="preserve">    }</w:t>
      </w:r>
    </w:p>
    <w:p>
      <w:pPr>
        <w:spacing w:after="60" w:before="60"/>
        <w:ind w:left="720"/>
      </w:pPr>
      <w:r>
        <w:rPr>
          <w:rFonts w:ascii="Courier New" w:cs="Courier New" w:eastAsia="Courier New" w:hAnsi="Courier New"/>
          <w:color w:val="2D6E3A"/>
          <w:sz w:val="20"/>
          <w:szCs w:val="20"/>
        </w:rPr>
        <w:t xml:space="preserve">  ]</w:t>
      </w:r>
    </w:p>
    <w:p>
      <w:pPr>
        <w:spacing w:after="60" w:before="60"/>
        <w:ind w:left="720"/>
      </w:pPr>
      <w:r>
        <w:rPr>
          <w:rFonts w:ascii="Courier New" w:cs="Courier New" w:eastAsia="Courier New" w:hAnsi="Courier New"/>
          <w:color w:val="2D6E3A"/>
          <w:sz w:val="20"/>
          <w:szCs w:val="20"/>
        </w:rPr>
        <w:t xml:space="preserve">}</w:t>
      </w:r>
    </w:p>
    <w:p>
      <w:pPr>
        <w:pStyle w:val="Heading2"/>
        <w:spacing w:after="130" w:before="340"/>
      </w:pPr>
      <w:r>
        <w:rPr>
          <w:rFonts w:ascii="Arial" w:cs="Arial" w:eastAsia="Arial" w:hAnsi="Arial"/>
          <w:b/>
          <w:bCs/>
          <w:color w:val="2D6E8E"/>
          <w:sz w:val="27"/>
          <w:szCs w:val="27"/>
        </w:rPr>
        <w:t xml:space="preserve">API Documentation</w:t>
      </w:r>
    </w:p>
    <w:p>
      <w:pPr>
        <w:spacing w:after="120" w:before="80"/>
      </w:pPr>
      <w:r>
        <w:rPr>
          <w:rFonts w:ascii="Arial" w:cs="Arial" w:eastAsia="Arial" w:hAnsi="Arial"/>
          <w:color w:val="1A1A2E"/>
          <w:sz w:val="22"/>
          <w:szCs w:val="22"/>
        </w:rPr>
        <w:t xml:space="preserve">The API must ship with complete documentation. Use OpenAPI 3.0 spec and serve it at /api/v1/docs as an interactive Swagger UI. The documentation is not optional — an undocumented API is not a professional tool.</w:t>
      </w:r>
    </w:p>
    <w:p>
      <w:pPr>
        <w:pStyle w:val="ListParagraph"/>
        <w:numPr>
          <w:ilvl w:val="0"/>
          <w:numId w:val="2"/>
        </w:numPr>
        <w:spacing w:after="60" w:before="60"/>
      </w:pPr>
      <w:r>
        <w:rPr>
          <w:rFonts w:ascii="Arial" w:cs="Arial" w:eastAsia="Arial" w:hAnsi="Arial"/>
          <w:color w:val="1A1A2E"/>
          <w:sz w:val="22"/>
          <w:szCs w:val="22"/>
        </w:rPr>
        <w:t xml:space="preserve">Every endpoint documented with: description, parameters (name, type, required, description, example), response schema, example request, example response</w:t>
      </w:r>
    </w:p>
    <w:p>
      <w:pPr>
        <w:pStyle w:val="ListParagraph"/>
        <w:numPr>
          <w:ilvl w:val="0"/>
          <w:numId w:val="2"/>
        </w:numPr>
        <w:spacing w:after="60" w:before="60"/>
      </w:pPr>
      <w:r>
        <w:rPr>
          <w:rFonts w:ascii="Arial" w:cs="Arial" w:eastAsia="Arial" w:hAnsi="Arial"/>
          <w:color w:val="1A1A2E"/>
          <w:sz w:val="22"/>
          <w:szCs w:val="22"/>
        </w:rPr>
        <w:t xml:space="preserve">Authentication documented clearly with code examples in Python, JavaScript, and curl</w:t>
      </w:r>
    </w:p>
    <w:p>
      <w:pPr>
        <w:pStyle w:val="ListParagraph"/>
        <w:numPr>
          <w:ilvl w:val="0"/>
          <w:numId w:val="2"/>
        </w:numPr>
        <w:spacing w:after="60" w:before="60"/>
      </w:pPr>
      <w:r>
        <w:rPr>
          <w:rFonts w:ascii="Arial" w:cs="Arial" w:eastAsia="Arial" w:hAnsi="Arial"/>
          <w:color w:val="1A1A2E"/>
          <w:sz w:val="22"/>
          <w:szCs w:val="22"/>
        </w:rPr>
        <w:t xml:space="preserve">Rate limit behaviour documented including how to handle 429 responses</w:t>
      </w:r>
    </w:p>
    <w:p>
      <w:pPr>
        <w:pStyle w:val="ListParagraph"/>
        <w:numPr>
          <w:ilvl w:val="0"/>
          <w:numId w:val="2"/>
        </w:numPr>
        <w:spacing w:after="60" w:before="60"/>
      </w:pPr>
      <w:r>
        <w:rPr>
          <w:rFonts w:ascii="Arial" w:cs="Arial" w:eastAsia="Arial" w:hAnsi="Arial"/>
          <w:color w:val="1A1A2E"/>
          <w:sz w:val="22"/>
          <w:szCs w:val="22"/>
        </w:rPr>
        <w:t xml:space="preserve">Changelog maintained at /api/v1/changelog</w:t>
      </w:r>
    </w:p>
    <w:p>
      <w:pPr>
        <w:pStyle w:val="ListParagraph"/>
        <w:numPr>
          <w:ilvl w:val="0"/>
          <w:numId w:val="2"/>
        </w:numPr>
        <w:spacing w:after="60" w:before="60"/>
      </w:pPr>
      <w:r>
        <w:rPr>
          <w:rFonts w:ascii="Arial" w:cs="Arial" w:eastAsia="Arial" w:hAnsi="Arial"/>
          <w:color w:val="1A1A2E"/>
          <w:sz w:val="22"/>
          <w:szCs w:val="22"/>
        </w:rPr>
        <w:t xml:space="preserve">Versioning: /api/v1/ is the current version. Breaking changes get a new version prefix, not silent updates.</w:t>
      </w:r>
    </w:p>
    <w:p>
      <w:pPr>
        <w:pBdr>
          <w:left w:val="single" w:color="2D6E8E" w:sz="12" w:space="8"/>
        </w:pBdr>
        <w:spacing w:after="140" w:before="140"/>
        <w:ind w:left="360"/>
      </w:pPr>
      <w:r>
        <w:rPr>
          <w:rFonts w:ascii="Arial" w:cs="Arial" w:eastAsia="Arial" w:hAnsi="Arial"/>
          <w:i/>
          <w:iCs/>
          <w:color w:val="444455"/>
          <w:sz w:val="20"/>
          <w:szCs w:val="20"/>
        </w:rPr>
        <w:t xml:space="preserve">The OpenAPI spec should be generated from code, not written manually. Use FastAPI’s built-in OpenAPI generation — it’s already part of the stack.</w:t>
      </w:r>
    </w:p>
    <w:p>
      <w:pPr>
        <w:pStyle w:val="Heading2"/>
        <w:spacing w:after="130" w:before="340"/>
      </w:pPr>
      <w:r>
        <w:rPr>
          <w:rFonts w:ascii="Arial" w:cs="Arial" w:eastAsia="Arial" w:hAnsi="Arial"/>
          <w:b/>
          <w:bCs/>
          <w:color w:val="2D6E8E"/>
          <w:sz w:val="27"/>
          <w:szCs w:val="27"/>
        </w:rPr>
        <w:t xml:space="preserve">Python SDK (v2 consideration)</w:t>
      </w:r>
    </w:p>
    <w:p>
      <w:pPr>
        <w:spacing w:after="120" w:before="80"/>
      </w:pPr>
      <w:r>
        <w:rPr>
          <w:rFonts w:ascii="Arial" w:cs="Arial" w:eastAsia="Arial" w:hAnsi="Arial"/>
          <w:color w:val="1A1A2E"/>
          <w:sz w:val="22"/>
          <w:szCs w:val="22"/>
        </w:rPr>
        <w:t xml:space="preserve">Once the API is stable and has users, a lightweight Python SDK makes digby useful in scientific computing workflows:</w:t>
      </w:r>
    </w:p>
    <w:p>
      <w:pPr>
        <w:spacing w:after="60" w:before="60"/>
        <w:ind w:left="720"/>
      </w:pPr>
      <w:r>
        <w:rPr>
          <w:rFonts w:ascii="Courier New" w:cs="Courier New" w:eastAsia="Courier New" w:hAnsi="Courier New"/>
          <w:color w:val="2D6E3A"/>
          <w:sz w:val="20"/>
          <w:szCs w:val="20"/>
        </w:rPr>
        <w:t xml:space="preserve">pip install digby-sdk</w:t>
      </w:r>
    </w:p>
    <w:p>
      <w:pPr>
        <w:spacing w:after="60" w:before="60"/>
        <w:ind w:left="720"/>
      </w:pPr>
      <w:r>
        <w:rPr>
          <w:rFonts w:ascii="Courier New" w:cs="Courier New" w:eastAsia="Courier New" w:hAnsi="Courier New"/>
          <w:color w:val="2D6E3A"/>
          <w:sz w:val="20"/>
          <w:szCs w:val="20"/>
        </w:rPr>
        <w:t xml:space="preserve"/>
      </w:r>
    </w:p>
    <w:p>
      <w:pPr>
        <w:spacing w:after="60" w:before="60"/>
        <w:ind w:left="720"/>
      </w:pPr>
      <w:r>
        <w:rPr>
          <w:rFonts w:ascii="Courier New" w:cs="Courier New" w:eastAsia="Courier New" w:hAnsi="Courier New"/>
          <w:color w:val="2D6E3A"/>
          <w:sz w:val="20"/>
          <w:szCs w:val="20"/>
        </w:rPr>
        <w:t xml:space="preserve">from digby import DigbyClient</w:t>
      </w:r>
    </w:p>
    <w:p>
      <w:pPr>
        <w:spacing w:after="60" w:before="60"/>
        <w:ind w:left="720"/>
      </w:pPr>
      <w:r>
        <w:rPr>
          <w:rFonts w:ascii="Courier New" w:cs="Courier New" w:eastAsia="Courier New" w:hAnsi="Courier New"/>
          <w:color w:val="2D6E3A"/>
          <w:sz w:val="20"/>
          <w:szCs w:val="20"/>
        </w:rPr>
        <w:t xml:space="preserve"/>
      </w:r>
    </w:p>
    <w:p>
      <w:pPr>
        <w:spacing w:after="60" w:before="60"/>
        <w:ind w:left="720"/>
      </w:pPr>
      <w:r>
        <w:rPr>
          <w:rFonts w:ascii="Courier New" w:cs="Courier New" w:eastAsia="Courier New" w:hAnsi="Courier New"/>
          <w:color w:val="2D6E3A"/>
          <w:sz w:val="20"/>
          <w:szCs w:val="20"/>
        </w:rPr>
        <w:t xml:space="preserve">client = DigbyClient(api_key='your-key')</w:t>
      </w:r>
    </w:p>
    <w:p>
      <w:pPr>
        <w:spacing w:after="60" w:before="60"/>
        <w:ind w:left="720"/>
      </w:pPr>
      <w:r>
        <w:rPr>
          <w:rFonts w:ascii="Courier New" w:cs="Courier New" w:eastAsia="Courier New" w:hAnsi="Courier New"/>
          <w:color w:val="2D6E3A"/>
          <w:sz w:val="20"/>
          <w:szCs w:val="20"/>
        </w:rPr>
        <w:t xml:space="preserve"/>
      </w:r>
    </w:p>
    <w:p>
      <w:pPr>
        <w:spacing w:after="60" w:before="60"/>
        <w:ind w:left="720"/>
      </w:pPr>
      <w:r>
        <w:rPr>
          <w:rFonts w:ascii="Courier New" w:cs="Courier New" w:eastAsia="Courier New" w:hAnsi="Courier New"/>
          <w:color w:val="2D6E3A"/>
          <w:sz w:val="20"/>
          <w:szCs w:val="20"/>
        </w:rPr>
        <w:t xml:space="preserve"># Query sodalite finds in the Grenville Province as a GeoDataFrame</w:t>
      </w:r>
    </w:p>
    <w:p>
      <w:pPr>
        <w:spacing w:after="60" w:before="60"/>
        <w:ind w:left="720"/>
      </w:pPr>
      <w:r>
        <w:rPr>
          <w:rFonts w:ascii="Courier New" w:cs="Courier New" w:eastAsia="Courier New" w:hAnsi="Courier New"/>
          <w:color w:val="2D6E3A"/>
          <w:sz w:val="20"/>
          <w:szCs w:val="20"/>
        </w:rPr>
        <w:t xml:space="preserve">finds = client.finds.query(</w:t>
      </w:r>
    </w:p>
    <w:p>
      <w:pPr>
        <w:spacing w:after="60" w:before="60"/>
        <w:ind w:left="720"/>
      </w:pPr>
      <w:r>
        <w:rPr>
          <w:rFonts w:ascii="Courier New" w:cs="Courier New" w:eastAsia="Courier New" w:hAnsi="Courier New"/>
          <w:color w:val="2D6E3A"/>
          <w:sz w:val="20"/>
          <w:szCs w:val="20"/>
        </w:rPr>
        <w:t xml:space="preserve">    mineral='sodalite',</w:t>
      </w:r>
    </w:p>
    <w:p>
      <w:pPr>
        <w:spacing w:after="60" w:before="60"/>
        <w:ind w:left="720"/>
      </w:pPr>
      <w:r>
        <w:rPr>
          <w:rFonts w:ascii="Courier New" w:cs="Courier New" w:eastAsia="Courier New" w:hAnsi="Courier New"/>
          <w:color w:val="2D6E3A"/>
          <w:sz w:val="20"/>
          <w:szCs w:val="20"/>
        </w:rPr>
        <w:t xml:space="preserve">    province='grenville',</w:t>
      </w:r>
    </w:p>
    <w:p>
      <w:pPr>
        <w:spacing w:after="60" w:before="60"/>
        <w:ind w:left="720"/>
      </w:pPr>
      <w:r>
        <w:rPr>
          <w:rFonts w:ascii="Courier New" w:cs="Courier New" w:eastAsia="Courier New" w:hAnsi="Courier New"/>
          <w:color w:val="2D6E3A"/>
          <w:sz w:val="20"/>
          <w:szCs w:val="20"/>
        </w:rPr>
        <w:t xml:space="preserve">    status='community_verified'</w:t>
      </w:r>
    </w:p>
    <w:p>
      <w:pPr>
        <w:spacing w:after="60" w:before="60"/>
        <w:ind w:left="720"/>
      </w:pPr>
      <w:r>
        <w:rPr>
          <w:rFonts w:ascii="Courier New" w:cs="Courier New" w:eastAsia="Courier New" w:hAnsi="Courier New"/>
          <w:color w:val="2D6E3A"/>
          <w:sz w:val="20"/>
          <w:szCs w:val="20"/>
        </w:rPr>
        <w:t xml:space="preserve">).to_geodataframe()</w:t>
      </w:r>
    </w:p>
    <w:p>
      <w:pPr>
        <w:spacing w:after="60" w:before="60"/>
        <w:ind w:left="720"/>
      </w:pPr>
      <w:r>
        <w:rPr>
          <w:rFonts w:ascii="Courier New" w:cs="Courier New" w:eastAsia="Courier New" w:hAnsi="Courier New"/>
          <w:color w:val="2D6E3A"/>
          <w:sz w:val="20"/>
          <w:szCs w:val="20"/>
        </w:rPr>
        <w:t xml:space="preserve"/>
      </w:r>
    </w:p>
    <w:p>
      <w:pPr>
        <w:spacing w:after="60" w:before="60"/>
        <w:ind w:left="720"/>
      </w:pPr>
      <w:r>
        <w:rPr>
          <w:rFonts w:ascii="Courier New" w:cs="Courier New" w:eastAsia="Courier New" w:hAnsi="Courier New"/>
          <w:color w:val="2D6E3A"/>
          <w:sz w:val="20"/>
          <w:szCs w:val="20"/>
        </w:rPr>
        <w:t xml:space="preserve"># Export to shapefile</w:t>
      </w:r>
    </w:p>
    <w:p>
      <w:pPr>
        <w:spacing w:after="60" w:before="60"/>
        <w:ind w:left="720"/>
      </w:pPr>
      <w:r>
        <w:rPr>
          <w:rFonts w:ascii="Courier New" w:cs="Courier New" w:eastAsia="Courier New" w:hAnsi="Courier New"/>
          <w:color w:val="2D6E3A"/>
          <w:sz w:val="20"/>
          <w:szCs w:val="20"/>
        </w:rPr>
        <w:t xml:space="preserve">finds.to_file('sodalite_grenville.shp')</w:t>
      </w:r>
    </w:p>
    <w:p>
      <w:pPr>
        <w:spacing w:after="120" w:before="80"/>
      </w:pPr>
      <w:r>
        <w:rPr>
          <w:rFonts w:ascii="Arial" w:cs="Arial" w:eastAsia="Arial" w:hAnsi="Arial"/>
          <w:color w:val="1A1A2E"/>
          <w:sz w:val="22"/>
          <w:szCs w:val="22"/>
        </w:rPr>
        <w:t xml:space="preserve">This is not a v1 item but design the API with it in mind. Clean, consistent parameter naming and predictable response shapes make SDK development trivial.</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6: Advanced Map Tools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GIS-grade map tools overlaid on the geology map for expert users</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Medium — after geology map v1 is live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Verified Expert tier and above</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Spatial analysis without leaving the platform</w:t>
            </w:r>
          </w:p>
        </w:tc>
      </w:tr>
    </w:tbl>
    <w:p>
      <w:pPr>
        <w:spacing w:after="0" w:before="0"/>
      </w:pPr>
    </w:p>
    <w:p>
      <w:pPr>
        <w:pStyle w:val="Heading2"/>
        <w:spacing w:after="130" w:before="340"/>
      </w:pPr>
      <w:r>
        <w:rPr>
          <w:rFonts w:ascii="Arial" w:cs="Arial" w:eastAsia="Arial" w:hAnsi="Arial"/>
          <w:b/>
          <w:bCs/>
          <w:color w:val="2D6E8E"/>
          <w:sz w:val="27"/>
          <w:szCs w:val="27"/>
        </w:rPr>
        <w:t xml:space="preserve">Tools</w:t>
      </w:r>
    </w:p>
    <w:p>
      <w:pPr>
        <w:pStyle w:val="ListParagraph"/>
        <w:numPr>
          <w:ilvl w:val="0"/>
          <w:numId w:val="2"/>
        </w:numPr>
        <w:spacing w:after="60" w:before="60"/>
      </w:pPr>
      <w:r>
        <w:rPr>
          <w:rFonts w:ascii="Arial" w:cs="Arial" w:eastAsia="Arial" w:hAnsi="Arial"/>
          <w:color w:val="1A1A2E"/>
          <w:sz w:val="22"/>
          <w:szCs w:val="22"/>
        </w:rPr>
        <w:t xml:space="preserve">Draw a polygon or radius area and instantly see: all finds within it, formation breakdown, mineral distribution, export that subset</w:t>
      </w:r>
    </w:p>
    <w:p>
      <w:pPr>
        <w:pStyle w:val="ListParagraph"/>
        <w:numPr>
          <w:ilvl w:val="0"/>
          <w:numId w:val="2"/>
        </w:numPr>
        <w:spacing w:after="60" w:before="60"/>
      </w:pPr>
      <w:r>
        <w:rPr>
          <w:rFonts w:ascii="Arial" w:cs="Arial" w:eastAsia="Arial" w:hAnsi="Arial"/>
          <w:color w:val="1A1A2E"/>
          <w:sz w:val="22"/>
          <w:szCs w:val="22"/>
        </w:rPr>
        <w:t xml:space="preserve">Cross-section tool: draw a line across the map and see a simplified geological cross-section based on the OGS formation data</w:t>
      </w:r>
    </w:p>
    <w:p>
      <w:pPr>
        <w:pStyle w:val="ListParagraph"/>
        <w:numPr>
          <w:ilvl w:val="0"/>
          <w:numId w:val="2"/>
        </w:numPr>
        <w:spacing w:after="60" w:before="60"/>
      </w:pPr>
      <w:r>
        <w:rPr>
          <w:rFonts w:ascii="Arial" w:cs="Arial" w:eastAsia="Arial" w:hAnsi="Arial"/>
          <w:color w:val="1A1A2E"/>
          <w:sz w:val="22"/>
          <w:szCs w:val="22"/>
        </w:rPr>
        <w:t xml:space="preserve">Distance and area measurement tools</w:t>
      </w:r>
    </w:p>
    <w:p>
      <w:pPr>
        <w:pStyle w:val="ListParagraph"/>
        <w:numPr>
          <w:ilvl w:val="0"/>
          <w:numId w:val="2"/>
        </w:numPr>
        <w:spacing w:after="60" w:before="60"/>
      </w:pPr>
      <w:r>
        <w:rPr>
          <w:rFonts w:ascii="Arial" w:cs="Arial" w:eastAsia="Arial" w:hAnsi="Arial"/>
          <w:color w:val="1A1A2E"/>
          <w:sz w:val="22"/>
          <w:szCs w:val="22"/>
        </w:rPr>
        <w:t xml:space="preserve">Coordinate display and copy (decimal degrees and UTM Zone 17N — the standard for Ontario fieldwork)</w:t>
      </w:r>
    </w:p>
    <w:p>
      <w:pPr>
        <w:pStyle w:val="ListParagraph"/>
        <w:numPr>
          <w:ilvl w:val="0"/>
          <w:numId w:val="2"/>
        </w:numPr>
        <w:spacing w:after="60" w:before="60"/>
      </w:pPr>
      <w:r>
        <w:rPr>
          <w:rFonts w:ascii="Arial" w:cs="Arial" w:eastAsia="Arial" w:hAnsi="Arial"/>
          <w:color w:val="1A1A2E"/>
          <w:sz w:val="22"/>
          <w:szCs w:val="22"/>
        </w:rPr>
        <w:t xml:space="preserve">Custom layer upload: user can upload their own GeoJSON or KML to overlay on the geology map — useful for professionals bringing their own site data</w:t>
      </w:r>
    </w:p>
    <w:p>
      <w:pPr>
        <w:pStyle w:val="ListParagraph"/>
        <w:numPr>
          <w:ilvl w:val="0"/>
          <w:numId w:val="2"/>
        </w:numPr>
        <w:spacing w:after="60" w:before="60"/>
      </w:pPr>
      <w:r>
        <w:rPr>
          <w:rFonts w:ascii="Arial" w:cs="Arial" w:eastAsia="Arial" w:hAnsi="Arial"/>
          <w:color w:val="1A1A2E"/>
          <w:sz w:val="22"/>
          <w:szCs w:val="22"/>
        </w:rPr>
        <w:t xml:space="preserve">Print / export map view as georeferenced PDF or PNG for field use</w:t>
      </w:r>
    </w:p>
    <w:p>
      <w:pPr>
        <w:pStyle w:val="ListParagraph"/>
        <w:numPr>
          <w:ilvl w:val="0"/>
          <w:numId w:val="2"/>
        </w:numPr>
        <w:spacing w:after="60" w:before="60"/>
      </w:pPr>
      <w:r>
        <w:rPr>
          <w:rFonts w:ascii="Arial" w:cs="Arial" w:eastAsia="Arial" w:hAnsi="Arial"/>
          <w:color w:val="1A1A2E"/>
          <w:sz w:val="22"/>
          <w:szCs w:val="22"/>
        </w:rPr>
        <w:t xml:space="preserve">Grid overlay: UTM grid, township grid, or degree/minute grid selectable</w:t>
      </w:r>
    </w:p>
    <w:p>
      <w:pPr>
        <w:pStyle w:val="Heading2"/>
        <w:spacing w:after="130" w:before="340"/>
      </w:pPr>
      <w:r>
        <w:rPr>
          <w:rFonts w:ascii="Arial" w:cs="Arial" w:eastAsia="Arial" w:hAnsi="Arial"/>
          <w:b/>
          <w:bCs/>
          <w:color w:val="2D6E8E"/>
          <w:sz w:val="27"/>
          <w:szCs w:val="27"/>
        </w:rPr>
        <w:t xml:space="preserve">Field Mode</w:t>
      </w:r>
    </w:p>
    <w:p>
      <w:pPr>
        <w:spacing w:after="120" w:before="80"/>
      </w:pPr>
      <w:r>
        <w:rPr>
          <w:rFonts w:ascii="Arial" w:cs="Arial" w:eastAsia="Arial" w:hAnsi="Arial"/>
          <w:color w:val="1A1A2E"/>
          <w:sz w:val="22"/>
          <w:szCs w:val="22"/>
        </w:rPr>
        <w:t xml:space="preserve">A stripped-down mobile map view optimised for field use:</w:t>
      </w:r>
    </w:p>
    <w:p>
      <w:pPr>
        <w:pStyle w:val="ListParagraph"/>
        <w:numPr>
          <w:ilvl w:val="0"/>
          <w:numId w:val="2"/>
        </w:numPr>
        <w:spacing w:after="60" w:before="60"/>
      </w:pPr>
      <w:r>
        <w:rPr>
          <w:rFonts w:ascii="Arial" w:cs="Arial" w:eastAsia="Arial" w:hAnsi="Arial"/>
          <w:color w:val="1A1A2E"/>
          <w:sz w:val="22"/>
          <w:szCs w:val="22"/>
        </w:rPr>
        <w:t xml:space="preserve">GPS “my location” with high accuracy mode</w:t>
      </w:r>
    </w:p>
    <w:p>
      <w:pPr>
        <w:pStyle w:val="ListParagraph"/>
        <w:numPr>
          <w:ilvl w:val="0"/>
          <w:numId w:val="2"/>
        </w:numPr>
        <w:spacing w:after="60" w:before="60"/>
      </w:pPr>
      <w:r>
        <w:rPr>
          <w:rFonts w:ascii="Arial" w:cs="Arial" w:eastAsia="Arial" w:hAnsi="Arial"/>
          <w:color w:val="1A1A2E"/>
          <w:sz w:val="22"/>
          <w:szCs w:val="22"/>
        </w:rPr>
        <w:t xml:space="preserve">Current formation displayed prominently based on GPS position — “You are on: Bancroft Marble, Grenville Province”</w:t>
      </w:r>
    </w:p>
    <w:p>
      <w:pPr>
        <w:pStyle w:val="ListParagraph"/>
        <w:numPr>
          <w:ilvl w:val="0"/>
          <w:numId w:val="2"/>
        </w:numPr>
        <w:spacing w:after="60" w:before="60"/>
      </w:pPr>
      <w:r>
        <w:rPr>
          <w:rFonts w:ascii="Arial" w:cs="Arial" w:eastAsia="Arial" w:hAnsi="Arial"/>
          <w:color w:val="1A1A2E"/>
          <w:sz w:val="22"/>
          <w:szCs w:val="22"/>
        </w:rPr>
        <w:t xml:space="preserve">Nearby digby sites and known mineral occurrences within configurable radius</w:t>
      </w:r>
    </w:p>
    <w:p>
      <w:pPr>
        <w:pStyle w:val="ListParagraph"/>
        <w:numPr>
          <w:ilvl w:val="0"/>
          <w:numId w:val="2"/>
        </w:numPr>
        <w:spacing w:after="60" w:before="60"/>
      </w:pPr>
      <w:r>
        <w:rPr>
          <w:rFonts w:ascii="Arial" w:cs="Arial" w:eastAsia="Arial" w:hAnsi="Arial"/>
          <w:color w:val="1A1A2E"/>
          <w:sz w:val="22"/>
          <w:szCs w:val="22"/>
        </w:rPr>
        <w:t xml:space="preserve">Quick-log button: tap to open a pre-populated find log with current GPS and formation auto-filled</w:t>
      </w:r>
    </w:p>
    <w:p>
      <w:pPr>
        <w:pStyle w:val="ListParagraph"/>
        <w:numPr>
          <w:ilvl w:val="0"/>
          <w:numId w:val="2"/>
        </w:numPr>
        <w:spacing w:after="60" w:before="60"/>
      </w:pPr>
      <w:r>
        <w:rPr>
          <w:rFonts w:ascii="Arial" w:cs="Arial" w:eastAsia="Arial" w:hAnsi="Arial"/>
          <w:color w:val="1A1A2E"/>
          <w:sz w:val="22"/>
          <w:szCs w:val="22"/>
        </w:rPr>
        <w:t xml:space="preserve">Offline mode: cache the geology map tiles and formation data for the current viewport before going into the field. No network required once cached.</w:t>
      </w:r>
    </w:p>
    <w:p>
      <w:pPr>
        <w:pBdr>
          <w:left w:val="single" w:color="2D6E8E" w:sz="12" w:space="8"/>
        </w:pBdr>
        <w:spacing w:after="140" w:before="140"/>
        <w:ind w:left="360"/>
      </w:pPr>
      <w:r>
        <w:rPr>
          <w:rFonts w:ascii="Arial" w:cs="Arial" w:eastAsia="Arial" w:hAnsi="Arial"/>
          <w:i/>
          <w:iCs/>
          <w:color w:val="444455"/>
          <w:sz w:val="20"/>
          <w:szCs w:val="20"/>
        </w:rPr>
        <w:t xml:space="preserve">Offline mode is the single most requested feature from field-active users. It requires thoughtful implementation — Mapbox GL supports offline tile caching with a paid plan. Design for it in v1 even if you ship it in v2.</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Feature 7: Expert Community &amp; Knowledge Base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What it is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A professional community layer: discussion, site reporting, and knowledge documentation</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Build priority</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Low-medium — community features require critical mass to work</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Access</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Verified Expert tier for posting; all users can read</w:t>
            </w:r>
          </w:p>
        </w:tc>
      </w:tr>
      <w:tr>
        <w:tc>
          <w:tcPr>
            <w:tcW w:type="dxa" w:w="2520"/>
            <w:tcBorders>
              <w:top w:val="single" w:color="CCCCDD" w:sz="1"/>
              <w:left w:val="single" w:color="CCCCDD" w:sz="1"/>
              <w:bottom w:val="single" w:color="CCCCDD" w:sz="1"/>
              <w:right w:val="single" w:color="CCCCDD" w:sz="1"/>
            </w:tcBorders>
            <w:shd w:fill="E8EEF4" w:val="clear"/>
            <w:tcMar>
              <w:top w:type="dxa" w:w="80"/>
              <w:left w:type="dxa" w:w="120"/>
              <w:bottom w:type="dxa" w:w="80"/>
              <w:right w:type="dxa" w:w="120"/>
            </w:tcMar>
          </w:tcPr>
          <w:p>
            <w:r>
              <w:rPr>
                <w:rFonts w:ascii="Arial" w:cs="Arial" w:eastAsia="Arial" w:hAnsi="Arial"/>
                <w:b/>
                <w:bCs/>
                <w:color w:val="2D6E8E"/>
                <w:sz w:val="20"/>
                <w:szCs w:val="20"/>
              </w:rPr>
              <w:t xml:space="preserve">Audience value</w:t>
            </w:r>
          </w:p>
        </w:tc>
        <w:tc>
          <w:tcPr>
            <w:tcW w:type="dxa" w:w="6840"/>
            <w:tcBorders>
              <w:top w:val="single" w:color="CCCCDD" w:sz="1"/>
              <w:left w:val="single" w:color="CCCCDD" w:sz="1"/>
              <w:bottom w:val="single" w:color="CCCCDD" w:sz="1"/>
              <w:right w:val="single" w:color="CCCCDD" w:sz="1"/>
            </w:tcBorders>
            <w:tcMar>
              <w:top w:type="dxa" w:w="80"/>
              <w:left w:type="dxa" w:w="120"/>
              <w:bottom w:type="dxa" w:w="80"/>
              <w:right w:type="dxa" w:w="120"/>
            </w:tcMar>
          </w:tcPr>
          <w:p>
            <w:r>
              <w:rPr>
                <w:rFonts w:ascii="Arial" w:cs="Arial" w:eastAsia="Arial" w:hAnsi="Arial"/>
                <w:color w:val="1A1A2E"/>
                <w:sz w:val="20"/>
                <w:szCs w:val="20"/>
              </w:rPr>
              <w:t xml:space="preserve">Peer connection, tacit knowledge capture, professional community</w:t>
            </w:r>
          </w:p>
        </w:tc>
      </w:tr>
    </w:tbl>
    <w:p>
      <w:pPr>
        <w:spacing w:after="0" w:before="0"/>
      </w:pPr>
    </w:p>
    <w:p>
      <w:pPr>
        <w:pStyle w:val="Heading2"/>
        <w:spacing w:after="130" w:before="340"/>
      </w:pPr>
      <w:r>
        <w:rPr>
          <w:rFonts w:ascii="Arial" w:cs="Arial" w:eastAsia="Arial" w:hAnsi="Arial"/>
          <w:b/>
          <w:bCs/>
          <w:color w:val="2D6E8E"/>
          <w:sz w:val="27"/>
          <w:szCs w:val="27"/>
        </w:rPr>
        <w:t xml:space="preserve">Site Condition Reports</w:t>
      </w:r>
    </w:p>
    <w:p>
      <w:pPr>
        <w:spacing w:after="120" w:before="80"/>
      </w:pPr>
      <w:r>
        <w:rPr>
          <w:rFonts w:ascii="Arial" w:cs="Arial" w:eastAsia="Arial" w:hAnsi="Arial"/>
          <w:color w:val="1A1A2E"/>
          <w:sz w:val="22"/>
          <w:szCs w:val="22"/>
        </w:rPr>
        <w:t xml:space="preserve">Expert users can submit structured site condition reports for any digby site or any Ontario locality:</w:t>
      </w:r>
    </w:p>
    <w:p>
      <w:pPr>
        <w:pStyle w:val="ListParagraph"/>
        <w:numPr>
          <w:ilvl w:val="0"/>
          <w:numId w:val="2"/>
        </w:numPr>
        <w:spacing w:after="60" w:before="60"/>
      </w:pPr>
      <w:r>
        <w:rPr>
          <w:rFonts w:ascii="Arial" w:cs="Arial" w:eastAsia="Arial" w:hAnsi="Arial"/>
          <w:color w:val="1A1A2E"/>
          <w:sz w:val="22"/>
          <w:szCs w:val="22"/>
        </w:rPr>
        <w:t xml:space="preserve">Access conditions: road quality, parking, seasonal restrictions</w:t>
      </w:r>
    </w:p>
    <w:p>
      <w:pPr>
        <w:pStyle w:val="ListParagraph"/>
        <w:numPr>
          <w:ilvl w:val="0"/>
          <w:numId w:val="2"/>
        </w:numPr>
        <w:spacing w:after="60" w:before="60"/>
      </w:pPr>
      <w:r>
        <w:rPr>
          <w:rFonts w:ascii="Arial" w:cs="Arial" w:eastAsia="Arial" w:hAnsi="Arial"/>
          <w:color w:val="1A1A2E"/>
          <w:sz w:val="22"/>
          <w:szCs w:val="22"/>
        </w:rPr>
        <w:t xml:space="preserve">Recent geological observations: active weathering exposures, new road cuts, disturbed ground</w:t>
      </w:r>
    </w:p>
    <w:p>
      <w:pPr>
        <w:pStyle w:val="ListParagraph"/>
        <w:numPr>
          <w:ilvl w:val="0"/>
          <w:numId w:val="2"/>
        </w:numPr>
        <w:spacing w:after="60" w:before="60"/>
      </w:pPr>
      <w:r>
        <w:rPr>
          <w:rFonts w:ascii="Arial" w:cs="Arial" w:eastAsia="Arial" w:hAnsi="Arial"/>
          <w:color w:val="1A1A2E"/>
          <w:sz w:val="22"/>
          <w:szCs w:val="22"/>
        </w:rPr>
        <w:t xml:space="preserve">Safety notes: unstable ground, flooding risk, hazardous materials</w:t>
      </w:r>
    </w:p>
    <w:p>
      <w:pPr>
        <w:pStyle w:val="ListParagraph"/>
        <w:numPr>
          <w:ilvl w:val="0"/>
          <w:numId w:val="2"/>
        </w:numPr>
        <w:spacing w:after="60" w:before="60"/>
      </w:pPr>
      <w:r>
        <w:rPr>
          <w:rFonts w:ascii="Arial" w:cs="Arial" w:eastAsia="Arial" w:hAnsi="Arial"/>
          <w:color w:val="1A1A2E"/>
          <w:sz w:val="22"/>
          <w:szCs w:val="22"/>
        </w:rPr>
        <w:t xml:space="preserve">Find quality: what’s been recently productive, what appears depleted</w:t>
      </w:r>
    </w:p>
    <w:p>
      <w:pPr>
        <w:spacing w:after="120" w:before="80"/>
      </w:pPr>
      <w:r>
        <w:rPr>
          <w:rFonts w:ascii="Arial" w:cs="Arial" w:eastAsia="Arial" w:hAnsi="Arial"/>
          <w:color w:val="1A1A2E"/>
          <w:sz w:val="22"/>
          <w:szCs w:val="22"/>
        </w:rPr>
        <w:t xml:space="preserve">These reports are time-stamped, attributed to the submitter’s credential tier, and displayed on site pages and the geology map. A P.Geo reporting on site conditions carries more weight than an anonymous tip.</w:t>
      </w:r>
    </w:p>
    <w:p>
      <w:pPr>
        <w:pStyle w:val="Heading2"/>
        <w:spacing w:after="130" w:before="340"/>
      </w:pPr>
      <w:r>
        <w:rPr>
          <w:rFonts w:ascii="Arial" w:cs="Arial" w:eastAsia="Arial" w:hAnsi="Arial"/>
          <w:b/>
          <w:bCs/>
          <w:color w:val="2D6E8E"/>
          <w:sz w:val="27"/>
          <w:szCs w:val="27"/>
        </w:rPr>
        <w:t xml:space="preserve">Formation Notes</w:t>
      </w:r>
    </w:p>
    <w:p>
      <w:pPr>
        <w:spacing w:after="120" w:before="80"/>
      </w:pPr>
      <w:r>
        <w:rPr>
          <w:rFonts w:ascii="Arial" w:cs="Arial" w:eastAsia="Arial" w:hAnsi="Arial"/>
          <w:color w:val="1A1A2E"/>
          <w:sz w:val="22"/>
          <w:szCs w:val="22"/>
        </w:rPr>
        <w:t xml:space="preserve">A wiki-style knowledge base for Ontario formations, editable by Community Reviewer tier and above. Each formation page can accumulate:</w:t>
      </w:r>
    </w:p>
    <w:p>
      <w:pPr>
        <w:pStyle w:val="ListParagraph"/>
        <w:numPr>
          <w:ilvl w:val="0"/>
          <w:numId w:val="2"/>
        </w:numPr>
        <w:spacing w:after="60" w:before="60"/>
      </w:pPr>
      <w:r>
        <w:rPr>
          <w:rFonts w:ascii="Arial" w:cs="Arial" w:eastAsia="Arial" w:hAnsi="Arial"/>
          <w:color w:val="1A1A2E"/>
          <w:sz w:val="22"/>
          <w:szCs w:val="22"/>
        </w:rPr>
        <w:t xml:space="preserve">Field identification tips specific to that formation</w:t>
      </w:r>
    </w:p>
    <w:p>
      <w:pPr>
        <w:pStyle w:val="ListParagraph"/>
        <w:numPr>
          <w:ilvl w:val="0"/>
          <w:numId w:val="2"/>
        </w:numPr>
        <w:spacing w:after="60" w:before="60"/>
      </w:pPr>
      <w:r>
        <w:rPr>
          <w:rFonts w:ascii="Arial" w:cs="Arial" w:eastAsia="Arial" w:hAnsi="Arial"/>
          <w:color w:val="1A1A2E"/>
          <w:sz w:val="22"/>
          <w:szCs w:val="22"/>
        </w:rPr>
        <w:t xml:space="preserve">Known mineral associations beyond the OGS MDI</w:t>
      </w:r>
    </w:p>
    <w:p>
      <w:pPr>
        <w:pStyle w:val="ListParagraph"/>
        <w:numPr>
          <w:ilvl w:val="0"/>
          <w:numId w:val="2"/>
        </w:numPr>
        <w:spacing w:after="60" w:before="60"/>
      </w:pPr>
      <w:r>
        <w:rPr>
          <w:rFonts w:ascii="Arial" w:cs="Arial" w:eastAsia="Arial" w:hAnsi="Arial"/>
          <w:color w:val="1A1A2E"/>
          <w:sz w:val="22"/>
          <w:szCs w:val="22"/>
        </w:rPr>
        <w:t xml:space="preserve">Access and logistics notes for productive outcrops</w:t>
      </w:r>
    </w:p>
    <w:p>
      <w:pPr>
        <w:pStyle w:val="ListParagraph"/>
        <w:numPr>
          <w:ilvl w:val="0"/>
          <w:numId w:val="2"/>
        </w:numPr>
        <w:spacing w:after="60" w:before="60"/>
      </w:pPr>
      <w:r>
        <w:rPr>
          <w:rFonts w:ascii="Arial" w:cs="Arial" w:eastAsia="Arial" w:hAnsi="Arial"/>
          <w:color w:val="1A1A2E"/>
          <w:sz w:val="22"/>
          <w:szCs w:val="22"/>
        </w:rPr>
        <w:t xml:space="preserve">References to published literature</w:t>
      </w:r>
    </w:p>
    <w:p>
      <w:pPr>
        <w:pStyle w:val="ListParagraph"/>
        <w:numPr>
          <w:ilvl w:val="0"/>
          <w:numId w:val="2"/>
        </w:numPr>
        <w:spacing w:after="60" w:before="60"/>
      </w:pPr>
      <w:r>
        <w:rPr>
          <w:rFonts w:ascii="Arial" w:cs="Arial" w:eastAsia="Arial" w:hAnsi="Arial"/>
          <w:color w:val="1A1A2E"/>
          <w:sz w:val="22"/>
          <w:szCs w:val="22"/>
        </w:rPr>
        <w:t xml:space="preserve">Links to notable finds logged from that formation in the digby dataset</w:t>
      </w:r>
    </w:p>
    <w:p>
      <w:pPr>
        <w:spacing w:after="120" w:before="80"/>
      </w:pPr>
      <w:r>
        <w:rPr>
          <w:rFonts w:ascii="Arial" w:cs="Arial" w:eastAsia="Arial" w:hAnsi="Arial"/>
          <w:color w:val="1A1A2E"/>
          <w:sz w:val="22"/>
          <w:szCs w:val="22"/>
        </w:rPr>
        <w:t xml:space="preserve">This is the tacit knowledge capture mechanism. The retired OGS geologist who knows every productive outcrop in the Grenville Province has nowhere to put that knowledge right now. Formation notes give it a home.</w:t>
      </w:r>
    </w:p>
    <w:p>
      <w:pPr>
        <w:pStyle w:val="Heading2"/>
        <w:spacing w:after="130" w:before="340"/>
      </w:pPr>
      <w:r>
        <w:rPr>
          <w:rFonts w:ascii="Arial" w:cs="Arial" w:eastAsia="Arial" w:hAnsi="Arial"/>
          <w:b/>
          <w:bCs/>
          <w:color w:val="2D6E8E"/>
          <w:sz w:val="27"/>
          <w:szCs w:val="27"/>
        </w:rPr>
        <w:t xml:space="preserve">Expert Discussion</w:t>
      </w:r>
    </w:p>
    <w:p>
      <w:pPr>
        <w:spacing w:after="120" w:before="80"/>
      </w:pPr>
      <w:r>
        <w:rPr>
          <w:rFonts w:ascii="Arial" w:cs="Arial" w:eastAsia="Arial" w:hAnsi="Arial"/>
          <w:color w:val="1A1A2E"/>
          <w:sz w:val="22"/>
          <w:szCs w:val="22"/>
        </w:rPr>
        <w:t xml:space="preserve">A low-volume, high-quality discussion space for the expert community — not a general forum, not social media. Modelled on a scientific mailing list more than Reddit.</w:t>
      </w:r>
    </w:p>
    <w:p>
      <w:pPr>
        <w:pStyle w:val="ListParagraph"/>
        <w:numPr>
          <w:ilvl w:val="0"/>
          <w:numId w:val="2"/>
        </w:numPr>
        <w:spacing w:after="60" w:before="60"/>
      </w:pPr>
      <w:r>
        <w:rPr>
          <w:rFonts w:ascii="Arial" w:cs="Arial" w:eastAsia="Arial" w:hAnsi="Arial"/>
          <w:color w:val="1A1A2E"/>
          <w:sz w:val="22"/>
          <w:szCs w:val="22"/>
        </w:rPr>
        <w:t xml:space="preserve">Threaded discussions attached to specific formations, minerals, or sites</w:t>
      </w:r>
    </w:p>
    <w:p>
      <w:pPr>
        <w:pStyle w:val="ListParagraph"/>
        <w:numPr>
          <w:ilvl w:val="0"/>
          <w:numId w:val="2"/>
        </w:numPr>
        <w:spacing w:after="60" w:before="60"/>
      </w:pPr>
      <w:r>
        <w:rPr>
          <w:rFonts w:ascii="Arial" w:cs="Arial" w:eastAsia="Arial" w:hAnsi="Arial"/>
          <w:color w:val="1A1A2E"/>
          <w:sz w:val="22"/>
          <w:szCs w:val="22"/>
        </w:rPr>
        <w:t xml:space="preserve">Question and answer format: mark a response as the accepted answer</w:t>
      </w:r>
    </w:p>
    <w:p>
      <w:pPr>
        <w:pStyle w:val="ListParagraph"/>
        <w:numPr>
          <w:ilvl w:val="0"/>
          <w:numId w:val="2"/>
        </w:numPr>
        <w:spacing w:after="60" w:before="60"/>
      </w:pPr>
      <w:r>
        <w:rPr>
          <w:rFonts w:ascii="Arial" w:cs="Arial" w:eastAsia="Arial" w:hAnsi="Arial"/>
          <w:color w:val="1A1A2E"/>
          <w:sz w:val="22"/>
          <w:szCs w:val="22"/>
        </w:rPr>
        <w:t xml:space="preserve">Credential display on all posts — a P.Geo’s answer to a mineralogy question carries visible authority</w:t>
      </w:r>
    </w:p>
    <w:p>
      <w:pPr>
        <w:pStyle w:val="ListParagraph"/>
        <w:numPr>
          <w:ilvl w:val="0"/>
          <w:numId w:val="2"/>
        </w:numPr>
        <w:spacing w:after="60" w:before="60"/>
      </w:pPr>
      <w:r>
        <w:rPr>
          <w:rFonts w:ascii="Arial" w:cs="Arial" w:eastAsia="Arial" w:hAnsi="Arial"/>
          <w:color w:val="1A1A2E"/>
          <w:sz w:val="22"/>
          <w:szCs w:val="22"/>
        </w:rPr>
        <w:t xml:space="preserve">No anonymous posting for expert-tier content</w:t>
      </w:r>
    </w:p>
    <w:p>
      <w:pPr>
        <w:pBdr>
          <w:left w:val="single" w:color="2D6E8E" w:sz="12" w:space="8"/>
        </w:pBdr>
        <w:spacing w:after="140" w:before="140"/>
        <w:ind w:left="360"/>
      </w:pPr>
      <w:r>
        <w:rPr>
          <w:rFonts w:ascii="Arial" w:cs="Arial" w:eastAsia="Arial" w:hAnsi="Arial"/>
          <w:i/>
          <w:iCs/>
          <w:color w:val="444455"/>
          <w:sz w:val="20"/>
          <w:szCs w:val="20"/>
        </w:rPr>
        <w:t xml:space="preserve">Keep this small and high-quality. A busy low-quality forum drives experts away. A quiet, high-signal space keeps them engaged.</w:t>
      </w:r>
    </w:p>
    <w:p>
      <w:pPr>
        <w:pBdr>
          <w:bottom w:val="single" w:color="2D6E8E" w:sz="6" w:space="1"/>
        </w:pBdr>
        <w:spacing w:after="280" w:before="280"/>
      </w:pPr>
    </w:p>
    <w:p>
      <w:pPr>
        <w:pStyle w:val="Heading1"/>
        <w:spacing w:after="180" w:before="520"/>
      </w:pPr>
      <w:r>
        <w:rPr>
          <w:rFonts w:ascii="Arial" w:cs="Arial" w:eastAsia="Arial" w:hAnsi="Arial"/>
          <w:b/>
          <w:bCs/>
          <w:color w:val="1A1A2E"/>
          <w:sz w:val="34"/>
          <w:szCs w:val="34"/>
        </w:rPr>
        <w:t xml:space="preserve">Build Sequence</w:t>
      </w:r>
    </w:p>
    <w:p>
      <w:pPr>
        <w:spacing w:after="120" w:before="80"/>
      </w:pPr>
      <w:r>
        <w:rPr>
          <w:rFonts w:ascii="Arial" w:cs="Arial" w:eastAsia="Arial" w:hAnsi="Arial"/>
          <w:color w:val="1A1A2E"/>
          <w:sz w:val="22"/>
          <w:szCs w:val="22"/>
        </w:rPr>
        <w:t xml:space="preserve">These features have dependencies and diminishing returns at low dataset volume. Recommended order:</w:t>
      </w:r>
    </w:p>
    <w:p>
      <w:pPr>
        <w:pStyle w:val="ListParagraph"/>
        <w:numPr>
          <w:ilvl w:val="0"/>
          <w:numId w:val="3"/>
        </w:numPr>
        <w:spacing w:after="60" w:before="60"/>
      </w:pPr>
      <w:r>
        <w:rPr>
          <w:rFonts w:ascii="Arial" w:cs="Arial" w:eastAsia="Arial" w:hAnsi="Arial"/>
          <w:color w:val="1A1A2E"/>
          <w:sz w:val="22"/>
          <w:szCs w:val="22"/>
        </w:rPr>
        <w:t xml:space="preserve">Expert Profile &amp; Credentialing — build first, everything else depends on it</w:t>
      </w:r>
    </w:p>
    <w:p>
      <w:pPr>
        <w:pStyle w:val="ListParagraph"/>
        <w:numPr>
          <w:ilvl w:val="0"/>
          <w:numId w:val="3"/>
        </w:numPr>
        <w:spacing w:after="60" w:before="60"/>
      </w:pPr>
      <w:r>
        <w:rPr>
          <w:rFonts w:ascii="Arial" w:cs="Arial" w:eastAsia="Arial" w:hAnsi="Arial"/>
          <w:color w:val="1A1A2E"/>
          <w:sz w:val="22"/>
          <w:szCs w:val="22"/>
        </w:rPr>
        <w:t xml:space="preserve">Verification Dashboard — needed as soon as citizen science finds start accumulating</w:t>
      </w:r>
    </w:p>
    <w:p>
      <w:pPr>
        <w:pStyle w:val="ListParagraph"/>
        <w:numPr>
          <w:ilvl w:val="0"/>
          <w:numId w:val="3"/>
        </w:numPr>
        <w:spacing w:after="60" w:before="60"/>
      </w:pPr>
      <w:r>
        <w:rPr>
          <w:rFonts w:ascii="Arial" w:cs="Arial" w:eastAsia="Arial" w:hAnsi="Arial"/>
          <w:color w:val="1A1A2E"/>
          <w:sz w:val="22"/>
          <w:szCs w:val="22"/>
        </w:rPr>
        <w:t xml:space="preserve">GIS Data Export — high value for OGS partnership, relatively straightforward to build</w:t>
      </w:r>
    </w:p>
    <w:p>
      <w:pPr>
        <w:pStyle w:val="ListParagraph"/>
        <w:numPr>
          <w:ilvl w:val="0"/>
          <w:numId w:val="3"/>
        </w:numPr>
        <w:spacing w:after="60" w:before="60"/>
      </w:pPr>
      <w:r>
        <w:rPr>
          <w:rFonts w:ascii="Arial" w:cs="Arial" w:eastAsia="Arial" w:hAnsi="Arial"/>
          <w:color w:val="1A1A2E"/>
          <w:sz w:val="22"/>
          <w:szCs w:val="22"/>
        </w:rPr>
        <w:t xml:space="preserve">Public API (v1, read-only) — design from day one, ship when dataset has ~500 verified finds</w:t>
      </w:r>
    </w:p>
    <w:p>
      <w:pPr>
        <w:pStyle w:val="ListParagraph"/>
        <w:numPr>
          <w:ilvl w:val="0"/>
          <w:numId w:val="3"/>
        </w:numPr>
        <w:spacing w:after="60" w:before="60"/>
      </w:pPr>
      <w:r>
        <w:rPr>
          <w:rFonts w:ascii="Arial" w:cs="Arial" w:eastAsia="Arial" w:hAnsi="Arial"/>
          <w:color w:val="1A1A2E"/>
          <w:sz w:val="22"/>
          <w:szCs w:val="22"/>
        </w:rPr>
        <w:t xml:space="preserve">Formation Analytics Dashboard — needs ~1,000 finds to be statistically meaningful</w:t>
      </w:r>
    </w:p>
    <w:p>
      <w:pPr>
        <w:pStyle w:val="ListParagraph"/>
        <w:numPr>
          <w:ilvl w:val="0"/>
          <w:numId w:val="3"/>
        </w:numPr>
        <w:spacing w:after="60" w:before="60"/>
      </w:pPr>
      <w:r>
        <w:rPr>
          <w:rFonts w:ascii="Arial" w:cs="Arial" w:eastAsia="Arial" w:hAnsi="Arial"/>
          <w:color w:val="1A1A2E"/>
          <w:sz w:val="22"/>
          <w:szCs w:val="22"/>
        </w:rPr>
        <w:t xml:space="preserve">Advanced Map Tools — after geology map v1 is solid</w:t>
      </w:r>
    </w:p>
    <w:p>
      <w:pPr>
        <w:pStyle w:val="ListParagraph"/>
        <w:numPr>
          <w:ilvl w:val="0"/>
          <w:numId w:val="3"/>
        </w:numPr>
        <w:spacing w:after="60" w:before="60"/>
      </w:pPr>
      <w:r>
        <w:rPr>
          <w:rFonts w:ascii="Arial" w:cs="Arial" w:eastAsia="Arial" w:hAnsi="Arial"/>
          <w:color w:val="1A1A2E"/>
          <w:sz w:val="22"/>
          <w:szCs w:val="22"/>
        </w:rPr>
        <w:t xml:space="preserve">Expert Community &amp; Knowledge Base — last, needs critical mass of expert users</w:t>
      </w:r>
    </w:p>
    <w:p>
      <w:pPr>
        <w:pStyle w:val="ListParagraph"/>
        <w:numPr>
          <w:ilvl w:val="0"/>
          <w:numId w:val="3"/>
        </w:numPr>
        <w:spacing w:after="60" w:before="60"/>
      </w:pPr>
      <w:r>
        <w:rPr>
          <w:rFonts w:ascii="Arial" w:cs="Arial" w:eastAsia="Arial" w:hAnsi="Arial"/>
          <w:color w:val="1A1A2E"/>
          <w:sz w:val="22"/>
          <w:szCs w:val="22"/>
        </w:rPr>
        <w:t xml:space="preserve">Python SDK — v2, after API is stable with real users</w:t>
      </w:r>
    </w:p>
    <w:p>
      <w:pPr>
        <w:pBdr>
          <w:bottom w:val="single" w:color="2D6E8E" w:sz="6" w:space="1"/>
        </w:pBdr>
        <w:spacing w:after="280" w:before="280"/>
      </w:pPr>
    </w:p>
    <w:p>
      <w:pPr>
        <w:spacing w:after="120" w:before="400"/>
        <w:jc w:val="center"/>
      </w:pPr>
      <w:r>
        <w:rPr>
          <w:rFonts w:ascii="Arial" w:cs="Arial" w:eastAsia="Arial" w:hAnsi="Arial"/>
          <w:i/>
          <w:iCs/>
          <w:color w:val="778899"/>
          <w:sz w:val="22"/>
          <w:szCs w:val="22"/>
        </w:rPr>
        <w:t xml:space="preserve">End of Spec</w:t>
      </w:r>
    </w:p>
    <w:p>
      <w:pPr>
        <w:spacing w:after="0" w:before="0"/>
        <w:jc w:val="center"/>
      </w:pPr>
      <w:r>
        <w:rPr>
          <w:rFonts w:ascii="Arial" w:cs="Arial" w:eastAsia="Arial" w:hAnsi="Arial"/>
          <w:color w:val="778899"/>
          <w:sz w:val="18"/>
          <w:szCs w:val="18"/>
        </w:rPr>
        <w:t xml:space="preserve">digby.rocks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E8E" w:sz="4" w:space="4"/>
      </w:pBdr>
      <w:spacing w:before="120"/>
      <w:jc w:val="center"/>
    </w:pPr>
    <w:r>
      <w:rPr>
        <w:rFonts w:ascii="Arial" w:cs="Arial" w:eastAsia="Arial" w:hAnsi="Arial"/>
        <w:color w:val="778899"/>
        <w:sz w:val="18"/>
        <w:szCs w:val="18"/>
      </w:rPr>
      <w:t xml:space="preserve">May 2026  —  Page </w:t>
    </w:r>
    <w:r>
      <w:rPr>
        <w:rFonts w:ascii="Arial" w:cs="Arial" w:eastAsia="Arial" w:hAnsi="Arial"/>
        <w:color w:val="7788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E8E" w:sz="4" w:space="4"/>
      </w:pBdr>
      <w:spacing w:after="120"/>
    </w:pPr>
    <w:r>
      <w:rPr>
        <w:rFonts w:ascii="Arial" w:cs="Arial" w:eastAsia="Arial" w:hAnsi="Arial"/>
        <w:b/>
        <w:bCs/>
        <w:color w:val="1A1A2E"/>
        <w:sz w:val="20"/>
        <w:szCs w:val="20"/>
      </w:rPr>
      <w:t xml:space="preserve">digby.rocks</w:t>
    </w:r>
    <w:r>
      <w:rPr>
        <w:rFonts w:ascii="Arial" w:cs="Arial" w:eastAsia="Arial" w:hAnsi="Arial"/>
        <w:color w:val="778899"/>
        <w:sz w:val="20"/>
        <w:szCs w:val="20"/>
      </w:rPr>
      <w:t xml:space="preserve">  —  Expert &amp; Professional Features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A1A2E"/>
      <w:sz w:val="34"/>
      <w:szCs w:val="34"/>
    </w:rPr>
  </w:style>
  <w:style w:type="paragraph" w:styleId="Heading2">
    <w:name w:val="Heading 2"/>
    <w:basedOn w:val="Normal"/>
    <w:next w:val="Normal"/>
    <w:qFormat/>
    <w:pPr>
      <w:spacing w:after="130" w:before="340"/>
      <w:outlineLvl w:val="1"/>
    </w:pPr>
    <w:rPr>
      <w:rFonts w:ascii="Arial" w:cs="Arial" w:eastAsia="Arial" w:hAnsi="Arial"/>
      <w:b/>
      <w:bCs/>
      <w:color w:val="2D6E8E"/>
      <w:sz w:val="27"/>
      <w:szCs w:val="27"/>
    </w:rPr>
  </w:style>
  <w:style w:type="paragraph" w:styleId="Heading3">
    <w:name w:val="Heading 3"/>
    <w:basedOn w:val="Normal"/>
    <w:next w:val="Normal"/>
    <w:qFormat/>
    <w:pPr>
      <w:spacing w:after="100" w:before="240"/>
      <w:outlineLvl w:val="2"/>
    </w:pPr>
    <w:rPr>
      <w:rFonts w:ascii="Arial" w:cs="Arial" w:eastAsia="Arial" w:hAnsi="Arial"/>
      <w:b/>
      <w:bCs/>
      <w:color w:val="3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2026-05-22T13:30:33.176Z</dcterms:created>
  <dcterms:modified xsi:type="dcterms:W3CDTF">2026-05-22T13:30:33.195Z</dcterms:modified>
</cp:coreProperties>
</file>

<file path=docProps/custom.xml><?xml version="1.0" encoding="utf-8"?>
<Properties xmlns="http://schemas.openxmlformats.org/officeDocument/2006/custom-properties" xmlns:vt="http://schemas.openxmlformats.org/officeDocument/2006/docPropsVTypes"/>
</file>