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jc w:val="center"/>
      </w:pPr>
      <w:r>
        <w:rPr>
          <w:rFonts w:ascii="Arial" w:cs="Arial" w:eastAsia="Arial" w:hAnsi="Arial"/>
          <w:b/>
          <w:bCs/>
          <w:color w:val="0D1B2A"/>
          <w:sz w:val="72"/>
          <w:szCs w:val="72"/>
        </w:rPr>
        <w:t xml:space="preserve">digby.rocks</w:t>
      </w:r>
    </w:p>
    <w:p>
      <w:pPr>
        <w:spacing w:after="120" w:before="0"/>
        <w:jc w:val="center"/>
      </w:pPr>
      <w:r>
        <w:rPr>
          <w:rFonts w:ascii="Arial" w:cs="Arial" w:eastAsia="Arial" w:hAnsi="Arial"/>
          <w:b/>
          <w:bCs/>
          <w:color w:val="2A5E8A"/>
          <w:sz w:val="48"/>
          <w:szCs w:val="48"/>
        </w:rPr>
        <w:t xml:space="preserve">Digby Seismic</w:t>
      </w:r>
    </w:p>
    <w:p>
      <w:pPr>
        <w:spacing w:after="120" w:before="0"/>
        <w:jc w:val="center"/>
      </w:pPr>
      <w:r>
        <w:rPr>
          <w:rFonts w:ascii="Arial" w:cs="Arial" w:eastAsia="Arial" w:hAnsi="Arial"/>
          <w:b/>
          <w:bCs/>
          <w:color w:val="0D1B2A"/>
          <w:sz w:val="36"/>
          <w:szCs w:val="36"/>
        </w:rPr>
        <w:t xml:space="preserve">Citizen Seismology Network</w:t>
      </w:r>
    </w:p>
    <w:p>
      <w:pPr>
        <w:spacing w:after="1200" w:before="0"/>
        <w:jc w:val="center"/>
      </w:pPr>
      <w:r>
        <w:rPr>
          <w:rFonts w:ascii="Arial" w:cs="Arial" w:eastAsia="Arial" w:hAnsi="Arial"/>
          <w:color w:val="888888"/>
          <w:sz w:val="24"/>
          <w:szCs w:val="24"/>
        </w:rPr>
        <w:t xml:space="preserve">Full Feature Spec — Distributed Micro-Seismic Monitoring via the Digby User Base</w:t>
      </w:r>
    </w:p>
    <w:p>
      <w:pPr>
        <w:pStyle w:val="Heading1"/>
        <w:spacing w:after="180" w:before="520"/>
      </w:pPr>
      <w:r>
        <w:rPr>
          <w:rFonts w:ascii="Arial" w:cs="Arial" w:eastAsia="Arial" w:hAnsi="Arial"/>
          <w:b/>
          <w:bCs/>
          <w:color w:val="0D1B2A"/>
          <w:sz w:val="34"/>
          <w:szCs w:val="34"/>
        </w:rPr>
        <w:t xml:space="preserve">The Idea</w:t>
      </w:r>
    </w:p>
    <w:p>
      <w:pPr>
        <w:pBdr>
          <w:left w:val="single" w:color="2A5E8A" w:sz="18" w:space="12"/>
        </w:pBdr>
        <w:spacing w:after="200" w:before="200"/>
        <w:ind w:left="720" w:right="720"/>
      </w:pPr>
      <w:r>
        <w:rPr>
          <w:rFonts w:ascii="Arial" w:cs="Arial" w:eastAsia="Arial" w:hAnsi="Arial"/>
          <w:b/>
          <w:bCs/>
          <w:i/>
          <w:iCs/>
          <w:color w:val="3A3A3A"/>
          <w:sz w:val="25"/>
          <w:szCs w:val="25"/>
        </w:rPr>
        <w:t xml:space="preserve">Your phone is already a scientific instrument. It just doesn’t know it’s sitting on the Canadian Shield.</w:t>
      </w:r>
    </w:p>
    <w:p>
      <w:pPr>
        <w:spacing w:after="130" w:before="80"/>
      </w:pPr>
      <w:r>
        <w:rPr>
          <w:rFonts w:ascii="Arial" w:cs="Arial" w:eastAsia="Arial" w:hAnsi="Arial"/>
          <w:color w:val="0D1B2A"/>
          <w:sz w:val="22"/>
          <w:szCs w:val="22"/>
        </w:rPr>
        <w:t xml:space="preserve">Every modern smartphone contains an accelerometer sensitive enough to detect ground vibration. Distributed citizen seismology networks already exist — UC Berkeley’s MyShake app and the USGS NetQuakes programme both use this principle. But none of them are tied to a community that is already outdoors, in geological hotspots, paying deliberate attention to the ground beneath them.</w:t>
      </w:r>
    </w:p>
    <w:p>
      <w:pPr>
        <w:spacing w:after="130" w:before="80"/>
      </w:pPr>
      <w:r>
        <w:rPr>
          <w:rFonts w:ascii="Arial" w:cs="Arial" w:eastAsia="Arial" w:hAnsi="Arial"/>
          <w:color w:val="0D1B2A"/>
          <w:sz w:val="22"/>
          <w:szCs w:val="22"/>
        </w:rPr>
        <w:t xml:space="preserve">A digby user at a Bancroft dig site has their phone resting on a rock shelf or in their pack. That phone is in direct mechanical contact with the Canadian Shield. If enough digby users opt in to a background micro-seismic sensor — battery-conscious, only active when stationary, completely voluntary, fully transparent about what it collects — digby can build a passive seismic observation network concentrated exactly where the interesting geology is.</w:t>
      </w:r>
    </w:p>
    <w:p>
      <w:pPr>
        <w:spacing w:after="130" w:before="80"/>
      </w:pPr>
      <w:r>
        <w:rPr>
          <w:rFonts w:ascii="Arial" w:cs="Arial" w:eastAsia="Arial" w:hAnsi="Arial"/>
          <w:color w:val="0D1B2A"/>
          <w:sz w:val="22"/>
          <w:szCs w:val="22"/>
        </w:rPr>
        <w:t xml:space="preserve">The OGS and Geological Survey of Canada monitor Ontario seismicity, but their permanent sensor network is sparse in Eastern Ontario — exactly the region where digby’s user base is most concentrated. Digby Seismic fills those gaps with human-placed, formation-georeferenced sensors that no government programme could afford to deploy.</w:t>
      </w:r>
    </w:p>
    <w:p>
      <w:pPr>
        <w:pStyle w:val="Heading2"/>
        <w:spacing w:after="130" w:before="340"/>
      </w:pPr>
      <w:r>
        <w:rPr>
          <w:rFonts w:ascii="Arial" w:cs="Arial" w:eastAsia="Arial" w:hAnsi="Arial"/>
          <w:b/>
          <w:bCs/>
          <w:color w:val="2A5E8A"/>
          <w:sz w:val="27"/>
          <w:szCs w:val="27"/>
        </w:rPr>
        <w:t xml:space="preserve">What It Would Detect</w:t>
      </w:r>
    </w:p>
    <w:p>
      <w:pPr>
        <w:pStyle w:val="ListParagraph"/>
        <w:numPr>
          <w:ilvl w:val="0"/>
          <w:numId w:val="2"/>
        </w:numPr>
        <w:spacing w:after="60" w:before="60"/>
      </w:pPr>
      <w:r>
        <w:rPr>
          <w:rFonts w:ascii="Arial" w:cs="Arial" w:eastAsia="Arial" w:hAnsi="Arial"/>
          <w:color w:val="0D1B2A"/>
          <w:sz w:val="22"/>
          <w:szCs w:val="22"/>
        </w:rPr>
        <w:t xml:space="preserve">Micro-seismic events — tremors too small for sparse permanent networks to locate precisely</w:t>
      </w:r>
    </w:p>
    <w:p>
      <w:pPr>
        <w:pStyle w:val="ListParagraph"/>
        <w:numPr>
          <w:ilvl w:val="0"/>
          <w:numId w:val="2"/>
        </w:numPr>
        <w:spacing w:after="60" w:before="60"/>
      </w:pPr>
      <w:r>
        <w:rPr>
          <w:rFonts w:ascii="Arial" w:cs="Arial" w:eastAsia="Arial" w:hAnsi="Arial"/>
          <w:color w:val="0D1B2A"/>
          <w:sz w:val="22"/>
          <w:szCs w:val="22"/>
        </w:rPr>
        <w:t xml:space="preserve">Quarry blast signatures — useful for distinguishing anthropogenic from natural seismicity</w:t>
      </w:r>
    </w:p>
    <w:p>
      <w:pPr>
        <w:pStyle w:val="ListParagraph"/>
        <w:numPr>
          <w:ilvl w:val="0"/>
          <w:numId w:val="2"/>
        </w:numPr>
        <w:spacing w:after="60" w:before="60"/>
      </w:pPr>
      <w:r>
        <w:rPr>
          <w:rFonts w:ascii="Arial" w:cs="Arial" w:eastAsia="Arial" w:hAnsi="Arial"/>
          <w:color w:val="0D1B2A"/>
          <w:sz w:val="22"/>
          <w:szCs w:val="22"/>
        </w:rPr>
        <w:t xml:space="preserve">Frost-heave activity — seasonal ground movement relevant to surface mineral exposure</w:t>
      </w:r>
    </w:p>
    <w:p>
      <w:pPr>
        <w:pStyle w:val="ListParagraph"/>
        <w:numPr>
          <w:ilvl w:val="0"/>
          <w:numId w:val="2"/>
        </w:numPr>
        <w:spacing w:after="60" w:before="60"/>
      </w:pPr>
      <w:r>
        <w:rPr>
          <w:rFonts w:ascii="Arial" w:cs="Arial" w:eastAsia="Arial" w:hAnsi="Arial"/>
          <w:color w:val="0D1B2A"/>
          <w:sz w:val="22"/>
          <w:szCs w:val="22"/>
        </w:rPr>
        <w:t xml:space="preserve">Mine subsidence signatures in areas with historical underground workings</w:t>
      </w:r>
    </w:p>
    <w:p>
      <w:pPr>
        <w:pStyle w:val="ListParagraph"/>
        <w:numPr>
          <w:ilvl w:val="0"/>
          <w:numId w:val="2"/>
        </w:numPr>
        <w:spacing w:after="60" w:before="60"/>
      </w:pPr>
      <w:r>
        <w:rPr>
          <w:rFonts w:ascii="Arial" w:cs="Arial" w:eastAsia="Arial" w:hAnsi="Arial"/>
          <w:color w:val="0D1B2A"/>
          <w:sz w:val="22"/>
          <w:szCs w:val="22"/>
        </w:rPr>
        <w:t xml:space="preserve">Potentially: rockfall and slope instability events at active dig sites</w:t>
      </w:r>
    </w:p>
    <w:p>
      <w:pPr>
        <w:pBdr>
          <w:left w:val="single" w:color="2A5E8A" w:sz="12" w:space="8"/>
        </w:pBdr>
        <w:spacing w:after="140" w:before="140"/>
        <w:ind w:left="360"/>
      </w:pPr>
      <w:r>
        <w:rPr>
          <w:rFonts w:ascii="Arial" w:cs="Arial" w:eastAsia="Arial" w:hAnsi="Arial"/>
          <w:i/>
          <w:iCs/>
          <w:color w:val="444444"/>
          <w:sz w:val="20"/>
          <w:szCs w:val="20"/>
        </w:rPr>
        <w:t xml:space="preserve">The scientific value is not in any single phone. It’s in the density and distribution of the network. Ten phones at a Bancroft site on a Saturday morning, all detecting the same micro-event with slightly different arrival times, allow precise triangulation of the source location and depth. That’s genuinely novel data.</w:t>
      </w:r>
    </w:p>
    <w:p>
      <w:pPr>
        <w:pStyle w:val="Heading2"/>
        <w:spacing w:after="130" w:before="340"/>
      </w:pPr>
      <w:r>
        <w:rPr>
          <w:rFonts w:ascii="Arial" w:cs="Arial" w:eastAsia="Arial" w:hAnsi="Arial"/>
          <w:b/>
          <w:bCs/>
          <w:color w:val="2A5E8A"/>
          <w:sz w:val="27"/>
          <w:szCs w:val="27"/>
        </w:rPr>
        <w:t xml:space="preserve">What Makes This Digby-Specific</w:t>
      </w:r>
    </w:p>
    <w:p>
      <w:pPr>
        <w:spacing w:after="130" w:before="80"/>
      </w:pPr>
      <w:r>
        <w:rPr>
          <w:rFonts w:ascii="Arial" w:cs="Arial" w:eastAsia="Arial" w:hAnsi="Arial"/>
          <w:color w:val="0D1B2A"/>
          <w:sz w:val="22"/>
          <w:szCs w:val="22"/>
        </w:rPr>
        <w:t xml:space="preserve">Existing citizen seismology apps collect accelerometer data from phones in unknown locations — apartments, offices, moving vehicles. The data is noisy and difficult to interpret geologically.</w:t>
      </w:r>
    </w:p>
    <w:p>
      <w:pPr>
        <w:spacing w:after="130" w:before="80"/>
      </w:pPr>
      <w:r>
        <w:rPr>
          <w:rFonts w:ascii="Arial" w:cs="Arial" w:eastAsia="Arial" w:hAnsi="Arial"/>
          <w:color w:val="0D1B2A"/>
          <w:sz w:val="22"/>
          <w:szCs w:val="22"/>
        </w:rPr>
        <w:t xml:space="preserve">Digby sensors come with context no other network has:</w:t>
      </w:r>
    </w:p>
    <w:p>
      <w:pPr>
        <w:pStyle w:val="ListParagraph"/>
        <w:numPr>
          <w:ilvl w:val="0"/>
          <w:numId w:val="2"/>
        </w:numPr>
        <w:spacing w:after="60" w:before="60"/>
      </w:pPr>
      <w:r>
        <w:rPr>
          <w:rFonts w:ascii="Arial" w:cs="Arial" w:eastAsia="Arial" w:hAnsi="Arial"/>
          <w:color w:val="0D1B2A"/>
          <w:sz w:val="22"/>
          <w:szCs w:val="22"/>
        </w:rPr>
        <w:t xml:space="preserve">GPS coordinates matched to OGS formation data — every reading is tagged to a specific geological unit</w:t>
      </w:r>
    </w:p>
    <w:p>
      <w:pPr>
        <w:pStyle w:val="ListParagraph"/>
        <w:numPr>
          <w:ilvl w:val="0"/>
          <w:numId w:val="2"/>
        </w:numPr>
        <w:spacing w:after="60" w:before="60"/>
      </w:pPr>
      <w:r>
        <w:rPr>
          <w:rFonts w:ascii="Arial" w:cs="Arial" w:eastAsia="Arial" w:hAnsi="Arial"/>
          <w:color w:val="0D1B2A"/>
          <w:sz w:val="22"/>
          <w:szCs w:val="22"/>
        </w:rPr>
        <w:t xml:space="preserve">User activity context — the sensor knows whether the phone is stationary on rock, in a bag on a car seat, or being carried</w:t>
      </w:r>
    </w:p>
    <w:p>
      <w:pPr>
        <w:pStyle w:val="ListParagraph"/>
        <w:numPr>
          <w:ilvl w:val="0"/>
          <w:numId w:val="2"/>
        </w:numPr>
        <w:spacing w:after="60" w:before="60"/>
      </w:pPr>
      <w:r>
        <w:rPr>
          <w:rFonts w:ascii="Arial" w:cs="Arial" w:eastAsia="Arial" w:hAnsi="Arial"/>
          <w:color w:val="0D1B2A"/>
          <w:sz w:val="22"/>
          <w:szCs w:val="22"/>
        </w:rPr>
        <w:t xml:space="preserve">Site context — readings from a digby booking site are tagged to that site’s geological record</w:t>
      </w:r>
    </w:p>
    <w:p>
      <w:pPr>
        <w:pStyle w:val="ListParagraph"/>
        <w:numPr>
          <w:ilvl w:val="0"/>
          <w:numId w:val="2"/>
        </w:numPr>
        <w:spacing w:after="60" w:before="60"/>
      </w:pPr>
      <w:r>
        <w:rPr>
          <w:rFonts w:ascii="Arial" w:cs="Arial" w:eastAsia="Arial" w:hAnsi="Arial"/>
          <w:color w:val="0D1B2A"/>
          <w:sz w:val="22"/>
          <w:szCs w:val="22"/>
        </w:rPr>
        <w:t xml:space="preserve">A community of people who understand what they’re contributing to and are motivated to contribute well</w:t>
      </w:r>
    </w:p>
    <w:p>
      <w:pPr>
        <w:pStyle w:val="ListParagraph"/>
        <w:numPr>
          <w:ilvl w:val="0"/>
          <w:numId w:val="2"/>
        </w:numPr>
        <w:spacing w:after="60" w:before="60"/>
      </w:pPr>
      <w:r>
        <w:rPr>
          <w:rFonts w:ascii="Arial" w:cs="Arial" w:eastAsia="Arial" w:hAnsi="Arial"/>
          <w:color w:val="0D1B2A"/>
          <w:sz w:val="22"/>
          <w:szCs w:val="22"/>
        </w:rPr>
        <w:t xml:space="preserve">Temporal correlation with find logs — a user who logs a find immediately after a micro-event creates an interesting scientific observation</w:t>
      </w:r>
    </w:p>
    <w:p>
      <w:pPr>
        <w:pBdr>
          <w:bottom w:val="single" w:color="2A5E8A" w:sz="6" w:space="1"/>
        </w:pBdr>
        <w:spacing w:after="280" w:before="280"/>
      </w:pPr>
    </w:p>
    <w:p>
      <w:pPr>
        <w:pStyle w:val="Heading1"/>
        <w:spacing w:after="180" w:before="520"/>
      </w:pPr>
      <w:r>
        <w:rPr>
          <w:rFonts w:ascii="Arial" w:cs="Arial" w:eastAsia="Arial" w:hAnsi="Arial"/>
          <w:b/>
          <w:bCs/>
          <w:color w:val="0D1B2A"/>
          <w:sz w:val="34"/>
          <w:szCs w:val="34"/>
        </w:rPr>
        <w:t xml:space="preserve">Technical Architecture</w:t>
      </w:r>
    </w:p>
    <w:p>
      <w:pPr>
        <w:pStyle w:val="Heading2"/>
        <w:spacing w:after="130" w:before="340"/>
      </w:pPr>
      <w:r>
        <w:rPr>
          <w:rFonts w:ascii="Arial" w:cs="Arial" w:eastAsia="Arial" w:hAnsi="Arial"/>
          <w:b/>
          <w:bCs/>
          <w:color w:val="2A5E8A"/>
          <w:sz w:val="27"/>
          <w:szCs w:val="27"/>
        </w:rPr>
        <w:t xml:space="preserve">Phone-Side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Sensor used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Accelerometer (already present in all modern smartphones)</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Activation condition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Phone stationary for &gt;2 minutes, battery &gt;20%, user opted in, app in background</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Data collected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3-axis acceleration at 100Hz sampling rate, GPS coordinates, timestamp, formation ID, site ID if applicable</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Data NOT collected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Audio, camera, location history, any personal data beyond current GPS position</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Battery impact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Negligible when stationary — accelerometer is one of the lowest-power sensors on a smartphone</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Storage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Raw data processed locally on device; only event detections (not raw waveforms) sent to server</w:t>
            </w:r>
          </w:p>
        </w:tc>
      </w:tr>
      <w:tr>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A5E8A"/>
                <w:sz w:val="20"/>
                <w:szCs w:val="20"/>
              </w:rPr>
              <w:t xml:space="preserve">Platform</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D1B2A"/>
                <w:sz w:val="20"/>
                <w:szCs w:val="20"/>
              </w:rPr>
              <w:t xml:space="preserve">iOS and Android — implemented as a background task in the existing digby mobile app</w:t>
            </w:r>
          </w:p>
        </w:tc>
      </w:tr>
    </w:tbl>
    <w:p>
      <w:pPr>
        <w:spacing w:after="0" w:before="0"/>
      </w:pPr>
    </w:p>
    <w:p>
      <w:pPr>
        <w:pStyle w:val="Heading2"/>
        <w:spacing w:after="130" w:before="340"/>
      </w:pPr>
      <w:r>
        <w:rPr>
          <w:rFonts w:ascii="Arial" w:cs="Arial" w:eastAsia="Arial" w:hAnsi="Arial"/>
          <w:b/>
          <w:bCs/>
          <w:color w:val="2A5E8A"/>
          <w:sz w:val="27"/>
          <w:szCs w:val="27"/>
        </w:rPr>
        <w:t xml:space="preserve">Event Detection Algorithm</w:t>
      </w:r>
    </w:p>
    <w:p>
      <w:pPr>
        <w:spacing w:after="130" w:before="80"/>
      </w:pPr>
      <w:r>
        <w:rPr>
          <w:rFonts w:ascii="Arial" w:cs="Arial" w:eastAsia="Arial" w:hAnsi="Arial"/>
          <w:color w:val="0D1B2A"/>
          <w:sz w:val="22"/>
          <w:szCs w:val="22"/>
        </w:rPr>
        <w:t xml:space="preserve">Raw accelerometer data is processed locally on the device — no raw waveforms are ever transmitted. The on-device algorithm:</w:t>
      </w:r>
    </w:p>
    <w:p>
      <w:pPr>
        <w:pStyle w:val="ListParagraph"/>
        <w:numPr>
          <w:ilvl w:val="0"/>
          <w:numId w:val="3"/>
        </w:numPr>
        <w:spacing w:after="60" w:before="60"/>
      </w:pPr>
      <w:r>
        <w:rPr>
          <w:rFonts w:ascii="Arial" w:cs="Arial" w:eastAsia="Arial" w:hAnsi="Arial"/>
          <w:color w:val="0D1B2A"/>
          <w:sz w:val="22"/>
          <w:szCs w:val="22"/>
        </w:rPr>
        <w:t xml:space="preserve">Continuously monitors acceleration magnitude across all three axes</w:t>
      </w:r>
    </w:p>
    <w:p>
      <w:pPr>
        <w:pStyle w:val="ListParagraph"/>
        <w:numPr>
          <w:ilvl w:val="0"/>
          <w:numId w:val="3"/>
        </w:numPr>
        <w:spacing w:after="60" w:before="60"/>
      </w:pPr>
      <w:r>
        <w:rPr>
          <w:rFonts w:ascii="Arial" w:cs="Arial" w:eastAsia="Arial" w:hAnsi="Arial"/>
          <w:color w:val="0D1B2A"/>
          <w:sz w:val="22"/>
          <w:szCs w:val="22"/>
        </w:rPr>
        <w:t xml:space="preserve">Applies a high-pass filter to remove gravity and low-frequency noise (walking, wind)</w:t>
      </w:r>
    </w:p>
    <w:p>
      <w:pPr>
        <w:pStyle w:val="ListParagraph"/>
        <w:numPr>
          <w:ilvl w:val="0"/>
          <w:numId w:val="3"/>
        </w:numPr>
        <w:spacing w:after="60" w:before="60"/>
      </w:pPr>
      <w:r>
        <w:rPr>
          <w:rFonts w:ascii="Arial" w:cs="Arial" w:eastAsia="Arial" w:hAnsi="Arial"/>
          <w:color w:val="0D1B2A"/>
          <w:sz w:val="22"/>
          <w:szCs w:val="22"/>
        </w:rPr>
        <w:t xml:space="preserve">Detects short-duration amplitude spikes exceeding a configurable threshold (default: 0.02g above baseline)</w:t>
      </w:r>
    </w:p>
    <w:p>
      <w:pPr>
        <w:pStyle w:val="ListParagraph"/>
        <w:numPr>
          <w:ilvl w:val="0"/>
          <w:numId w:val="3"/>
        </w:numPr>
        <w:spacing w:after="60" w:before="60"/>
      </w:pPr>
      <w:r>
        <w:rPr>
          <w:rFonts w:ascii="Arial" w:cs="Arial" w:eastAsia="Arial" w:hAnsi="Arial"/>
          <w:color w:val="0D1B2A"/>
          <w:sz w:val="22"/>
          <w:szCs w:val="22"/>
        </w:rPr>
        <w:t xml:space="preserve">If a spike is detected: records a 10-second waveform window (5 seconds before and after the trigger), GPS coordinates, timestamp, device orientation, and activity state</w:t>
      </w:r>
    </w:p>
    <w:p>
      <w:pPr>
        <w:pStyle w:val="ListParagraph"/>
        <w:numPr>
          <w:ilvl w:val="0"/>
          <w:numId w:val="3"/>
        </w:numPr>
        <w:spacing w:after="60" w:before="60"/>
      </w:pPr>
      <w:r>
        <w:rPr>
          <w:rFonts w:ascii="Arial" w:cs="Arial" w:eastAsia="Arial" w:hAnsi="Arial"/>
          <w:color w:val="0D1B2A"/>
          <w:sz w:val="22"/>
          <w:szCs w:val="22"/>
        </w:rPr>
        <w:t xml:space="preserve">Transmits the compressed event record to the digby server — approximately 2KB per event</w:t>
      </w:r>
    </w:p>
    <w:p>
      <w:pPr>
        <w:pBdr>
          <w:left w:val="single" w:color="2A5E8A" w:sz="12" w:space="8"/>
        </w:pBdr>
        <w:spacing w:after="140" w:before="140"/>
        <w:ind w:left="360"/>
      </w:pPr>
      <w:r>
        <w:rPr>
          <w:rFonts w:ascii="Arial" w:cs="Arial" w:eastAsia="Arial" w:hAnsi="Arial"/>
          <w:i/>
          <w:iCs/>
          <w:color w:val="444444"/>
          <w:sz w:val="20"/>
          <w:szCs w:val="20"/>
        </w:rPr>
        <w:t xml:space="preserve">The on-device processing approach is critical for privacy and battery life. The server never sees continuous sensor data — only discrete event detections. Users can review every event their phone has reported from their account settings.</w:t>
      </w:r>
    </w:p>
    <w:p>
      <w:pPr>
        <w:pStyle w:val="Heading2"/>
        <w:spacing w:after="130" w:before="340"/>
      </w:pPr>
      <w:r>
        <w:rPr>
          <w:rFonts w:ascii="Arial" w:cs="Arial" w:eastAsia="Arial" w:hAnsi="Arial"/>
          <w:b/>
          <w:bCs/>
          <w:color w:val="2A5E8A"/>
          <w:sz w:val="27"/>
          <w:szCs w:val="27"/>
        </w:rPr>
        <w:t xml:space="preserve">Server-Side Processing</w:t>
      </w:r>
    </w:p>
    <w:p>
      <w:pPr>
        <w:pStyle w:val="ListParagraph"/>
        <w:numPr>
          <w:ilvl w:val="0"/>
          <w:numId w:val="2"/>
        </w:numPr>
        <w:spacing w:after="60" w:before="60"/>
      </w:pPr>
      <w:r>
        <w:rPr>
          <w:rFonts w:ascii="Arial" w:cs="Arial" w:eastAsia="Arial" w:hAnsi="Arial"/>
          <w:color w:val="0D1B2A"/>
          <w:sz w:val="22"/>
          <w:szCs w:val="22"/>
        </w:rPr>
        <w:t xml:space="preserve">Event records from multiple devices timestamped within a 30-second window and within a 50km radius are grouped as a candidate seismic event</w:t>
      </w:r>
    </w:p>
    <w:p>
      <w:pPr>
        <w:pStyle w:val="ListParagraph"/>
        <w:numPr>
          <w:ilvl w:val="0"/>
          <w:numId w:val="2"/>
        </w:numPr>
        <w:spacing w:after="60" w:before="60"/>
      </w:pPr>
      <w:r>
        <w:rPr>
          <w:rFonts w:ascii="Arial" w:cs="Arial" w:eastAsia="Arial" w:hAnsi="Arial"/>
          <w:color w:val="0D1B2A"/>
          <w:sz w:val="22"/>
          <w:szCs w:val="22"/>
        </w:rPr>
        <w:t xml:space="preserve">Candidate events with fewer than 3 contributing devices are flagged as unconfirmed and held for 24 hours pending additional reports</w:t>
      </w:r>
    </w:p>
    <w:p>
      <w:pPr>
        <w:pStyle w:val="ListParagraph"/>
        <w:numPr>
          <w:ilvl w:val="0"/>
          <w:numId w:val="2"/>
        </w:numPr>
        <w:spacing w:after="60" w:before="60"/>
      </w:pPr>
      <w:r>
        <w:rPr>
          <w:rFonts w:ascii="Arial" w:cs="Arial" w:eastAsia="Arial" w:hAnsi="Arial"/>
          <w:color w:val="0D1B2A"/>
          <w:sz w:val="22"/>
          <w:szCs w:val="22"/>
        </w:rPr>
        <w:t xml:space="preserve">Confirmed events (3+ devices) are processed for source location using arrival time differences between sensors (simplified P-wave triangulation)</w:t>
      </w:r>
    </w:p>
    <w:p>
      <w:pPr>
        <w:pStyle w:val="ListParagraph"/>
        <w:numPr>
          <w:ilvl w:val="0"/>
          <w:numId w:val="2"/>
        </w:numPr>
        <w:spacing w:after="60" w:before="60"/>
      </w:pPr>
      <w:r>
        <w:rPr>
          <w:rFonts w:ascii="Arial" w:cs="Arial" w:eastAsia="Arial" w:hAnsi="Arial"/>
          <w:color w:val="0D1B2A"/>
          <w:sz w:val="22"/>
          <w:szCs w:val="22"/>
        </w:rPr>
        <w:t xml:space="preserve">Events are classified: natural micro-seismic, probable quarry blast (based on time-of-day and proximity to known quarry locations), or unknown</w:t>
      </w:r>
    </w:p>
    <w:p>
      <w:pPr>
        <w:pStyle w:val="ListParagraph"/>
        <w:numPr>
          <w:ilvl w:val="0"/>
          <w:numId w:val="2"/>
        </w:numPr>
        <w:spacing w:after="60" w:before="60"/>
      </w:pPr>
      <w:r>
        <w:rPr>
          <w:rFonts w:ascii="Arial" w:cs="Arial" w:eastAsia="Arial" w:hAnsi="Arial"/>
          <w:color w:val="0D1B2A"/>
          <w:sz w:val="22"/>
          <w:szCs w:val="22"/>
        </w:rPr>
        <w:t xml:space="preserve">Events meeting quality thresholds are added to the public seismic event feed and the OGS data export pipeline</w:t>
      </w:r>
    </w:p>
    <w:p>
      <w:pPr>
        <w:pStyle w:val="ListParagraph"/>
        <w:numPr>
          <w:ilvl w:val="0"/>
          <w:numId w:val="2"/>
        </w:numPr>
        <w:spacing w:after="60" w:before="60"/>
      </w:pPr>
      <w:r>
        <w:rPr>
          <w:rFonts w:ascii="Arial" w:cs="Arial" w:eastAsia="Arial" w:hAnsi="Arial"/>
          <w:color w:val="0D1B2A"/>
          <w:sz w:val="22"/>
          <w:szCs w:val="22"/>
        </w:rPr>
        <w:t xml:space="preserve">All events tagged with: estimated magnitude (Richter), estimated depth, contributing device count, formation data for the source location</w:t>
      </w:r>
    </w:p>
    <w:p>
      <w:pPr>
        <w:pStyle w:val="Heading2"/>
        <w:spacing w:after="130" w:before="340"/>
      </w:pPr>
      <w:r>
        <w:rPr>
          <w:rFonts w:ascii="Arial" w:cs="Arial" w:eastAsia="Arial" w:hAnsi="Arial"/>
          <w:b/>
          <w:bCs/>
          <w:color w:val="2A5E8A"/>
          <w:sz w:val="27"/>
          <w:szCs w:val="27"/>
        </w:rPr>
        <w:t xml:space="preserve">Data Quality Controls</w:t>
      </w:r>
    </w:p>
    <w:p>
      <w:pPr>
        <w:pStyle w:val="ListParagraph"/>
        <w:numPr>
          <w:ilvl w:val="0"/>
          <w:numId w:val="2"/>
        </w:numPr>
        <w:spacing w:after="60" w:before="60"/>
      </w:pPr>
      <w:r>
        <w:rPr>
          <w:rFonts w:ascii="Arial" w:cs="Arial" w:eastAsia="Arial" w:hAnsi="Arial"/>
          <w:color w:val="0D1B2A"/>
          <w:sz w:val="22"/>
          <w:szCs w:val="22"/>
        </w:rPr>
        <w:t xml:space="preserve">Device motion filter: readings from moving devices (GPS speed &gt;2 km/h) are discarded</w:t>
      </w:r>
    </w:p>
    <w:p>
      <w:pPr>
        <w:pStyle w:val="ListParagraph"/>
        <w:numPr>
          <w:ilvl w:val="0"/>
          <w:numId w:val="2"/>
        </w:numPr>
        <w:spacing w:after="60" w:before="60"/>
      </w:pPr>
      <w:r>
        <w:rPr>
          <w:rFonts w:ascii="Arial" w:cs="Arial" w:eastAsia="Arial" w:hAnsi="Arial"/>
          <w:color w:val="0D1B2A"/>
          <w:sz w:val="22"/>
          <w:szCs w:val="22"/>
        </w:rPr>
        <w:t xml:space="preserve">Environmental noise filter: events correlating with known noise sources (traffic, construction hours, weather) are flagged</w:t>
      </w:r>
    </w:p>
    <w:p>
      <w:pPr>
        <w:pStyle w:val="ListParagraph"/>
        <w:numPr>
          <w:ilvl w:val="0"/>
          <w:numId w:val="2"/>
        </w:numPr>
        <w:spacing w:after="60" w:before="60"/>
      </w:pPr>
      <w:r>
        <w:rPr>
          <w:rFonts w:ascii="Arial" w:cs="Arial" w:eastAsia="Arial" w:hAnsi="Arial"/>
          <w:color w:val="0D1B2A"/>
          <w:sz w:val="22"/>
          <w:szCs w:val="22"/>
        </w:rPr>
        <w:t xml:space="preserve">Outlier rejection: readings from a single device that don’t correlate with any nearby devices are quarantined</w:t>
      </w:r>
    </w:p>
    <w:p>
      <w:pPr>
        <w:pStyle w:val="ListParagraph"/>
        <w:numPr>
          <w:ilvl w:val="0"/>
          <w:numId w:val="2"/>
        </w:numPr>
        <w:spacing w:after="60" w:before="60"/>
      </w:pPr>
      <w:r>
        <w:rPr>
          <w:rFonts w:ascii="Arial" w:cs="Arial" w:eastAsia="Arial" w:hAnsi="Arial"/>
          <w:color w:val="0D1B2A"/>
          <w:sz w:val="22"/>
          <w:szCs w:val="22"/>
        </w:rPr>
        <w:t xml:space="preserve">Minimum sensor density: events are only published if at least 3 independent devices contributed</w:t>
      </w:r>
    </w:p>
    <w:p>
      <w:pPr>
        <w:pStyle w:val="ListParagraph"/>
        <w:numPr>
          <w:ilvl w:val="0"/>
          <w:numId w:val="2"/>
        </w:numPr>
        <w:spacing w:after="60" w:before="60"/>
      </w:pPr>
      <w:r>
        <w:rPr>
          <w:rFonts w:ascii="Arial" w:cs="Arial" w:eastAsia="Arial" w:hAnsi="Arial"/>
          <w:color w:val="0D1B2A"/>
          <w:sz w:val="22"/>
          <w:szCs w:val="22"/>
        </w:rPr>
        <w:t xml:space="preserve">Expert review flag: events above a magnitude threshold (est. 1.5+) are flagged for OGS review</w:t>
      </w:r>
    </w:p>
    <w:p>
      <w:pPr>
        <w:pStyle w:val="Heading2"/>
        <w:spacing w:after="130" w:before="340"/>
      </w:pPr>
      <w:r>
        <w:rPr>
          <w:rFonts w:ascii="Arial" w:cs="Arial" w:eastAsia="Arial" w:hAnsi="Arial"/>
          <w:b/>
          <w:bCs/>
          <w:color w:val="2A5E8A"/>
          <w:sz w:val="27"/>
          <w:szCs w:val="27"/>
        </w:rPr>
        <w:t xml:space="preserve">API Endpoints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B2A" w:val="clear"/>
            <w:tcMar>
              <w:top w:type="dxa" w:w="80"/>
              <w:left w:type="dxa" w:w="110"/>
              <w:bottom w:type="dxa" w:w="80"/>
              <w:right w:type="dxa" w:w="110"/>
            </w:tcMa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0D1B2A" w:val="clear"/>
            <w:tcMar>
              <w:top w:type="dxa" w:w="80"/>
              <w:left w:type="dxa" w:w="110"/>
              <w:bottom w:type="dxa" w:w="80"/>
              <w:right w:type="dxa" w:w="11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POST /api/seismic/event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Receive event detection from mobile app (authenticated, rate-limited)</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10"/>
              <w:bottom w:type="dxa" w:w="80"/>
              <w:right w:type="dxa" w:w="110"/>
            </w:tcMar>
          </w:tcPr>
          <w:p>
            <w:r>
              <w:rPr>
                <w:rFonts w:ascii="Arial" w:cs="Arial" w:eastAsia="Arial" w:hAnsi="Arial"/>
                <w:b w:val="false"/>
                <w:bCs w:val="false"/>
                <w:color w:val="0D1B2A"/>
                <w:sz w:val="19"/>
                <w:szCs w:val="19"/>
              </w:rPr>
              <w:t xml:space="preserve">GET /api/seismic/events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10"/>
              <w:bottom w:type="dxa" w:w="80"/>
              <w:right w:type="dxa" w:w="110"/>
            </w:tcMar>
          </w:tcPr>
          <w:p>
            <w:r>
              <w:rPr>
                <w:rFonts w:ascii="Arial" w:cs="Arial" w:eastAsia="Arial" w:hAnsi="Arial"/>
                <w:b w:val="false"/>
                <w:bCs w:val="false"/>
                <w:color w:val="0D1B2A"/>
                <w:sz w:val="19"/>
                <w:szCs w:val="19"/>
              </w:rPr>
              <w:t xml:space="preserve">Public feed of confirmed seismic events. Params: bbox, date_from, date_to, min_magnitude, formation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GET /api/seismic/events/:id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Single event detail with contributing device count, classification, formation data</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10"/>
              <w:bottom w:type="dxa" w:w="80"/>
              <w:right w:type="dxa" w:w="110"/>
            </w:tcMar>
          </w:tcPr>
          <w:p>
            <w:r>
              <w:rPr>
                <w:rFonts w:ascii="Arial" w:cs="Arial" w:eastAsia="Arial" w:hAnsi="Arial"/>
                <w:b w:val="false"/>
                <w:bCs w:val="false"/>
                <w:color w:val="0D1B2A"/>
                <w:sz w:val="19"/>
                <w:szCs w:val="19"/>
              </w:rPr>
              <w:t xml:space="preserve">GET /api/seismic/stats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10"/>
              <w:bottom w:type="dxa" w:w="80"/>
              <w:right w:type="dxa" w:w="110"/>
            </w:tcMar>
          </w:tcPr>
          <w:p>
            <w:r>
              <w:rPr>
                <w:rFonts w:ascii="Arial" w:cs="Arial" w:eastAsia="Arial" w:hAnsi="Arial"/>
                <w:b w:val="false"/>
                <w:bCs w:val="false"/>
                <w:color w:val="0D1B2A"/>
                <w:sz w:val="19"/>
                <w:szCs w:val="19"/>
              </w:rPr>
              <w:t xml:space="preserve">Network statistics: active sensor count, events today, events this month, coverage 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GET /api/seismic/export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D1B2A"/>
                <w:sz w:val="19"/>
                <w:szCs w:val="19"/>
              </w:rPr>
              <w:t xml:space="preserve">OGS-format export of seismic events (authenticated, Expert tier)</w:t>
            </w:r>
          </w:p>
        </w:tc>
      </w:tr>
    </w:tbl>
    <w:p>
      <w:pPr>
        <w:spacing w:after="0" w:before="0"/>
      </w:pPr>
    </w:p>
    <w:p>
      <w:pPr>
        <w:pBdr>
          <w:bottom w:val="single" w:color="2A5E8A" w:sz="6" w:space="1"/>
        </w:pBdr>
        <w:spacing w:after="280" w:before="280"/>
      </w:pPr>
    </w:p>
    <w:p>
      <w:pPr>
        <w:pStyle w:val="Heading1"/>
        <w:spacing w:after="180" w:before="520"/>
      </w:pPr>
      <w:r>
        <w:rPr>
          <w:rFonts w:ascii="Arial" w:cs="Arial" w:eastAsia="Arial" w:hAnsi="Arial"/>
          <w:b/>
          <w:bCs/>
          <w:color w:val="0D1B2A"/>
          <w:sz w:val="34"/>
          <w:szCs w:val="34"/>
        </w:rPr>
        <w:t xml:space="preserve">User Experience</w:t>
      </w:r>
    </w:p>
    <w:p>
      <w:pPr>
        <w:pStyle w:val="Heading2"/>
        <w:spacing w:after="130" w:before="340"/>
      </w:pPr>
      <w:r>
        <w:rPr>
          <w:rFonts w:ascii="Arial" w:cs="Arial" w:eastAsia="Arial" w:hAnsi="Arial"/>
          <w:b/>
          <w:bCs/>
          <w:color w:val="2A5E8A"/>
          <w:sz w:val="27"/>
          <w:szCs w:val="27"/>
        </w:rPr>
        <w:t xml:space="preserve">Opt-In Flow</w:t>
      </w:r>
    </w:p>
    <w:p>
      <w:pPr>
        <w:spacing w:after="130" w:before="80"/>
      </w:pPr>
      <w:r>
        <w:rPr>
          <w:rFonts w:ascii="Arial" w:cs="Arial" w:eastAsia="Arial" w:hAnsi="Arial"/>
          <w:color w:val="0D1B2A"/>
          <w:sz w:val="22"/>
          <w:szCs w:val="22"/>
        </w:rPr>
        <w:t xml:space="preserve">Digby Seismic is strictly opt-in. The consent flow must be transparent and honest:</w:t>
      </w:r>
    </w:p>
    <w:p>
      <w:pPr>
        <w:pStyle w:val="ListParagraph"/>
        <w:numPr>
          <w:ilvl w:val="0"/>
          <w:numId w:val="3"/>
        </w:numPr>
        <w:spacing w:after="60" w:before="60"/>
      </w:pPr>
      <w:r>
        <w:rPr>
          <w:rFonts w:ascii="Arial" w:cs="Arial" w:eastAsia="Arial" w:hAnsi="Arial"/>
          <w:color w:val="0D1B2A"/>
          <w:sz w:val="22"/>
          <w:szCs w:val="22"/>
        </w:rPr>
        <w:t xml:space="preserve">User sees a prompt in the digby app: “Digby Seismic — turn your phone into a geological sensor”</w:t>
      </w:r>
    </w:p>
    <w:p>
      <w:pPr>
        <w:pStyle w:val="ListParagraph"/>
        <w:numPr>
          <w:ilvl w:val="0"/>
          <w:numId w:val="3"/>
        </w:numPr>
        <w:spacing w:after="60" w:before="60"/>
      </w:pPr>
      <w:r>
        <w:rPr>
          <w:rFonts w:ascii="Arial" w:cs="Arial" w:eastAsia="Arial" w:hAnsi="Arial"/>
          <w:color w:val="0D1B2A"/>
          <w:sz w:val="22"/>
          <w:szCs w:val="22"/>
        </w:rPr>
        <w:t xml:space="preserve">Plain-language explanation of exactly what is collected, when, and why</w:t>
      </w:r>
    </w:p>
    <w:p>
      <w:pPr>
        <w:pStyle w:val="ListParagraph"/>
        <w:numPr>
          <w:ilvl w:val="0"/>
          <w:numId w:val="3"/>
        </w:numPr>
        <w:spacing w:after="60" w:before="60"/>
      </w:pPr>
      <w:r>
        <w:rPr>
          <w:rFonts w:ascii="Arial" w:cs="Arial" w:eastAsia="Arial" w:hAnsi="Arial"/>
          <w:color w:val="0D1B2A"/>
          <w:sz w:val="22"/>
          <w:szCs w:val="22"/>
        </w:rPr>
        <w:t xml:space="preserve">Explicit statement of what is NOT collected (no audio, no continuous location tracking, no personal data beyond current GPS when stationary)</w:t>
      </w:r>
    </w:p>
    <w:p>
      <w:pPr>
        <w:pStyle w:val="ListParagraph"/>
        <w:numPr>
          <w:ilvl w:val="0"/>
          <w:numId w:val="3"/>
        </w:numPr>
        <w:spacing w:after="60" w:before="60"/>
      </w:pPr>
      <w:r>
        <w:rPr>
          <w:rFonts w:ascii="Arial" w:cs="Arial" w:eastAsia="Arial" w:hAnsi="Arial"/>
          <w:color w:val="0D1B2A"/>
          <w:sz w:val="22"/>
          <w:szCs w:val="22"/>
        </w:rPr>
        <w:t xml:space="preserve">Confirmation that they can withdraw consent at any time and all their data will be deleted</w:t>
      </w:r>
    </w:p>
    <w:p>
      <w:pPr>
        <w:pStyle w:val="ListParagraph"/>
        <w:numPr>
          <w:ilvl w:val="0"/>
          <w:numId w:val="3"/>
        </w:numPr>
        <w:spacing w:after="60" w:before="60"/>
      </w:pPr>
      <w:r>
        <w:rPr>
          <w:rFonts w:ascii="Arial" w:cs="Arial" w:eastAsia="Arial" w:hAnsi="Arial"/>
          <w:color w:val="0D1B2A"/>
          <w:sz w:val="22"/>
          <w:szCs w:val="22"/>
        </w:rPr>
        <w:t xml:space="preserve">One-tap opt-in. No dark patterns, no default-on, no buried settings.</w:t>
      </w:r>
    </w:p>
    <w:p>
      <w:pPr>
        <w:pBdr>
          <w:left w:val="single" w:color="2A5E8A" w:sz="12" w:space="8"/>
        </w:pBdr>
        <w:spacing w:after="140" w:before="140"/>
        <w:ind w:left="360"/>
      </w:pPr>
      <w:r>
        <w:rPr>
          <w:rFonts w:ascii="Arial" w:cs="Arial" w:eastAsia="Arial" w:hAnsi="Arial"/>
          <w:i/>
          <w:iCs/>
          <w:color w:val="444444"/>
          <w:sz w:val="20"/>
          <w:szCs w:val="20"/>
        </w:rPr>
        <w:t xml:space="preserve">The consent language should be written by a human, reviewed by a lawyer, and read by someone who is not a developer before it goes live. This is the most legally sensitive part of the feature.</w:t>
      </w:r>
    </w:p>
    <w:p>
      <w:pPr>
        <w:pStyle w:val="Heading2"/>
        <w:spacing w:after="130" w:before="340"/>
      </w:pPr>
      <w:r>
        <w:rPr>
          <w:rFonts w:ascii="Arial" w:cs="Arial" w:eastAsia="Arial" w:hAnsi="Arial"/>
          <w:b/>
          <w:bCs/>
          <w:color w:val="2A5E8A"/>
          <w:sz w:val="27"/>
          <w:szCs w:val="27"/>
        </w:rPr>
        <w:t xml:space="preserve">In-App Experience</w:t>
      </w:r>
    </w:p>
    <w:p>
      <w:pPr>
        <w:pStyle w:val="ListParagraph"/>
        <w:numPr>
          <w:ilvl w:val="0"/>
          <w:numId w:val="2"/>
        </w:numPr>
        <w:spacing w:after="60" w:before="60"/>
      </w:pPr>
      <w:r>
        <w:rPr>
          <w:rFonts w:ascii="Arial" w:cs="Arial" w:eastAsia="Arial" w:hAnsi="Arial"/>
          <w:color w:val="0D1B2A"/>
          <w:sz w:val="22"/>
          <w:szCs w:val="22"/>
        </w:rPr>
        <w:t xml:space="preserve">Seismic status indicator on the digby home screen: a subtle pulse animation when the sensor is active</w:t>
      </w:r>
    </w:p>
    <w:p>
      <w:pPr>
        <w:pStyle w:val="ListParagraph"/>
        <w:numPr>
          <w:ilvl w:val="0"/>
          <w:numId w:val="2"/>
        </w:numPr>
        <w:spacing w:after="60" w:before="60"/>
      </w:pPr>
      <w:r>
        <w:rPr>
          <w:rFonts w:ascii="Arial" w:cs="Arial" w:eastAsia="Arial" w:hAnsi="Arial"/>
          <w:color w:val="0D1B2A"/>
          <w:sz w:val="22"/>
          <w:szCs w:val="22"/>
        </w:rPr>
        <w:t xml:space="preserve">Personal seismic history: every event your phone contributed to, with a map showing where you were and what was detected</w:t>
      </w:r>
    </w:p>
    <w:p>
      <w:pPr>
        <w:pStyle w:val="ListParagraph"/>
        <w:numPr>
          <w:ilvl w:val="0"/>
          <w:numId w:val="2"/>
        </w:numPr>
        <w:spacing w:after="60" w:before="60"/>
      </w:pPr>
      <w:r>
        <w:rPr>
          <w:rFonts w:ascii="Arial" w:cs="Arial" w:eastAsia="Arial" w:hAnsi="Arial"/>
          <w:color w:val="0D1B2A"/>
          <w:sz w:val="22"/>
          <w:szCs w:val="22"/>
        </w:rPr>
        <w:t xml:space="preserve">“Your contribution” stats: total events contributed, estimated coverage area, comparison to OGS permanent network coverage</w:t>
      </w:r>
    </w:p>
    <w:p>
      <w:pPr>
        <w:pStyle w:val="ListParagraph"/>
        <w:numPr>
          <w:ilvl w:val="0"/>
          <w:numId w:val="2"/>
        </w:numPr>
        <w:spacing w:after="60" w:before="60"/>
      </w:pPr>
      <w:r>
        <w:rPr>
          <w:rFonts w:ascii="Arial" w:cs="Arial" w:eastAsia="Arial" w:hAnsi="Arial"/>
          <w:color w:val="0D1B2A"/>
          <w:sz w:val="22"/>
          <w:szCs w:val="22"/>
        </w:rPr>
        <w:t xml:space="preserve">Live event feed: recent confirmed seismic events in Ontario, mapped on the geology map</w:t>
      </w:r>
    </w:p>
    <w:p>
      <w:pPr>
        <w:pStyle w:val="ListParagraph"/>
        <w:numPr>
          <w:ilvl w:val="0"/>
          <w:numId w:val="2"/>
        </w:numPr>
        <w:spacing w:after="60" w:before="60"/>
      </w:pPr>
      <w:r>
        <w:rPr>
          <w:rFonts w:ascii="Arial" w:cs="Arial" w:eastAsia="Arial" w:hAnsi="Arial"/>
          <w:color w:val="0D1B2A"/>
          <w:sz w:val="22"/>
          <w:szCs w:val="22"/>
        </w:rPr>
        <w:t xml:space="preserve">Notification option: “Alert me when a seismic event is detected near a digby site” — off by default</w:t>
      </w:r>
    </w:p>
    <w:p>
      <w:pPr>
        <w:pStyle w:val="Heading2"/>
        <w:spacing w:after="130" w:before="340"/>
      </w:pPr>
      <w:r>
        <w:rPr>
          <w:rFonts w:ascii="Arial" w:cs="Arial" w:eastAsia="Arial" w:hAnsi="Arial"/>
          <w:b/>
          <w:bCs/>
          <w:color w:val="2A5E8A"/>
          <w:sz w:val="27"/>
          <w:szCs w:val="27"/>
        </w:rPr>
        <w:t xml:space="preserve">Public Seismic Map</w:t>
      </w:r>
    </w:p>
    <w:p>
      <w:pPr>
        <w:spacing w:after="130" w:before="80"/>
      </w:pPr>
      <w:r>
        <w:rPr>
          <w:rFonts w:ascii="Arial" w:cs="Arial" w:eastAsia="Arial" w:hAnsi="Arial"/>
          <w:color w:val="0D1B2A"/>
          <w:sz w:val="22"/>
          <w:szCs w:val="22"/>
        </w:rPr>
        <w:t xml:space="preserve">A public-facing page at /seismic showing:</w:t>
      </w:r>
    </w:p>
    <w:p>
      <w:pPr>
        <w:pStyle w:val="ListParagraph"/>
        <w:numPr>
          <w:ilvl w:val="0"/>
          <w:numId w:val="2"/>
        </w:numPr>
        <w:spacing w:after="60" w:before="60"/>
      </w:pPr>
      <w:r>
        <w:rPr>
          <w:rFonts w:ascii="Arial" w:cs="Arial" w:eastAsia="Arial" w:hAnsi="Arial"/>
          <w:color w:val="0D1B2A"/>
          <w:sz w:val="22"/>
          <w:szCs w:val="22"/>
        </w:rPr>
        <w:t xml:space="preserve">Real-time map of recent seismic events in Ontario overlaid on the geology map</w:t>
      </w:r>
    </w:p>
    <w:p>
      <w:pPr>
        <w:pStyle w:val="ListParagraph"/>
        <w:numPr>
          <w:ilvl w:val="0"/>
          <w:numId w:val="2"/>
        </w:numPr>
        <w:spacing w:after="60" w:before="60"/>
      </w:pPr>
      <w:r>
        <w:rPr>
          <w:rFonts w:ascii="Arial" w:cs="Arial" w:eastAsia="Arial" w:hAnsi="Arial"/>
          <w:color w:val="0D1B2A"/>
          <w:sz w:val="22"/>
          <w:szCs w:val="22"/>
        </w:rPr>
        <w:t xml:space="preserve">Event classification (natural / quarry blast / unknown) and estimated magnitude</w:t>
      </w:r>
    </w:p>
    <w:p>
      <w:pPr>
        <w:pStyle w:val="ListParagraph"/>
        <w:numPr>
          <w:ilvl w:val="0"/>
          <w:numId w:val="2"/>
        </w:numPr>
        <w:spacing w:after="60" w:before="60"/>
      </w:pPr>
      <w:r>
        <w:rPr>
          <w:rFonts w:ascii="Arial" w:cs="Arial" w:eastAsia="Arial" w:hAnsi="Arial"/>
          <w:color w:val="0D1B2A"/>
          <w:sz w:val="22"/>
          <w:szCs w:val="22"/>
        </w:rPr>
        <w:t xml:space="preserve">Active sensor density heatmap showing current network coverage</w:t>
      </w:r>
    </w:p>
    <w:p>
      <w:pPr>
        <w:pStyle w:val="ListParagraph"/>
        <w:numPr>
          <w:ilvl w:val="0"/>
          <w:numId w:val="2"/>
        </w:numPr>
        <w:spacing w:after="60" w:before="60"/>
      </w:pPr>
      <w:r>
        <w:rPr>
          <w:rFonts w:ascii="Arial" w:cs="Arial" w:eastAsia="Arial" w:hAnsi="Arial"/>
          <w:color w:val="0D1B2A"/>
          <w:sz w:val="22"/>
          <w:szCs w:val="22"/>
        </w:rPr>
        <w:t xml:space="preserve">Historical event timeline with filtering by region and magnitude</w:t>
      </w:r>
    </w:p>
    <w:p>
      <w:pPr>
        <w:pStyle w:val="ListParagraph"/>
        <w:numPr>
          <w:ilvl w:val="0"/>
          <w:numId w:val="2"/>
        </w:numPr>
        <w:spacing w:after="60" w:before="60"/>
      </w:pPr>
      <w:r>
        <w:rPr>
          <w:rFonts w:ascii="Arial" w:cs="Arial" w:eastAsia="Arial" w:hAnsi="Arial"/>
          <w:color w:val="0D1B2A"/>
          <w:sz w:val="22"/>
          <w:szCs w:val="22"/>
        </w:rPr>
        <w:t xml:space="preserve">Plain-language explanation of what micro-seismic events are and why they matter</w:t>
      </w:r>
    </w:p>
    <w:p>
      <w:pPr>
        <w:spacing w:after="130" w:before="80"/>
      </w:pPr>
      <w:r>
        <w:rPr>
          <w:rFonts w:ascii="Arial" w:cs="Arial" w:eastAsia="Arial" w:hAnsi="Arial"/>
          <w:color w:val="0D1B2A"/>
          <w:sz w:val="22"/>
          <w:szCs w:val="22"/>
        </w:rPr>
        <w:t xml:space="preserve">The seismic map is a public-facing demonstration of citizen science in action. It should be visually compelling — a live map of the ground moving is inherently fascinating to anyone interested in geology.</w:t>
      </w:r>
    </w:p>
    <w:p>
      <w:pPr>
        <w:pBdr>
          <w:bottom w:val="single" w:color="2A5E8A" w:sz="6" w:space="1"/>
        </w:pBdr>
        <w:spacing w:after="280" w:before="280"/>
      </w:pPr>
    </w:p>
    <w:p>
      <w:pPr>
        <w:pStyle w:val="Heading1"/>
        <w:spacing w:after="180" w:before="520"/>
      </w:pPr>
      <w:r>
        <w:rPr>
          <w:rFonts w:ascii="Arial" w:cs="Arial" w:eastAsia="Arial" w:hAnsi="Arial"/>
          <w:b/>
          <w:bCs/>
          <w:color w:val="0D1B2A"/>
          <w:sz w:val="34"/>
          <w:szCs w:val="34"/>
        </w:rPr>
        <w:t xml:space="preserve">The OGS Partnership Angle</w:t>
      </w:r>
    </w:p>
    <w:p>
      <w:pPr>
        <w:spacing w:after="130" w:before="80"/>
      </w:pPr>
      <w:r>
        <w:rPr>
          <w:rFonts w:ascii="Arial" w:cs="Arial" w:eastAsia="Arial" w:hAnsi="Arial"/>
          <w:color w:val="0D1B2A"/>
          <w:sz w:val="22"/>
          <w:szCs w:val="22"/>
        </w:rPr>
        <w:t xml:space="preserve">Digby Seismic transforms the OGS partnership conversation from “we have a mineral occurrence dataset” to “we have a distributed seismic monitoring network covering Eastern Ontario, georeferenced to your formation data, operated by a community of people who understand what they’re contributing to.”</w:t>
      </w:r>
    </w:p>
    <w:p>
      <w:pPr>
        <w:spacing w:after="130" w:before="80"/>
      </w:pPr>
      <w:r>
        <w:rPr>
          <w:rFonts w:ascii="Arial" w:cs="Arial" w:eastAsia="Arial" w:hAnsi="Arial"/>
          <w:color w:val="0D1B2A"/>
          <w:sz w:val="22"/>
          <w:szCs w:val="22"/>
        </w:rPr>
        <w:t xml:space="preserve">That is a fundamentally different proposition. The OGS and GSC spend significant resources maintaining permanent seismic monitoring infrastructure. Digby Seismic extends that infrastructure at essentially zero marginal cost per sensor, in exactly the regions where permanent network density is lowest.</w:t>
      </w:r>
    </w:p>
    <w:p>
      <w:pPr>
        <w:spacing w:after="130" w:before="80"/>
      </w:pPr>
      <w:r>
        <w:rPr>
          <w:rFonts w:ascii="Arial" w:cs="Arial" w:eastAsia="Arial" w:hAnsi="Arial"/>
          <w:color w:val="0D1B2A"/>
          <w:sz w:val="22"/>
          <w:szCs w:val="22"/>
        </w:rPr>
        <w:t xml:space="preserve">The formal partnership structure mirrors the citizen science data-sharing framework already proposed:</w:t>
      </w:r>
    </w:p>
    <w:p>
      <w:pPr>
        <w:pStyle w:val="ListParagraph"/>
        <w:numPr>
          <w:ilvl w:val="0"/>
          <w:numId w:val="2"/>
        </w:numPr>
        <w:spacing w:after="60" w:before="60"/>
      </w:pPr>
      <w:r>
        <w:rPr>
          <w:rFonts w:ascii="Arial" w:cs="Arial" w:eastAsia="Arial" w:hAnsi="Arial"/>
          <w:color w:val="0D1B2A"/>
          <w:sz w:val="22"/>
          <w:szCs w:val="22"/>
        </w:rPr>
        <w:t xml:space="preserve">Digby shares confirmed seismic event data with OGS in agreed format on a scheduled basis</w:t>
      </w:r>
    </w:p>
    <w:p>
      <w:pPr>
        <w:pStyle w:val="ListParagraph"/>
        <w:numPr>
          <w:ilvl w:val="0"/>
          <w:numId w:val="2"/>
        </w:numPr>
        <w:spacing w:after="60" w:before="60"/>
      </w:pPr>
      <w:r>
        <w:rPr>
          <w:rFonts w:ascii="Arial" w:cs="Arial" w:eastAsia="Arial" w:hAnsi="Arial"/>
          <w:color w:val="0D1B2A"/>
          <w:sz w:val="22"/>
          <w:szCs w:val="22"/>
        </w:rPr>
        <w:t xml:space="preserve">OGS provides formation-level context that improves Digby’s event classification accuracy</w:t>
      </w:r>
    </w:p>
    <w:p>
      <w:pPr>
        <w:pStyle w:val="ListParagraph"/>
        <w:numPr>
          <w:ilvl w:val="0"/>
          <w:numId w:val="2"/>
        </w:numPr>
        <w:spacing w:after="60" w:before="60"/>
      </w:pPr>
      <w:r>
        <w:rPr>
          <w:rFonts w:ascii="Arial" w:cs="Arial" w:eastAsia="Arial" w:hAnsi="Arial"/>
          <w:color w:val="0D1B2A"/>
          <w:sz w:val="22"/>
          <w:szCs w:val="22"/>
        </w:rPr>
        <w:t xml:space="preserve">OGS expert review of events above the magnitude threshold</w:t>
      </w:r>
    </w:p>
    <w:p>
      <w:pPr>
        <w:pStyle w:val="ListParagraph"/>
        <w:numPr>
          <w:ilvl w:val="0"/>
          <w:numId w:val="2"/>
        </w:numPr>
        <w:spacing w:after="60" w:before="60"/>
      </w:pPr>
      <w:r>
        <w:rPr>
          <w:rFonts w:ascii="Arial" w:cs="Arial" w:eastAsia="Arial" w:hAnsi="Arial"/>
          <w:color w:val="0D1B2A"/>
          <w:sz w:val="22"/>
          <w:szCs w:val="22"/>
        </w:rPr>
        <w:t xml:space="preserve">Co-branding: “Digby Seismic — in partnership with the Ontario Geological Survey”</w:t>
      </w:r>
    </w:p>
    <w:p>
      <w:pPr>
        <w:pBdr>
          <w:left w:val="single" w:color="2A5E8A" w:sz="12" w:space="8"/>
        </w:pBdr>
        <w:spacing w:after="140" w:before="140"/>
        <w:ind w:left="360"/>
      </w:pPr>
      <w:r>
        <w:rPr>
          <w:rFonts w:ascii="Arial" w:cs="Arial" w:eastAsia="Arial" w:hAnsi="Arial"/>
          <w:i/>
          <w:iCs/>
          <w:color w:val="444444"/>
          <w:sz w:val="20"/>
          <w:szCs w:val="20"/>
        </w:rPr>
        <w:t xml:space="preserve">Do not launch Digby Seismic publicly before having a conversation with OGS. This is a feature that benefits enormously from institutional endorsement and could cause problems without it. The OGS conversation should happen first.</w:t>
      </w:r>
    </w:p>
    <w:p>
      <w:pPr>
        <w:pBdr>
          <w:bottom w:val="single" w:color="2A5E8A" w:sz="6" w:space="1"/>
        </w:pBdr>
        <w:spacing w:after="280" w:before="280"/>
      </w:pPr>
    </w:p>
    <w:p>
      <w:pPr>
        <w:pStyle w:val="Heading1"/>
        <w:spacing w:after="180" w:before="520"/>
      </w:pPr>
      <w:r>
        <w:rPr>
          <w:rFonts w:ascii="Arial" w:cs="Arial" w:eastAsia="Arial" w:hAnsi="Arial"/>
          <w:b/>
          <w:bCs/>
          <w:color w:val="0D1B2A"/>
          <w:sz w:val="34"/>
          <w:szCs w:val="34"/>
        </w:rPr>
        <w:t xml:space="preserve">Privacy &amp; Legal Considerations</w:t>
      </w:r>
    </w:p>
    <w:p>
      <w:pPr>
        <w:pStyle w:val="ListParagraph"/>
        <w:numPr>
          <w:ilvl w:val="0"/>
          <w:numId w:val="2"/>
        </w:numPr>
        <w:spacing w:after="60" w:before="60"/>
      </w:pPr>
      <w:r>
        <w:rPr>
          <w:rFonts w:ascii="Arial" w:cs="Arial" w:eastAsia="Arial" w:hAnsi="Arial"/>
          <w:color w:val="0D1B2A"/>
          <w:sz w:val="22"/>
          <w:szCs w:val="22"/>
        </w:rPr>
        <w:t xml:space="preserve">Obtain legal review of the consent flow and data collection practices before any public beta</w:t>
      </w:r>
    </w:p>
    <w:p>
      <w:pPr>
        <w:pStyle w:val="ListParagraph"/>
        <w:numPr>
          <w:ilvl w:val="0"/>
          <w:numId w:val="2"/>
        </w:numPr>
        <w:spacing w:after="60" w:before="60"/>
      </w:pPr>
      <w:r>
        <w:rPr>
          <w:rFonts w:ascii="Arial" w:cs="Arial" w:eastAsia="Arial" w:hAnsi="Arial"/>
          <w:color w:val="0D1B2A"/>
          <w:sz w:val="22"/>
          <w:szCs w:val="22"/>
        </w:rPr>
        <w:t xml:space="preserve">Publish a clear, specific privacy policy addendum for Digby Seismic — separate from the main digby privacy policy</w:t>
      </w:r>
    </w:p>
    <w:p>
      <w:pPr>
        <w:pStyle w:val="ListParagraph"/>
        <w:numPr>
          <w:ilvl w:val="0"/>
          <w:numId w:val="2"/>
        </w:numPr>
        <w:spacing w:after="60" w:before="60"/>
      </w:pPr>
      <w:r>
        <w:rPr>
          <w:rFonts w:ascii="Arial" w:cs="Arial" w:eastAsia="Arial" w:hAnsi="Arial"/>
          <w:color w:val="0D1B2A"/>
          <w:sz w:val="22"/>
          <w:szCs w:val="22"/>
        </w:rPr>
        <w:t xml:space="preserve">Data retention: raw event records retained for 12 months; aggregated event records retained indefinitely; user can delete their personal contribution history at any time</w:t>
      </w:r>
    </w:p>
    <w:p>
      <w:pPr>
        <w:pStyle w:val="ListParagraph"/>
        <w:numPr>
          <w:ilvl w:val="0"/>
          <w:numId w:val="2"/>
        </w:numPr>
        <w:spacing w:after="60" w:before="60"/>
      </w:pPr>
      <w:r>
        <w:rPr>
          <w:rFonts w:ascii="Arial" w:cs="Arial" w:eastAsia="Arial" w:hAnsi="Arial"/>
          <w:color w:val="0D1B2A"/>
          <w:sz w:val="22"/>
          <w:szCs w:val="22"/>
        </w:rPr>
        <w:t xml:space="preserve">PIPEDA compliance (Canada’s federal privacy law) review required before launch</w:t>
      </w:r>
    </w:p>
    <w:p>
      <w:pPr>
        <w:pStyle w:val="ListParagraph"/>
        <w:numPr>
          <w:ilvl w:val="0"/>
          <w:numId w:val="2"/>
        </w:numPr>
        <w:spacing w:after="60" w:before="60"/>
      </w:pPr>
      <w:r>
        <w:rPr>
          <w:rFonts w:ascii="Arial" w:cs="Arial" w:eastAsia="Arial" w:hAnsi="Arial"/>
          <w:color w:val="0D1B2A"/>
          <w:sz w:val="22"/>
          <w:szCs w:val="22"/>
        </w:rPr>
        <w:t xml:space="preserve">Consider whether anonymisation of device IDs in public event data is required — err toward yes</w:t>
      </w:r>
    </w:p>
    <w:p>
      <w:pPr>
        <w:pStyle w:val="ListParagraph"/>
        <w:numPr>
          <w:ilvl w:val="0"/>
          <w:numId w:val="2"/>
        </w:numPr>
        <w:spacing w:after="60" w:before="60"/>
      </w:pPr>
      <w:r>
        <w:rPr>
          <w:rFonts w:ascii="Arial" w:cs="Arial" w:eastAsia="Arial" w:hAnsi="Arial"/>
          <w:color w:val="0D1B2A"/>
          <w:sz w:val="22"/>
          <w:szCs w:val="22"/>
        </w:rPr>
        <w:t xml:space="preserve">App store review: both Apple and Google have specific requirements for apps that collect sensor data in the background. Review App Store guidelines section 5.1 and Google Play policy before submission.</w:t>
      </w:r>
    </w:p>
    <w:p>
      <w:pPr>
        <w:pBdr>
          <w:bottom w:val="single" w:color="2A5E8A" w:sz="6" w:space="1"/>
        </w:pBdr>
        <w:spacing w:after="280" w:before="280"/>
      </w:pPr>
    </w:p>
    <w:p>
      <w:pPr>
        <w:pStyle w:val="Heading1"/>
        <w:spacing w:after="180" w:before="520"/>
      </w:pPr>
      <w:r>
        <w:rPr>
          <w:rFonts w:ascii="Arial" w:cs="Arial" w:eastAsia="Arial" w:hAnsi="Arial"/>
          <w:b/>
          <w:bCs/>
          <w:color w:val="0D1B2A"/>
          <w:sz w:val="34"/>
          <w:szCs w:val="34"/>
        </w:rPr>
        <w:t xml:space="preserve">Build Sequence</w:t>
      </w:r>
    </w:p>
    <w:p>
      <w:pPr>
        <w:pStyle w:val="ListParagraph"/>
        <w:numPr>
          <w:ilvl w:val="0"/>
          <w:numId w:val="3"/>
        </w:numPr>
        <w:spacing w:after="60" w:before="60"/>
      </w:pPr>
      <w:r>
        <w:rPr>
          <w:rFonts w:ascii="Arial" w:cs="Arial" w:eastAsia="Arial" w:hAnsi="Arial"/>
          <w:color w:val="0D1B2A"/>
          <w:sz w:val="22"/>
          <w:szCs w:val="22"/>
        </w:rPr>
        <w:t xml:space="preserve">Privacy and legal review — before any code is written</w:t>
      </w:r>
    </w:p>
    <w:p>
      <w:pPr>
        <w:pStyle w:val="ListParagraph"/>
        <w:numPr>
          <w:ilvl w:val="0"/>
          <w:numId w:val="3"/>
        </w:numPr>
        <w:spacing w:after="60" w:before="60"/>
      </w:pPr>
      <w:r>
        <w:rPr>
          <w:rFonts w:ascii="Arial" w:cs="Arial" w:eastAsia="Arial" w:hAnsi="Arial"/>
          <w:color w:val="0D1B2A"/>
          <w:sz w:val="22"/>
          <w:szCs w:val="22"/>
        </w:rPr>
        <w:t xml:space="preserve">OGS pre-conversation — gauge interest and get informal endorsement</w:t>
      </w:r>
    </w:p>
    <w:p>
      <w:pPr>
        <w:pStyle w:val="ListParagraph"/>
        <w:numPr>
          <w:ilvl w:val="0"/>
          <w:numId w:val="3"/>
        </w:numPr>
        <w:spacing w:after="60" w:before="60"/>
      </w:pPr>
      <w:r>
        <w:rPr>
          <w:rFonts w:ascii="Arial" w:cs="Arial" w:eastAsia="Arial" w:hAnsi="Arial"/>
          <w:color w:val="0D1B2A"/>
          <w:sz w:val="22"/>
          <w:szCs w:val="22"/>
        </w:rPr>
        <w:t xml:space="preserve">On-device event detection algorithm — iOS and Android, background task</w:t>
      </w:r>
    </w:p>
    <w:p>
      <w:pPr>
        <w:pStyle w:val="ListParagraph"/>
        <w:numPr>
          <w:ilvl w:val="0"/>
          <w:numId w:val="3"/>
        </w:numPr>
        <w:spacing w:after="60" w:before="60"/>
      </w:pPr>
      <w:r>
        <w:rPr>
          <w:rFonts w:ascii="Arial" w:cs="Arial" w:eastAsia="Arial" w:hAnsi="Arial"/>
          <w:color w:val="0D1B2A"/>
          <w:sz w:val="22"/>
          <w:szCs w:val="22"/>
        </w:rPr>
        <w:t xml:space="preserve">Server-side event aggregation and triangulation</w:t>
      </w:r>
    </w:p>
    <w:p>
      <w:pPr>
        <w:pStyle w:val="ListParagraph"/>
        <w:numPr>
          <w:ilvl w:val="0"/>
          <w:numId w:val="3"/>
        </w:numPr>
        <w:spacing w:after="60" w:before="60"/>
      </w:pPr>
      <w:r>
        <w:rPr>
          <w:rFonts w:ascii="Arial" w:cs="Arial" w:eastAsia="Arial" w:hAnsi="Arial"/>
          <w:color w:val="0D1B2A"/>
          <w:sz w:val="22"/>
          <w:szCs w:val="22"/>
        </w:rPr>
        <w:t xml:space="preserve">POST /api/seismic/event endpoint with authentication and rate limiting</w:t>
      </w:r>
    </w:p>
    <w:p>
      <w:pPr>
        <w:pStyle w:val="ListParagraph"/>
        <w:numPr>
          <w:ilvl w:val="0"/>
          <w:numId w:val="3"/>
        </w:numPr>
        <w:spacing w:after="60" w:before="60"/>
      </w:pPr>
      <w:r>
        <w:rPr>
          <w:rFonts w:ascii="Arial" w:cs="Arial" w:eastAsia="Arial" w:hAnsi="Arial"/>
          <w:color w:val="0D1B2A"/>
          <w:sz w:val="22"/>
          <w:szCs w:val="22"/>
        </w:rPr>
        <w:t xml:space="preserve">Opt-in consent flow in the digby mobile app</w:t>
      </w:r>
    </w:p>
    <w:p>
      <w:pPr>
        <w:pStyle w:val="ListParagraph"/>
        <w:numPr>
          <w:ilvl w:val="0"/>
          <w:numId w:val="3"/>
        </w:numPr>
        <w:spacing w:after="60" w:before="60"/>
      </w:pPr>
      <w:r>
        <w:rPr>
          <w:rFonts w:ascii="Arial" w:cs="Arial" w:eastAsia="Arial" w:hAnsi="Arial"/>
          <w:color w:val="0D1B2A"/>
          <w:sz w:val="22"/>
          <w:szCs w:val="22"/>
        </w:rPr>
        <w:t xml:space="preserve">Personal seismic history UI</w:t>
      </w:r>
    </w:p>
    <w:p>
      <w:pPr>
        <w:pStyle w:val="ListParagraph"/>
        <w:numPr>
          <w:ilvl w:val="0"/>
          <w:numId w:val="3"/>
        </w:numPr>
        <w:spacing w:after="60" w:before="60"/>
      </w:pPr>
      <w:r>
        <w:rPr>
          <w:rFonts w:ascii="Arial" w:cs="Arial" w:eastAsia="Arial" w:hAnsi="Arial"/>
          <w:color w:val="0D1B2A"/>
          <w:sz w:val="22"/>
          <w:szCs w:val="22"/>
        </w:rPr>
        <w:t xml:space="preserve">Public seismic map at /seismic</w:t>
      </w:r>
    </w:p>
    <w:p>
      <w:pPr>
        <w:pStyle w:val="ListParagraph"/>
        <w:numPr>
          <w:ilvl w:val="0"/>
          <w:numId w:val="3"/>
        </w:numPr>
        <w:spacing w:after="60" w:before="60"/>
      </w:pPr>
      <w:r>
        <w:rPr>
          <w:rFonts w:ascii="Arial" w:cs="Arial" w:eastAsia="Arial" w:hAnsi="Arial"/>
          <w:color w:val="0D1B2A"/>
          <w:sz w:val="22"/>
          <w:szCs w:val="22"/>
        </w:rPr>
        <w:t xml:space="preserve">Public API endpoints for seismic event data</w:t>
      </w:r>
    </w:p>
    <w:p>
      <w:pPr>
        <w:pStyle w:val="ListParagraph"/>
        <w:numPr>
          <w:ilvl w:val="0"/>
          <w:numId w:val="3"/>
        </w:numPr>
        <w:spacing w:after="60" w:before="60"/>
      </w:pPr>
      <w:r>
        <w:rPr>
          <w:rFonts w:ascii="Arial" w:cs="Arial" w:eastAsia="Arial" w:hAnsi="Arial"/>
          <w:color w:val="0D1B2A"/>
          <w:sz w:val="22"/>
          <w:szCs w:val="22"/>
        </w:rPr>
        <w:t xml:space="preserve">OGS data export pipeline</w:t>
      </w:r>
    </w:p>
    <w:p>
      <w:pPr>
        <w:pStyle w:val="ListParagraph"/>
        <w:numPr>
          <w:ilvl w:val="0"/>
          <w:numId w:val="3"/>
        </w:numPr>
        <w:spacing w:after="60" w:before="60"/>
      </w:pPr>
      <w:r>
        <w:rPr>
          <w:rFonts w:ascii="Arial" w:cs="Arial" w:eastAsia="Arial" w:hAnsi="Arial"/>
          <w:color w:val="0D1B2A"/>
          <w:sz w:val="22"/>
          <w:szCs w:val="22"/>
        </w:rPr>
        <w:t xml:space="preserve">Formal OGS partnership announcement</w:t>
      </w:r>
    </w:p>
    <w:p>
      <w:pPr>
        <w:pBdr>
          <w:bottom w:val="single" w:color="2A5E8A" w:sz="6" w:space="1"/>
        </w:pBdr>
        <w:spacing w:after="280" w:before="280"/>
      </w:pPr>
    </w:p>
    <w:p>
      <w:pPr>
        <w:spacing w:after="120" w:before="400"/>
        <w:jc w:val="center"/>
      </w:pPr>
      <w:r>
        <w:rPr>
          <w:rFonts w:ascii="Arial" w:cs="Arial" w:eastAsia="Arial" w:hAnsi="Arial"/>
          <w:i/>
          <w:iCs/>
          <w:color w:val="888888"/>
          <w:sz w:val="22"/>
          <w:szCs w:val="22"/>
        </w:rPr>
        <w:t xml:space="preserve">End of Spec</w:t>
      </w:r>
    </w:p>
    <w:p>
      <w:pPr>
        <w:spacing w:after="0" w:before="0"/>
        <w:jc w:val="center"/>
      </w:pPr>
      <w:r>
        <w:rPr>
          <w:rFonts w:ascii="Arial" w:cs="Arial" w:eastAsia="Arial" w:hAnsi="Arial"/>
          <w:color w:val="888888"/>
          <w:sz w:val="18"/>
          <w:szCs w:val="18"/>
        </w:rPr>
        <w:t xml:space="preserve">digby.rocks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5E8A" w:sz="4" w:space="4"/>
      </w:pBdr>
      <w:spacing w:before="120"/>
      <w:jc w:val="center"/>
    </w:pPr>
    <w:r>
      <w:rPr>
        <w:rFonts w:ascii="Arial" w:cs="Arial" w:eastAsia="Arial" w:hAnsi="Arial"/>
        <w:color w:val="888888"/>
        <w:sz w:val="18"/>
        <w:szCs w:val="18"/>
      </w:rPr>
      <w:t xml:space="preserve">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5E8A" w:sz="4" w:space="4"/>
      </w:pBdr>
      <w:spacing w:after="120"/>
    </w:pPr>
    <w:r>
      <w:rPr>
        <w:rFonts w:ascii="Arial" w:cs="Arial" w:eastAsia="Arial" w:hAnsi="Arial"/>
        <w:b/>
        <w:bCs/>
        <w:color w:val="0D1B2A"/>
        <w:sz w:val="20"/>
        <w:szCs w:val="20"/>
      </w:rPr>
      <w:t xml:space="preserve">digby.rocks</w:t>
    </w:r>
    <w:r>
      <w:rPr>
        <w:rFonts w:ascii="Arial" w:cs="Arial" w:eastAsia="Arial" w:hAnsi="Arial"/>
        <w:color w:val="888888"/>
        <w:sz w:val="20"/>
        <w:szCs w:val="20"/>
      </w:rPr>
      <w:t xml:space="preserve">  —  Digby Seismic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0D1B2A"/>
      <w:sz w:val="34"/>
      <w:szCs w:val="34"/>
    </w:rPr>
  </w:style>
  <w:style w:type="paragraph" w:styleId="Heading2">
    <w:name w:val="Heading 2"/>
    <w:basedOn w:val="Normal"/>
    <w:next w:val="Normal"/>
    <w:qFormat/>
    <w:pPr>
      <w:spacing w:after="130" w:before="340"/>
      <w:outlineLvl w:val="1"/>
    </w:pPr>
    <w:rPr>
      <w:rFonts w:ascii="Arial" w:cs="Arial" w:eastAsia="Arial" w:hAnsi="Arial"/>
      <w:b/>
      <w:bCs/>
      <w:color w:val="2A5E8A"/>
      <w:sz w:val="27"/>
      <w:szCs w:val="27"/>
    </w:rPr>
  </w:style>
  <w:style w:type="paragraph" w:styleId="Heading3">
    <w:name w:val="Heading 3"/>
    <w:basedOn w:val="Normal"/>
    <w:next w:val="Normal"/>
    <w:qFormat/>
    <w:pPr>
      <w:spacing w:after="100" w:before="2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2026-05-22T14:02:43.872Z</dcterms:created>
  <dcterms:modified xsi:type="dcterms:W3CDTF">2026-05-22T14:02:43.887Z</dcterms:modified>
</cp:coreProperties>
</file>

<file path=docProps/custom.xml><?xml version="1.0" encoding="utf-8"?>
<Properties xmlns="http://schemas.openxmlformats.org/officeDocument/2006/custom-properties" xmlns:vt="http://schemas.openxmlformats.org/officeDocument/2006/docPropsVTypes"/>
</file>