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300"/>
        <w:jc w:val="center"/>
      </w:pPr>
      <w:r>
        <w:rPr>
          <w:rFonts w:ascii="Arial" w:cs="Arial" w:eastAsia="Arial" w:hAnsi="Arial"/>
          <w:b/>
          <w:bCs/>
          <w:color w:val="1C1C1C"/>
          <w:sz w:val="72"/>
          <w:szCs w:val="72"/>
        </w:rPr>
        <w:t xml:space="preserve">digby.rocks</w:t>
      </w:r>
    </w:p>
    <w:p>
      <w:pPr>
        <w:spacing w:after="160" w:before="0"/>
        <w:jc w:val="center"/>
      </w:pPr>
      <w:r>
        <w:rPr>
          <w:rFonts w:ascii="Arial" w:cs="Arial" w:eastAsia="Arial" w:hAnsi="Arial"/>
          <w:b/>
          <w:bCs/>
          <w:color w:val="5C7A4E"/>
          <w:sz w:val="44"/>
          <w:szCs w:val="44"/>
        </w:rPr>
        <w:t xml:space="preserve">Legacy &amp; Senior Audience</w:t>
      </w:r>
    </w:p>
    <w:p>
      <w:pPr>
        <w:spacing w:after="120" w:before="0"/>
        <w:jc w:val="center"/>
      </w:pPr>
      <w:r>
        <w:rPr>
          <w:rFonts w:ascii="Arial" w:cs="Arial" w:eastAsia="Arial" w:hAnsi="Arial"/>
          <w:color w:val="3D4D3A"/>
          <w:sz w:val="26"/>
          <w:szCs w:val="26"/>
        </w:rPr>
        <w:t xml:space="preserve">Full Feature Spec — Ages 45+</w:t>
      </w:r>
    </w:p>
    <w:p>
      <w:pPr>
        <w:spacing w:after="120" w:before="0"/>
        <w:jc w:val="center"/>
      </w:pPr>
      <w:r>
        <w:rPr>
          <w:rFonts w:ascii="Arial" w:cs="Arial" w:eastAsia="Arial" w:hAnsi="Arial"/>
          <w:color w:val="7A8A72"/>
          <w:sz w:val="22"/>
          <w:szCs w:val="22"/>
        </w:rPr>
        <w:t xml:space="preserve">Experienced collectors, OGS professionals, academic emeriti, lifelong rockhounders</w:t>
      </w:r>
    </w:p>
    <w:p>
      <w:pPr>
        <w:spacing w:after="1200" w:before="0"/>
        <w:jc w:val="center"/>
      </w:pPr>
      <w:r>
        <w:rPr>
          <w:rFonts w:ascii="Arial" w:cs="Arial" w:eastAsia="Arial" w:hAnsi="Arial"/>
          <w:color w:val="7A8A72"/>
          <w:sz w:val="20"/>
          <w:szCs w:val="20"/>
        </w:rPr>
        <w:t xml:space="preserve">May 2026</w:t>
      </w:r>
    </w:p>
    <w:p>
      <w:pPr>
        <w:pStyle w:val="Heading1"/>
        <w:spacing w:after="180" w:before="520"/>
      </w:pPr>
      <w:r>
        <w:rPr>
          <w:rFonts w:ascii="Arial" w:cs="Arial" w:eastAsia="Arial" w:hAnsi="Arial"/>
          <w:b/>
          <w:bCs/>
          <w:color w:val="1C1C1C"/>
          <w:sz w:val="34"/>
          <w:szCs w:val="34"/>
        </w:rPr>
        <w:t xml:space="preserve">The Audience</w:t>
      </w:r>
    </w:p>
    <w:p>
      <w:pPr>
        <w:pBdr>
          <w:left w:val="single" w:color="5C7A4E" w:sz="18" w:space="12"/>
        </w:pBdr>
        <w:spacing w:after="200" w:before="200"/>
        <w:ind w:left="720" w:right="720"/>
      </w:pPr>
      <w:r>
        <w:rPr>
          <w:rFonts w:ascii="Arial" w:cs="Arial" w:eastAsia="Arial" w:hAnsi="Arial"/>
          <w:b/>
          <w:bCs/>
          <w:i/>
          <w:iCs/>
          <w:color w:val="3D4D3A"/>
          <w:sz w:val="25"/>
          <w:szCs w:val="25"/>
        </w:rPr>
        <w:t xml:space="preserve">This group holds something genuinely irreplaceable: decades of accumulated field observation that exists only in their heads and their personal notebooks. It is disappearing. Digby can be the platform that captures it.</w:t>
      </w:r>
    </w:p>
    <w:p>
      <w:pPr>
        <w:spacing w:after="130" w:before="80"/>
      </w:pPr>
      <w:r>
        <w:rPr>
          <w:rFonts w:ascii="Arial" w:cs="Arial" w:eastAsia="Arial" w:hAnsi="Arial"/>
          <w:color w:val="1C1C1C"/>
          <w:sz w:val="22"/>
          <w:szCs w:val="22"/>
        </w:rPr>
        <w:t xml:space="preserve">The 45+ audience is often the most overlooked in platform design and the most valuable in practice. They are not monolithic. Four distinct profiles shape the feature requirements:</w:t>
      </w:r>
    </w:p>
    <w:p>
      <w:pPr>
        <w:pStyle w:val="Heading2"/>
        <w:spacing w:after="130" w:before="340"/>
      </w:pPr>
      <w:r>
        <w:rPr>
          <w:rFonts w:ascii="Arial" w:cs="Arial" w:eastAsia="Arial" w:hAnsi="Arial"/>
          <w:b/>
          <w:bCs/>
          <w:color w:val="5C7A4E"/>
          <w:sz w:val="27"/>
          <w:szCs w:val="27"/>
        </w:rPr>
        <w:t xml:space="preserve">Profile 1: The Retired or Semi-Retired Professional Geologist</w:t>
      </w:r>
    </w:p>
    <w:p>
      <w:pPr>
        <w:spacing w:after="130" w:before="80"/>
      </w:pPr>
      <w:r>
        <w:rPr>
          <w:rFonts w:ascii="Arial" w:cs="Arial" w:eastAsia="Arial" w:hAnsi="Arial"/>
          <w:color w:val="1C1C1C"/>
          <w:sz w:val="22"/>
          <w:szCs w:val="22"/>
        </w:rPr>
        <w:t xml:space="preserve">Spent 20–35 years at a mining company, the OGS, or the GSC. Knows the Shield intimately. Has field notebooks going back to the 1980s with locality data, hand-drawn cross-sections, and mineral occurrence notes that were never digitised. Now has time to pursue the hobby dimension of what was previously a career.</w:t>
      </w:r>
    </w:p>
    <w:p>
      <w:pPr>
        <w:spacing w:after="130" w:before="80"/>
      </w:pPr>
      <w:r>
        <w:rPr>
          <w:rFonts w:ascii="Arial" w:cs="Arial" w:eastAsia="Arial" w:hAnsi="Arial"/>
          <w:color w:val="1C1C1C"/>
          <w:sz w:val="22"/>
          <w:szCs w:val="22"/>
        </w:rPr>
        <w:t xml:space="preserve">Their technical knowledge is deep but their relationship with consumer software is impatient. They’ve used ArcGIS since version 3. They know what a shapefile is, what a datum is, and why WGS84 and NAD83 are not interchangeable for Ontario fieldwork. They don’t use Instagram and they find most apps condescending. They will leave a platform within minutes if it wastes their time or treats them like a beginner.</w:t>
      </w:r>
    </w:p>
    <w:p>
      <w:pPr>
        <w:spacing w:after="130" w:before="80"/>
      </w:pPr>
      <w:r>
        <w:rPr>
          <w:rFonts w:ascii="Arial" w:cs="Arial" w:eastAsia="Arial" w:hAnsi="Arial"/>
          <w:color w:val="1C1C1C"/>
          <w:sz w:val="22"/>
          <w:szCs w:val="22"/>
        </w:rPr>
        <w:t xml:space="preserve">What they want from digby: a place to contribute what they know, connect with people who appreciate it, and stay engaged with the geology community in retirement.</w:t>
      </w:r>
    </w:p>
    <w:p>
      <w:pPr>
        <w:pStyle w:val="Heading2"/>
        <w:spacing w:after="130" w:before="340"/>
      </w:pPr>
      <w:r>
        <w:rPr>
          <w:rFonts w:ascii="Arial" w:cs="Arial" w:eastAsia="Arial" w:hAnsi="Arial"/>
          <w:b/>
          <w:bCs/>
          <w:color w:val="5C7A4E"/>
          <w:sz w:val="27"/>
          <w:szCs w:val="27"/>
        </w:rPr>
        <w:t xml:space="preserve">Profile 2: The Active OGS or GSC Professional</w:t>
      </w:r>
    </w:p>
    <w:p>
      <w:pPr>
        <w:spacing w:after="130" w:before="80"/>
      </w:pPr>
      <w:r>
        <w:rPr>
          <w:rFonts w:ascii="Arial" w:cs="Arial" w:eastAsia="Arial" w:hAnsi="Arial"/>
          <w:color w:val="1C1C1C"/>
          <w:sz w:val="22"/>
          <w:szCs w:val="22"/>
        </w:rPr>
        <w:t xml:space="preserve">Still working. Uses institutional GIS tools — ArcGIS Pro, Global Mapper, internal OGS databases — daily. Has strong opinions about data standards, coordinate systems, and metadata. Their engagement with digby is primarily professional: the citizen science dataset, the verification system, and the API are what matters to them. The consumer features are largely irrelevant.</w:t>
      </w:r>
    </w:p>
    <w:p>
      <w:pPr>
        <w:spacing w:after="130" w:before="80"/>
      </w:pPr>
      <w:r>
        <w:rPr>
          <w:rFonts w:ascii="Arial" w:cs="Arial" w:eastAsia="Arial" w:hAnsi="Arial"/>
          <w:color w:val="1C1C1C"/>
          <w:sz w:val="22"/>
          <w:szCs w:val="22"/>
        </w:rPr>
        <w:t xml:space="preserve">This is the OGS-Endorsed Reviewer tier from the expert features spec. They are the highest-authority data validators on the platform. Their institutional affiliation gives the citizen science dataset credibility it cannot get any other way.</w:t>
      </w:r>
    </w:p>
    <w:p>
      <w:pPr>
        <w:pStyle w:val="Heading2"/>
        <w:spacing w:after="130" w:before="340"/>
      </w:pPr>
      <w:r>
        <w:rPr>
          <w:rFonts w:ascii="Arial" w:cs="Arial" w:eastAsia="Arial" w:hAnsi="Arial"/>
          <w:b/>
          <w:bCs/>
          <w:color w:val="5C7A4E"/>
          <w:sz w:val="27"/>
          <w:szCs w:val="27"/>
        </w:rPr>
        <w:t xml:space="preserve">Profile 3: The Lifelong Rockhound Club Member</w:t>
      </w:r>
    </w:p>
    <w:p>
      <w:pPr>
        <w:spacing w:after="130" w:before="80"/>
      </w:pPr>
      <w:r>
        <w:rPr>
          <w:rFonts w:ascii="Arial" w:cs="Arial" w:eastAsia="Arial" w:hAnsi="Arial"/>
          <w:color w:val="1C1C1C"/>
          <w:sz w:val="22"/>
          <w:szCs w:val="22"/>
        </w:rPr>
        <w:t xml:space="preserve">Has been going to the Bancroft Gem and Mineral Show since 1983. Member of the Ontario Gem and Mineral Federation or a local club. Deep tacit knowledge of Ontario localities that exists nowhere in writing — they know which road cut produced exceptional amazonite before it was regraded, which farmer’s field near Haliburton has a calcite vein nobody talks about, which Bancroft site is productive in wet years but disappointing in dry ones.</w:t>
      </w:r>
    </w:p>
    <w:p>
      <w:pPr>
        <w:spacing w:after="130" w:before="80"/>
      </w:pPr>
      <w:r>
        <w:rPr>
          <w:rFonts w:ascii="Arial" w:cs="Arial" w:eastAsia="Arial" w:hAnsi="Arial"/>
          <w:color w:val="1C1C1C"/>
          <w:sz w:val="22"/>
          <w:szCs w:val="22"/>
        </w:rPr>
        <w:t xml:space="preserve">May or may not have a professional geology background. Could be a retired engineer, a teacher, a tradesperson who’s been collecting for four decades. Comfortable with email, possibly Facebook or a club newsletter, not much else. Their relationship with digital platforms is functional rather than enthusiastic.</w:t>
      </w:r>
    </w:p>
    <w:p>
      <w:pPr>
        <w:spacing w:after="130" w:before="80"/>
      </w:pPr>
      <w:r>
        <w:rPr>
          <w:rFonts w:ascii="Arial" w:cs="Arial" w:eastAsia="Arial" w:hAnsi="Arial"/>
          <w:color w:val="1C1C1C"/>
          <w:sz w:val="22"/>
          <w:szCs w:val="22"/>
        </w:rPr>
        <w:t xml:space="preserve">What they want: recognition of their knowledge, connection with the community they’ve been part of for decades, and a way to pass on what they know.</w:t>
      </w:r>
    </w:p>
    <w:p>
      <w:pPr>
        <w:pStyle w:val="Heading2"/>
        <w:spacing w:after="130" w:before="340"/>
      </w:pPr>
      <w:r>
        <w:rPr>
          <w:rFonts w:ascii="Arial" w:cs="Arial" w:eastAsia="Arial" w:hAnsi="Arial"/>
          <w:b/>
          <w:bCs/>
          <w:color w:val="5C7A4E"/>
          <w:sz w:val="27"/>
          <w:szCs w:val="27"/>
        </w:rPr>
        <w:t xml:space="preserve">Profile 4: The Academic Emeritus</w:t>
      </w:r>
    </w:p>
    <w:p>
      <w:pPr>
        <w:spacing w:after="130" w:before="80"/>
      </w:pPr>
      <w:r>
        <w:rPr>
          <w:rFonts w:ascii="Arial" w:cs="Arial" w:eastAsia="Arial" w:hAnsi="Arial"/>
          <w:color w:val="1C1C1C"/>
          <w:sz w:val="22"/>
          <w:szCs w:val="22"/>
        </w:rPr>
        <w:t xml:space="preserve">Former university geology professor, possibly still publishing, still connected to graduate students and departmental colleagues. High credibility in both the academic and professional geology communities. Potentially connected to OGS, university earth sciences departments, and the Canadian Mineralogist or equivalent journals.</w:t>
      </w:r>
    </w:p>
    <w:p>
      <w:pPr>
        <w:spacing w:after="130" w:before="80"/>
      </w:pPr>
      <w:r>
        <w:rPr>
          <w:rFonts w:ascii="Arial" w:cs="Arial" w:eastAsia="Arial" w:hAnsi="Arial"/>
          <w:color w:val="1C1C1C"/>
          <w:sz w:val="22"/>
          <w:szCs w:val="22"/>
        </w:rPr>
        <w:t xml:space="preserve">Their value to digby is enormous: institutional credibility, publication connections, graduate student pipelines, and the kind of deep mineralogical knowledge that underpins everything the platform is trying to do. Professor William H. Blackburn — co-author of Principles of Mineralogy and the Encyclopedia of Mineral Names, former UWindsor geology faculty — is the archetype. A personal outreach from a former student who has built digby as a direct descendant of his field trip is a compelling conversation starter.</w:t>
      </w:r>
    </w:p>
    <w:p>
      <w:pPr>
        <w:pStyle w:val="Heading1"/>
        <w:spacing w:after="180" w:before="520"/>
      </w:pPr>
      <w:r>
        <w:rPr>
          <w:rFonts w:ascii="Arial" w:cs="Arial" w:eastAsia="Arial" w:hAnsi="Arial"/>
          <w:b/>
          <w:bCs/>
          <w:color w:val="1C1C1C"/>
          <w:sz w:val="34"/>
          <w:szCs w:val="34"/>
        </w:rPr>
        <w:t xml:space="preserve">Design Principles for This Audience</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DDCC" w:sz="1"/>
              <w:left w:val="single" w:color="CCDDCC" w:sz="1"/>
              <w:bottom w:val="single" w:color="CCDDCC" w:sz="1"/>
              <w:right w:val="single" w:color="CCDDCC" w:sz="1"/>
            </w:tcBorders>
            <w:shd w:fill="5C7A4E" w:val="clear"/>
            <w:tcMar>
              <w:top w:type="dxa" w:w="80"/>
              <w:left w:type="dxa" w:w="120"/>
              <w:bottom w:type="dxa" w:w="80"/>
              <w:right w:type="dxa" w:w="120"/>
            </w:tcMar>
          </w:tcPr>
          <w:p>
            <w:r>
              <w:rPr>
                <w:rFonts w:ascii="Arial" w:cs="Arial" w:eastAsia="Arial" w:hAnsi="Arial"/>
                <w:b/>
                <w:bCs/>
                <w:color w:val="FFFFFF"/>
                <w:sz w:val="20"/>
                <w:szCs w:val="20"/>
              </w:rPr>
              <w:t xml:space="preserve">They want</w:t>
            </w:r>
          </w:p>
        </w:tc>
        <w:tc>
          <w:tcPr>
            <w:tcW w:type="dxa" w:w="4680"/>
            <w:tcBorders>
              <w:top w:val="single" w:color="CCDDCC" w:sz="1"/>
              <w:left w:val="single" w:color="CCDDCC" w:sz="1"/>
              <w:bottom w:val="single" w:color="CCDDCC" w:sz="1"/>
              <w:right w:val="single" w:color="CCDDCC" w:sz="1"/>
            </w:tcBorders>
            <w:shd w:fill="5C7A4E" w:val="clear"/>
            <w:tcMar>
              <w:top w:type="dxa" w:w="80"/>
              <w:left w:type="dxa" w:w="120"/>
              <w:bottom w:type="dxa" w:w="80"/>
              <w:right w:type="dxa" w:w="120"/>
            </w:tcMar>
          </w:tcPr>
          <w:p>
            <w:r>
              <w:rPr>
                <w:rFonts w:ascii="Arial" w:cs="Arial" w:eastAsia="Arial" w:hAnsi="Arial"/>
                <w:b/>
                <w:bCs/>
                <w:color w:val="FFFFFF"/>
                <w:sz w:val="20"/>
                <w:szCs w:val="20"/>
              </w:rPr>
              <w:t xml:space="preserve">They do not want</w:t>
            </w:r>
          </w:p>
        </w:tc>
      </w:tr>
      <w:tr>
        <w:tc>
          <w:tcPr>
            <w:tcW w:type="dxa" w:w="4680"/>
            <w:tcBorders>
              <w:top w:val="single" w:color="CCDDCC" w:sz="1"/>
              <w:left w:val="single" w:color="CCDDCC" w:sz="1"/>
              <w:bottom w:val="single" w:color="CCDDCC" w:sz="1"/>
              <w:right w:val="single" w:color="CCDDCC" w:sz="1"/>
            </w:tcBorders>
            <w:shd w:fill="FFFFFF" w:val="clear"/>
            <w:tcMar>
              <w:top w:type="dxa" w:w="80"/>
              <w:left w:type="dxa" w:w="120"/>
              <w:bottom w:type="dxa" w:w="80"/>
              <w:right w:type="dxa" w:w="120"/>
            </w:tcMar>
          </w:tcPr>
          <w:p>
            <w:r>
              <w:rPr>
                <w:rFonts w:ascii="Arial" w:cs="Arial" w:eastAsia="Arial" w:hAnsi="Arial"/>
                <w:b w:val="false"/>
                <w:bCs w:val="false"/>
                <w:color w:val="1C1C1C"/>
                <w:sz w:val="20"/>
                <w:szCs w:val="20"/>
              </w:rPr>
              <w:t xml:space="preserve">Things to work the first time, without instruction</w:t>
            </w:r>
          </w:p>
        </w:tc>
        <w:tc>
          <w:tcPr>
            <w:tcW w:type="dxa" w:w="4680"/>
            <w:tcBorders>
              <w:top w:val="single" w:color="CCDDCC" w:sz="1"/>
              <w:left w:val="single" w:color="CCDDCC" w:sz="1"/>
              <w:bottom w:val="single" w:color="CCDDCC" w:sz="1"/>
              <w:right w:val="single" w:color="CCDDCC" w:sz="1"/>
            </w:tcBorders>
            <w:shd w:fill="FFFFFF" w:val="clear"/>
            <w:tcMar>
              <w:top w:type="dxa" w:w="80"/>
              <w:left w:type="dxa" w:w="120"/>
              <w:bottom w:type="dxa" w:w="80"/>
              <w:right w:type="dxa" w:w="120"/>
            </w:tcMar>
          </w:tcPr>
          <w:p>
            <w:r>
              <w:rPr>
                <w:rFonts w:ascii="Arial" w:cs="Arial" w:eastAsia="Arial" w:hAnsi="Arial"/>
                <w:b w:val="false"/>
                <w:bCs w:val="false"/>
                <w:color w:val="1C1C1C"/>
                <w:sz w:val="20"/>
                <w:szCs w:val="20"/>
              </w:rPr>
              <w:t xml:space="preserve">Onboarding flows that explain what a mineral is</w:t>
            </w:r>
          </w:p>
        </w:tc>
      </w:tr>
      <w:tr>
        <w:tc>
          <w:tcPr>
            <w:tcW w:type="dxa" w:w="4680"/>
            <w:tcBorders>
              <w:top w:val="single" w:color="CCDDCC" w:sz="1"/>
              <w:left w:val="single" w:color="CCDDCC" w:sz="1"/>
              <w:bottom w:val="single" w:color="CCDDCC" w:sz="1"/>
              <w:right w:val="single" w:color="CCDDCC" w:sz="1"/>
            </w:tcBorders>
            <w:shd w:fill="F2F5EF" w:val="clear"/>
            <w:tcMar>
              <w:top w:type="dxa" w:w="80"/>
              <w:left w:type="dxa" w:w="120"/>
              <w:bottom w:type="dxa" w:w="80"/>
              <w:right w:type="dxa" w:w="120"/>
            </w:tcMar>
          </w:tcPr>
          <w:p>
            <w:r>
              <w:rPr>
                <w:rFonts w:ascii="Arial" w:cs="Arial" w:eastAsia="Arial" w:hAnsi="Arial"/>
                <w:b w:val="false"/>
                <w:bCs w:val="false"/>
                <w:color w:val="1C1C1C"/>
                <w:sz w:val="20"/>
                <w:szCs w:val="20"/>
              </w:rPr>
              <w:t xml:space="preserve">Clear, direct language with no consumer jargon</w:t>
            </w:r>
          </w:p>
        </w:tc>
        <w:tc>
          <w:tcPr>
            <w:tcW w:type="dxa" w:w="4680"/>
            <w:tcBorders>
              <w:top w:val="single" w:color="CCDDCC" w:sz="1"/>
              <w:left w:val="single" w:color="CCDDCC" w:sz="1"/>
              <w:bottom w:val="single" w:color="CCDDCC" w:sz="1"/>
              <w:right w:val="single" w:color="CCDDCC" w:sz="1"/>
            </w:tcBorders>
            <w:shd w:fill="F2F5EF" w:val="clear"/>
            <w:tcMar>
              <w:top w:type="dxa" w:w="80"/>
              <w:left w:type="dxa" w:w="120"/>
              <w:bottom w:type="dxa" w:w="80"/>
              <w:right w:type="dxa" w:w="120"/>
            </w:tcMar>
          </w:tcPr>
          <w:p>
            <w:r>
              <w:rPr>
                <w:rFonts w:ascii="Arial" w:cs="Arial" w:eastAsia="Arial" w:hAnsi="Arial"/>
                <w:b w:val="false"/>
                <w:bCs w:val="false"/>
                <w:color w:val="1C1C1C"/>
                <w:sz w:val="20"/>
                <w:szCs w:val="20"/>
              </w:rPr>
              <w:t xml:space="preserve">Dark patterns around notifications or engagement</w:t>
            </w:r>
          </w:p>
        </w:tc>
      </w:tr>
      <w:tr>
        <w:tc>
          <w:tcPr>
            <w:tcW w:type="dxa" w:w="4680"/>
            <w:tcBorders>
              <w:top w:val="single" w:color="CCDDCC" w:sz="1"/>
              <w:left w:val="single" w:color="CCDDCC" w:sz="1"/>
              <w:bottom w:val="single" w:color="CCDDCC" w:sz="1"/>
              <w:right w:val="single" w:color="CCDDCC" w:sz="1"/>
            </w:tcBorders>
            <w:shd w:fill="FFFFFF" w:val="clear"/>
            <w:tcMar>
              <w:top w:type="dxa" w:w="80"/>
              <w:left w:type="dxa" w:w="120"/>
              <w:bottom w:type="dxa" w:w="80"/>
              <w:right w:type="dxa" w:w="120"/>
            </w:tcMar>
          </w:tcPr>
          <w:p>
            <w:r>
              <w:rPr>
                <w:rFonts w:ascii="Arial" w:cs="Arial" w:eastAsia="Arial" w:hAnsi="Arial"/>
                <w:b w:val="false"/>
                <w:bCs w:val="false"/>
                <w:color w:val="1C1C1C"/>
                <w:sz w:val="20"/>
                <w:szCs w:val="20"/>
              </w:rPr>
              <w:t xml:space="preserve">Dense functionality over visual flourish</w:t>
            </w:r>
          </w:p>
        </w:tc>
        <w:tc>
          <w:tcPr>
            <w:tcW w:type="dxa" w:w="4680"/>
            <w:tcBorders>
              <w:top w:val="single" w:color="CCDDCC" w:sz="1"/>
              <w:left w:val="single" w:color="CCDDCC" w:sz="1"/>
              <w:bottom w:val="single" w:color="CCDDCC" w:sz="1"/>
              <w:right w:val="single" w:color="CCDDCC" w:sz="1"/>
            </w:tcBorders>
            <w:shd w:fill="FFFFFF" w:val="clear"/>
            <w:tcMar>
              <w:top w:type="dxa" w:w="80"/>
              <w:left w:type="dxa" w:w="120"/>
              <w:bottom w:type="dxa" w:w="80"/>
              <w:right w:type="dxa" w:w="120"/>
            </w:tcMar>
          </w:tcPr>
          <w:p>
            <w:r>
              <w:rPr>
                <w:rFonts w:ascii="Arial" w:cs="Arial" w:eastAsia="Arial" w:hAnsi="Arial"/>
                <w:b w:val="false"/>
                <w:bCs w:val="false"/>
                <w:color w:val="1C1C1C"/>
                <w:sz w:val="20"/>
                <w:szCs w:val="20"/>
              </w:rPr>
              <w:t xml:space="preserve">Gamification of any kind</w:t>
            </w:r>
          </w:p>
        </w:tc>
      </w:tr>
      <w:tr>
        <w:tc>
          <w:tcPr>
            <w:tcW w:type="dxa" w:w="4680"/>
            <w:tcBorders>
              <w:top w:val="single" w:color="CCDDCC" w:sz="1"/>
              <w:left w:val="single" w:color="CCDDCC" w:sz="1"/>
              <w:bottom w:val="single" w:color="CCDDCC" w:sz="1"/>
              <w:right w:val="single" w:color="CCDDCC" w:sz="1"/>
            </w:tcBorders>
            <w:shd w:fill="F2F5EF" w:val="clear"/>
            <w:tcMar>
              <w:top w:type="dxa" w:w="80"/>
              <w:left w:type="dxa" w:w="120"/>
              <w:bottom w:type="dxa" w:w="80"/>
              <w:right w:type="dxa" w:w="120"/>
            </w:tcMar>
          </w:tcPr>
          <w:p>
            <w:r>
              <w:rPr>
                <w:rFonts w:ascii="Arial" w:cs="Arial" w:eastAsia="Arial" w:hAnsi="Arial"/>
                <w:b w:val="false"/>
                <w:bCs w:val="false"/>
                <w:color w:val="1C1C1C"/>
                <w:sz w:val="20"/>
                <w:szCs w:val="20"/>
              </w:rPr>
              <w:t xml:space="preserve">Desktop-first or fully functional on desktop</w:t>
            </w:r>
          </w:p>
        </w:tc>
        <w:tc>
          <w:tcPr>
            <w:tcW w:type="dxa" w:w="4680"/>
            <w:tcBorders>
              <w:top w:val="single" w:color="CCDDCC" w:sz="1"/>
              <w:left w:val="single" w:color="CCDDCC" w:sz="1"/>
              <w:bottom w:val="single" w:color="CCDDCC" w:sz="1"/>
              <w:right w:val="single" w:color="CCDDCC" w:sz="1"/>
            </w:tcBorders>
            <w:shd w:fill="F2F5EF" w:val="clear"/>
            <w:tcMar>
              <w:top w:type="dxa" w:w="80"/>
              <w:left w:type="dxa" w:w="120"/>
              <w:bottom w:type="dxa" w:w="80"/>
              <w:right w:type="dxa" w:w="120"/>
            </w:tcMar>
          </w:tcPr>
          <w:p>
            <w:r>
              <w:rPr>
                <w:rFonts w:ascii="Arial" w:cs="Arial" w:eastAsia="Arial" w:hAnsi="Arial"/>
                <w:b w:val="false"/>
                <w:bCs w:val="false"/>
                <w:color w:val="1C1C1C"/>
                <w:sz w:val="20"/>
                <w:szCs w:val="20"/>
              </w:rPr>
              <w:t xml:space="preserve">Mandatory mobile app</w:t>
            </w:r>
          </w:p>
        </w:tc>
      </w:tr>
      <w:tr>
        <w:tc>
          <w:tcPr>
            <w:tcW w:type="dxa" w:w="4680"/>
            <w:tcBorders>
              <w:top w:val="single" w:color="CCDDCC" w:sz="1"/>
              <w:left w:val="single" w:color="CCDDCC" w:sz="1"/>
              <w:bottom w:val="single" w:color="CCDDCC" w:sz="1"/>
              <w:right w:val="single" w:color="CCDDCC" w:sz="1"/>
            </w:tcBorders>
            <w:shd w:fill="FFFFFF" w:val="clear"/>
            <w:tcMar>
              <w:top w:type="dxa" w:w="80"/>
              <w:left w:type="dxa" w:w="120"/>
              <w:bottom w:type="dxa" w:w="80"/>
              <w:right w:type="dxa" w:w="120"/>
            </w:tcMar>
          </w:tcPr>
          <w:p>
            <w:r>
              <w:rPr>
                <w:rFonts w:ascii="Arial" w:cs="Arial" w:eastAsia="Arial" w:hAnsi="Arial"/>
                <w:b w:val="false"/>
                <w:bCs w:val="false"/>
                <w:color w:val="1C1C1C"/>
                <w:sz w:val="20"/>
                <w:szCs w:val="20"/>
              </w:rPr>
              <w:t xml:space="preserve">Email as primary communication channel</w:t>
            </w:r>
          </w:p>
        </w:tc>
        <w:tc>
          <w:tcPr>
            <w:tcW w:type="dxa" w:w="4680"/>
            <w:tcBorders>
              <w:top w:val="single" w:color="CCDDCC" w:sz="1"/>
              <w:left w:val="single" w:color="CCDDCC" w:sz="1"/>
              <w:bottom w:val="single" w:color="CCDDCC" w:sz="1"/>
              <w:right w:val="single" w:color="CCDDCC" w:sz="1"/>
            </w:tcBorders>
            <w:shd w:fill="FFFFFF" w:val="clear"/>
            <w:tcMar>
              <w:top w:type="dxa" w:w="80"/>
              <w:left w:type="dxa" w:w="120"/>
              <w:bottom w:type="dxa" w:w="80"/>
              <w:right w:type="dxa" w:w="120"/>
            </w:tcMar>
          </w:tcPr>
          <w:p>
            <w:r>
              <w:rPr>
                <w:rFonts w:ascii="Arial" w:cs="Arial" w:eastAsia="Arial" w:hAnsi="Arial"/>
                <w:b w:val="false"/>
                <w:bCs w:val="false"/>
                <w:color w:val="1C1C1C"/>
                <w:sz w:val="20"/>
                <w:szCs w:val="20"/>
              </w:rPr>
              <w:t xml:space="preserve">Push notifications and social feeds</w:t>
            </w:r>
          </w:p>
        </w:tc>
      </w:tr>
      <w:tr>
        <w:tc>
          <w:tcPr>
            <w:tcW w:type="dxa" w:w="4680"/>
            <w:tcBorders>
              <w:top w:val="single" w:color="CCDDCC" w:sz="1"/>
              <w:left w:val="single" w:color="CCDDCC" w:sz="1"/>
              <w:bottom w:val="single" w:color="CCDDCC" w:sz="1"/>
              <w:right w:val="single" w:color="CCDDCC" w:sz="1"/>
            </w:tcBorders>
            <w:shd w:fill="F2F5EF" w:val="clear"/>
            <w:tcMar>
              <w:top w:type="dxa" w:w="80"/>
              <w:left w:type="dxa" w:w="120"/>
              <w:bottom w:type="dxa" w:w="80"/>
              <w:right w:type="dxa" w:w="120"/>
            </w:tcMar>
          </w:tcPr>
          <w:p>
            <w:r>
              <w:rPr>
                <w:rFonts w:ascii="Arial" w:cs="Arial" w:eastAsia="Arial" w:hAnsi="Arial"/>
                <w:b w:val="false"/>
                <w:bCs w:val="false"/>
                <w:color w:val="1C1C1C"/>
                <w:sz w:val="20"/>
                <w:szCs w:val="20"/>
              </w:rPr>
              <w:t xml:space="preserve">Import/export in formats they already use (shapefiles, CSV, KML)</w:t>
            </w:r>
          </w:p>
        </w:tc>
        <w:tc>
          <w:tcPr>
            <w:tcW w:type="dxa" w:w="4680"/>
            <w:tcBorders>
              <w:top w:val="single" w:color="CCDDCC" w:sz="1"/>
              <w:left w:val="single" w:color="CCDDCC" w:sz="1"/>
              <w:bottom w:val="single" w:color="CCDDCC" w:sz="1"/>
              <w:right w:val="single" w:color="CCDDCC" w:sz="1"/>
            </w:tcBorders>
            <w:shd w:fill="F2F5EF" w:val="clear"/>
            <w:tcMar>
              <w:top w:type="dxa" w:w="80"/>
              <w:left w:type="dxa" w:w="120"/>
              <w:bottom w:type="dxa" w:w="80"/>
              <w:right w:type="dxa" w:w="120"/>
            </w:tcMar>
          </w:tcPr>
          <w:p>
            <w:r>
              <w:rPr>
                <w:rFonts w:ascii="Arial" w:cs="Arial" w:eastAsia="Arial" w:hAnsi="Arial"/>
                <w:b w:val="false"/>
                <w:bCs w:val="false"/>
                <w:color w:val="1C1C1C"/>
                <w:sz w:val="20"/>
                <w:szCs w:val="20"/>
              </w:rPr>
              <w:t xml:space="preserve">Having to recreate data they already have elsewhere</w:t>
            </w:r>
          </w:p>
        </w:tc>
      </w:tr>
      <w:tr>
        <w:tc>
          <w:tcPr>
            <w:tcW w:type="dxa" w:w="4680"/>
            <w:tcBorders>
              <w:top w:val="single" w:color="CCDDCC" w:sz="1"/>
              <w:left w:val="single" w:color="CCDDCC" w:sz="1"/>
              <w:bottom w:val="single" w:color="CCDDCC" w:sz="1"/>
              <w:right w:val="single" w:color="CCDDCC" w:sz="1"/>
            </w:tcBorders>
            <w:shd w:fill="FFFFFF" w:val="clear"/>
            <w:tcMar>
              <w:top w:type="dxa" w:w="80"/>
              <w:left w:type="dxa" w:w="120"/>
              <w:bottom w:type="dxa" w:w="80"/>
              <w:right w:type="dxa" w:w="120"/>
            </w:tcMar>
          </w:tcPr>
          <w:p>
            <w:r>
              <w:rPr>
                <w:rFonts w:ascii="Arial" w:cs="Arial" w:eastAsia="Arial" w:hAnsi="Arial"/>
                <w:b w:val="false"/>
                <w:bCs w:val="false"/>
                <w:color w:val="1C1C1C"/>
                <w:sz w:val="20"/>
                <w:szCs w:val="20"/>
              </w:rPr>
              <w:t xml:space="preserve">Recognition of their expertise, not reassurance of it</w:t>
            </w:r>
          </w:p>
        </w:tc>
        <w:tc>
          <w:tcPr>
            <w:tcW w:type="dxa" w:w="4680"/>
            <w:tcBorders>
              <w:top w:val="single" w:color="CCDDCC" w:sz="1"/>
              <w:left w:val="single" w:color="CCDDCC" w:sz="1"/>
              <w:bottom w:val="single" w:color="CCDDCC" w:sz="1"/>
              <w:right w:val="single" w:color="CCDDCC" w:sz="1"/>
            </w:tcBorders>
            <w:shd w:fill="FFFFFF" w:val="clear"/>
            <w:tcMar>
              <w:top w:type="dxa" w:w="80"/>
              <w:left w:type="dxa" w:w="120"/>
              <w:bottom w:type="dxa" w:w="80"/>
              <w:right w:type="dxa" w:w="120"/>
            </w:tcMar>
          </w:tcPr>
          <w:p>
            <w:r>
              <w:rPr>
                <w:rFonts w:ascii="Arial" w:cs="Arial" w:eastAsia="Arial" w:hAnsi="Arial"/>
                <w:b w:val="false"/>
                <w:bCs w:val="false"/>
                <w:color w:val="1C1C1C"/>
                <w:sz w:val="20"/>
                <w:szCs w:val="20"/>
              </w:rPr>
              <w:t xml:space="preserve">Badges and streaks</w:t>
            </w:r>
          </w:p>
        </w:tc>
      </w:tr>
      <w:tr>
        <w:tc>
          <w:tcPr>
            <w:tcW w:type="dxa" w:w="4680"/>
            <w:tcBorders>
              <w:top w:val="single" w:color="CCDDCC" w:sz="1"/>
              <w:left w:val="single" w:color="CCDDCC" w:sz="1"/>
              <w:bottom w:val="single" w:color="CCDDCC" w:sz="1"/>
              <w:right w:val="single" w:color="CCDDCC" w:sz="1"/>
            </w:tcBorders>
            <w:shd w:fill="F2F5EF" w:val="clear"/>
            <w:tcMar>
              <w:top w:type="dxa" w:w="80"/>
              <w:left w:type="dxa" w:w="120"/>
              <w:bottom w:type="dxa" w:w="80"/>
              <w:right w:type="dxa" w:w="120"/>
            </w:tcMar>
          </w:tcPr>
          <w:p>
            <w:r>
              <w:rPr>
                <w:rFonts w:ascii="Arial" w:cs="Arial" w:eastAsia="Arial" w:hAnsi="Arial"/>
                <w:b w:val="false"/>
                <w:bCs w:val="false"/>
                <w:color w:val="1C1C1C"/>
                <w:sz w:val="20"/>
                <w:szCs w:val="20"/>
              </w:rPr>
              <w:t xml:space="preserve">The ability to contribute on their own terms and timeline</w:t>
            </w:r>
          </w:p>
        </w:tc>
        <w:tc>
          <w:tcPr>
            <w:tcW w:type="dxa" w:w="4680"/>
            <w:tcBorders>
              <w:top w:val="single" w:color="CCDDCC" w:sz="1"/>
              <w:left w:val="single" w:color="CCDDCC" w:sz="1"/>
              <w:bottom w:val="single" w:color="CCDDCC" w:sz="1"/>
              <w:right w:val="single" w:color="CCDDCC" w:sz="1"/>
            </w:tcBorders>
            <w:shd w:fill="F2F5EF" w:val="clear"/>
            <w:tcMar>
              <w:top w:type="dxa" w:w="80"/>
              <w:left w:type="dxa" w:w="120"/>
              <w:bottom w:type="dxa" w:w="80"/>
              <w:right w:type="dxa" w:w="120"/>
            </w:tcMar>
          </w:tcPr>
          <w:p>
            <w:r>
              <w:rPr>
                <w:rFonts w:ascii="Arial" w:cs="Arial" w:eastAsia="Arial" w:hAnsi="Arial"/>
                <w:b w:val="false"/>
                <w:bCs w:val="false"/>
                <w:color w:val="1C1C1C"/>
                <w:sz w:val="20"/>
                <w:szCs w:val="20"/>
              </w:rPr>
              <w:t xml:space="preserve">Pressure to engage frequently</w:t>
            </w:r>
          </w:p>
        </w:tc>
      </w:tr>
      <w:tr>
        <w:tc>
          <w:tcPr>
            <w:tcW w:type="dxa" w:w="4680"/>
            <w:tcBorders>
              <w:top w:val="single" w:color="CCDDCC" w:sz="1"/>
              <w:left w:val="single" w:color="CCDDCC" w:sz="1"/>
              <w:bottom w:val="single" w:color="CCDDCC" w:sz="1"/>
              <w:right w:val="single" w:color="CCDDCC" w:sz="1"/>
            </w:tcBorders>
            <w:shd w:fill="FFFFFF" w:val="clear"/>
            <w:tcMar>
              <w:top w:type="dxa" w:w="80"/>
              <w:left w:type="dxa" w:w="120"/>
              <w:bottom w:type="dxa" w:w="80"/>
              <w:right w:type="dxa" w:w="120"/>
            </w:tcMar>
          </w:tcPr>
          <w:p>
            <w:r>
              <w:rPr>
                <w:rFonts w:ascii="Arial" w:cs="Arial" w:eastAsia="Arial" w:hAnsi="Arial"/>
                <w:b w:val="false"/>
                <w:bCs w:val="false"/>
                <w:color w:val="1C1C1C"/>
                <w:sz w:val="20"/>
                <w:szCs w:val="20"/>
              </w:rPr>
              <w:t xml:space="preserve">Transparency about how their data is used</w:t>
            </w:r>
          </w:p>
        </w:tc>
        <w:tc>
          <w:tcPr>
            <w:tcW w:type="dxa" w:w="4680"/>
            <w:tcBorders>
              <w:top w:val="single" w:color="CCDDCC" w:sz="1"/>
              <w:left w:val="single" w:color="CCDDCC" w:sz="1"/>
              <w:bottom w:val="single" w:color="CCDDCC" w:sz="1"/>
              <w:right w:val="single" w:color="CCDDCC" w:sz="1"/>
            </w:tcBorders>
            <w:shd w:fill="FFFFFF" w:val="clear"/>
            <w:tcMar>
              <w:top w:type="dxa" w:w="80"/>
              <w:left w:type="dxa" w:w="120"/>
              <w:bottom w:type="dxa" w:w="80"/>
              <w:right w:type="dxa" w:w="120"/>
            </w:tcMar>
          </w:tcPr>
          <w:p>
            <w:r>
              <w:rPr>
                <w:rFonts w:ascii="Arial" w:cs="Arial" w:eastAsia="Arial" w:hAnsi="Arial"/>
                <w:b w:val="false"/>
                <w:bCs w:val="false"/>
                <w:color w:val="1C1C1C"/>
                <w:sz w:val="20"/>
                <w:szCs w:val="20"/>
              </w:rPr>
              <w:t xml:space="preserve">Vague privacy language</w:t>
            </w:r>
          </w:p>
        </w:tc>
      </w:tr>
    </w:tbl>
    <w:p>
      <w:pPr>
        <w:spacing w:after="0" w:before="0"/>
      </w:pPr>
    </w:p>
    <w:p>
      <w:pPr>
        <w:pBdr>
          <w:bottom w:val="single" w:color="5C7A4E" w:sz="6" w:space="1"/>
        </w:pBdr>
        <w:spacing w:after="280" w:before="280"/>
      </w:pPr>
    </w:p>
    <w:p>
      <w:pPr>
        <w:pStyle w:val="Heading1"/>
        <w:spacing w:after="180" w:before="520"/>
      </w:pPr>
      <w:r>
        <w:rPr>
          <w:rFonts w:ascii="Arial" w:cs="Arial" w:eastAsia="Arial" w:hAnsi="Arial"/>
          <w:b/>
          <w:bCs/>
          <w:color w:val="1C1C1C"/>
          <w:sz w:val="34"/>
          <w:szCs w:val="34"/>
        </w:rPr>
        <w:t xml:space="preserve">Feature 1: Legacy Data Digitisation Tool</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DDCC" w:sz="1"/>
              <w:left w:val="single" w:color="CCDDCC" w:sz="1"/>
              <w:bottom w:val="single" w:color="CCDDCC" w:sz="1"/>
              <w:right w:val="single" w:color="CCDDCC" w:sz="1"/>
            </w:tcBorders>
            <w:shd w:fill="E8F0E4" w:val="clear"/>
            <w:tcMar>
              <w:top w:type="dxa" w:w="80"/>
              <w:left w:type="dxa" w:w="120"/>
              <w:bottom w:type="dxa" w:w="80"/>
              <w:right w:type="dxa" w:w="120"/>
            </w:tcMar>
          </w:tcPr>
          <w:p>
            <w:r>
              <w:rPr>
                <w:rFonts w:ascii="Arial" w:cs="Arial" w:eastAsia="Arial" w:hAnsi="Arial"/>
                <w:b/>
                <w:bCs/>
                <w:color w:val="5C7A4E"/>
                <w:sz w:val="20"/>
                <w:szCs w:val="20"/>
              </w:rPr>
              <w:t xml:space="preserve">What it is</w:t>
            </w:r>
          </w:p>
        </w:tc>
        <w:tc>
          <w:tcPr>
            <w:tcW w:type="dxa" w:w="684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1C1C"/>
                <w:sz w:val="20"/>
                <w:szCs w:val="20"/>
              </w:rPr>
              <w:t xml:space="preserve">A structured, non-intimidating tool for digitising historical field notes, collection records, and personal locality data</w:t>
            </w:r>
          </w:p>
        </w:tc>
      </w:tr>
      <w:tr>
        <w:tc>
          <w:tcPr>
            <w:tcW w:type="dxa" w:w="2520"/>
            <w:tcBorders>
              <w:top w:val="single" w:color="CCDDCC" w:sz="1"/>
              <w:left w:val="single" w:color="CCDDCC" w:sz="1"/>
              <w:bottom w:val="single" w:color="CCDDCC" w:sz="1"/>
              <w:right w:val="single" w:color="CCDDCC" w:sz="1"/>
            </w:tcBorders>
            <w:shd w:fill="E8F0E4" w:val="clear"/>
            <w:tcMar>
              <w:top w:type="dxa" w:w="80"/>
              <w:left w:type="dxa" w:w="120"/>
              <w:bottom w:type="dxa" w:w="80"/>
              <w:right w:type="dxa" w:w="120"/>
            </w:tcMar>
          </w:tcPr>
          <w:p>
            <w:r>
              <w:rPr>
                <w:rFonts w:ascii="Arial" w:cs="Arial" w:eastAsia="Arial" w:hAnsi="Arial"/>
                <w:b/>
                <w:bCs/>
                <w:color w:val="5C7A4E"/>
                <w:sz w:val="20"/>
                <w:szCs w:val="20"/>
              </w:rPr>
              <w:t xml:space="preserve">Build priority</w:t>
            </w:r>
          </w:p>
        </w:tc>
        <w:tc>
          <w:tcPr>
            <w:tcW w:type="dxa" w:w="684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1C1C"/>
                <w:sz w:val="20"/>
                <w:szCs w:val="20"/>
              </w:rPr>
              <w:t xml:space="preserve">High — unique to this audience, high scientific value</w:t>
            </w:r>
          </w:p>
        </w:tc>
      </w:tr>
      <w:tr>
        <w:tc>
          <w:tcPr>
            <w:tcW w:type="dxa" w:w="2520"/>
            <w:tcBorders>
              <w:top w:val="single" w:color="CCDDCC" w:sz="1"/>
              <w:left w:val="single" w:color="CCDDCC" w:sz="1"/>
              <w:bottom w:val="single" w:color="CCDDCC" w:sz="1"/>
              <w:right w:val="single" w:color="CCDDCC" w:sz="1"/>
            </w:tcBorders>
            <w:shd w:fill="E8F0E4" w:val="clear"/>
            <w:tcMar>
              <w:top w:type="dxa" w:w="80"/>
              <w:left w:type="dxa" w:w="120"/>
              <w:bottom w:type="dxa" w:w="80"/>
              <w:right w:type="dxa" w:w="120"/>
            </w:tcMar>
          </w:tcPr>
          <w:p>
            <w:r>
              <w:rPr>
                <w:rFonts w:ascii="Arial" w:cs="Arial" w:eastAsia="Arial" w:hAnsi="Arial"/>
                <w:b/>
                <w:bCs/>
                <w:color w:val="5C7A4E"/>
                <w:sz w:val="20"/>
                <w:szCs w:val="20"/>
              </w:rPr>
              <w:t xml:space="preserve">Access</w:t>
            </w:r>
          </w:p>
        </w:tc>
        <w:tc>
          <w:tcPr>
            <w:tcW w:type="dxa" w:w="684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1C1C"/>
                <w:sz w:val="20"/>
                <w:szCs w:val="20"/>
              </w:rPr>
              <w:t xml:space="preserve">All registered users; enhanced for Verified Expert tier</w:t>
            </w:r>
          </w:p>
        </w:tc>
      </w:tr>
      <w:tr>
        <w:tc>
          <w:tcPr>
            <w:tcW w:type="dxa" w:w="2520"/>
            <w:tcBorders>
              <w:top w:val="single" w:color="CCDDCC" w:sz="1"/>
              <w:left w:val="single" w:color="CCDDCC" w:sz="1"/>
              <w:bottom w:val="single" w:color="CCDDCC" w:sz="1"/>
              <w:right w:val="single" w:color="CCDDCC" w:sz="1"/>
            </w:tcBorders>
            <w:shd w:fill="E8F0E4" w:val="clear"/>
            <w:tcMar>
              <w:top w:type="dxa" w:w="80"/>
              <w:left w:type="dxa" w:w="120"/>
              <w:bottom w:type="dxa" w:w="80"/>
              <w:right w:type="dxa" w:w="120"/>
            </w:tcMar>
          </w:tcPr>
          <w:p>
            <w:r>
              <w:rPr>
                <w:rFonts w:ascii="Arial" w:cs="Arial" w:eastAsia="Arial" w:hAnsi="Arial"/>
                <w:b/>
                <w:bCs/>
                <w:color w:val="5C7A4E"/>
                <w:sz w:val="20"/>
                <w:szCs w:val="20"/>
              </w:rPr>
              <w:t xml:space="preserve">Audience value</w:t>
            </w:r>
          </w:p>
        </w:tc>
        <w:tc>
          <w:tcPr>
            <w:tcW w:type="dxa" w:w="684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1C1C"/>
                <w:sz w:val="20"/>
                <w:szCs w:val="20"/>
              </w:rPr>
              <w:t xml:space="preserve">Their decades of knowledge finally have a home and an audience</w:t>
            </w:r>
          </w:p>
        </w:tc>
      </w:tr>
      <w:tr>
        <w:tc>
          <w:tcPr>
            <w:tcW w:type="dxa" w:w="2520"/>
            <w:tcBorders>
              <w:top w:val="single" w:color="CCDDCC" w:sz="1"/>
              <w:left w:val="single" w:color="CCDDCC" w:sz="1"/>
              <w:bottom w:val="single" w:color="CCDDCC" w:sz="1"/>
              <w:right w:val="single" w:color="CCDDCC" w:sz="1"/>
            </w:tcBorders>
            <w:shd w:fill="E8F0E4" w:val="clear"/>
            <w:tcMar>
              <w:top w:type="dxa" w:w="80"/>
              <w:left w:type="dxa" w:w="120"/>
              <w:bottom w:type="dxa" w:w="80"/>
              <w:right w:type="dxa" w:w="120"/>
            </w:tcMar>
          </w:tcPr>
          <w:p>
            <w:r>
              <w:rPr>
                <w:rFonts w:ascii="Arial" w:cs="Arial" w:eastAsia="Arial" w:hAnsi="Arial"/>
                <w:b/>
                <w:bCs/>
                <w:color w:val="5C7A4E"/>
                <w:sz w:val="20"/>
                <w:szCs w:val="20"/>
              </w:rPr>
              <w:t xml:space="preserve">Platform value</w:t>
            </w:r>
          </w:p>
        </w:tc>
        <w:tc>
          <w:tcPr>
            <w:tcW w:type="dxa" w:w="684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1C1C"/>
                <w:sz w:val="20"/>
                <w:szCs w:val="20"/>
              </w:rPr>
              <w:t xml:space="preserve">Historical dataset with scientific depth unavailable anywhere else</w:t>
            </w:r>
          </w:p>
        </w:tc>
      </w:tr>
    </w:tbl>
    <w:p>
      <w:pPr>
        <w:spacing w:after="0" w:before="0"/>
      </w:pPr>
    </w:p>
    <w:p>
      <w:pPr>
        <w:pStyle w:val="Heading2"/>
        <w:spacing w:after="130" w:before="340"/>
      </w:pPr>
      <w:r>
        <w:rPr>
          <w:rFonts w:ascii="Arial" w:cs="Arial" w:eastAsia="Arial" w:hAnsi="Arial"/>
          <w:b/>
          <w:bCs/>
          <w:color w:val="5C7A4E"/>
          <w:sz w:val="27"/>
          <w:szCs w:val="27"/>
        </w:rPr>
        <w:t xml:space="preserve">The Problem It Solves</w:t>
      </w:r>
    </w:p>
    <w:p>
      <w:pPr>
        <w:spacing w:after="130" w:before="80"/>
      </w:pPr>
      <w:r>
        <w:rPr>
          <w:rFonts w:ascii="Arial" w:cs="Arial" w:eastAsia="Arial" w:hAnsi="Arial"/>
          <w:color w:val="1C1C1C"/>
          <w:sz w:val="22"/>
          <w:szCs w:val="22"/>
        </w:rPr>
        <w:t xml:space="preserve">A retired OGS geologist has field notebooks from 1978–2005 documenting mineral occurrences, outcrop conditions, and locality data across Eastern Ontario. That data exists nowhere in digital form. When they die, it disappears. The OGS MDI has records of major known deposits, but the granular, first-hand field observations of a working geologist over three decades are not captured anywhere.</w:t>
      </w:r>
    </w:p>
    <w:p>
      <w:pPr>
        <w:spacing w:after="130" w:before="80"/>
      </w:pPr>
      <w:r>
        <w:rPr>
          <w:rFonts w:ascii="Arial" w:cs="Arial" w:eastAsia="Arial" w:hAnsi="Arial"/>
          <w:color w:val="1C1C1C"/>
          <w:sz w:val="22"/>
          <w:szCs w:val="22"/>
        </w:rPr>
        <w:t xml:space="preserve">The same is true of a lifelong rockhound who has been visiting the same dozen sites since 1985 and has hand-written notes on seasonal variation, productive horizons, and access conditions that no survey has ever documented.</w:t>
      </w:r>
    </w:p>
    <w:p>
      <w:pPr>
        <w:spacing w:after="130" w:before="80"/>
      </w:pPr>
      <w:r>
        <w:rPr>
          <w:rFonts w:ascii="Arial" w:cs="Arial" w:eastAsia="Arial" w:hAnsi="Arial"/>
          <w:color w:val="1C1C1C"/>
          <w:sz w:val="22"/>
          <w:szCs w:val="22"/>
        </w:rPr>
        <w:t xml:space="preserve">The legacy data tool gives this knowledge a structured, permanent, searchable home.</w:t>
      </w:r>
    </w:p>
    <w:p>
      <w:pPr>
        <w:pStyle w:val="Heading2"/>
        <w:spacing w:after="130" w:before="340"/>
      </w:pPr>
      <w:r>
        <w:rPr>
          <w:rFonts w:ascii="Arial" w:cs="Arial" w:eastAsia="Arial" w:hAnsi="Arial"/>
          <w:b/>
          <w:bCs/>
          <w:color w:val="5C7A4E"/>
          <w:sz w:val="27"/>
          <w:szCs w:val="27"/>
        </w:rPr>
        <w:t xml:space="preserve">Input Methods</w:t>
      </w:r>
    </w:p>
    <w:p>
      <w:pPr>
        <w:pStyle w:val="Heading3"/>
        <w:spacing w:after="100" w:before="240"/>
      </w:pPr>
      <w:r>
        <w:rPr>
          <w:rFonts w:ascii="Arial" w:cs="Arial" w:eastAsia="Arial" w:hAnsi="Arial"/>
          <w:b/>
          <w:bCs/>
          <w:color w:val="3D4D3A"/>
          <w:sz w:val="24"/>
          <w:szCs w:val="24"/>
        </w:rPr>
        <w:t xml:space="preserve">Structured Digital Entry</w:t>
      </w:r>
    </w:p>
    <w:p>
      <w:pPr>
        <w:spacing w:after="130" w:before="80"/>
      </w:pPr>
      <w:r>
        <w:rPr>
          <w:rFonts w:ascii="Arial" w:cs="Arial" w:eastAsia="Arial" w:hAnsi="Arial"/>
          <w:color w:val="1C1C1C"/>
          <w:sz w:val="22"/>
          <w:szCs w:val="22"/>
        </w:rPr>
        <w:t xml:space="preserve">A clean, desktop-optimised form for entering historical finds one at a time or in batches:</w:t>
      </w:r>
    </w:p>
    <w:p>
      <w:pPr>
        <w:pStyle w:val="ListParagraph"/>
        <w:numPr>
          <w:ilvl w:val="0"/>
          <w:numId w:val="2"/>
        </w:numPr>
        <w:spacing w:after="60" w:before="60"/>
      </w:pPr>
      <w:r>
        <w:rPr>
          <w:rFonts w:ascii="Arial" w:cs="Arial" w:eastAsia="Arial" w:hAnsi="Arial"/>
          <w:color w:val="1C1C1C"/>
          <w:sz w:val="22"/>
          <w:szCs w:val="22"/>
        </w:rPr>
        <w:t xml:space="preserve">Date found (day/month/year, or approximate: “Summer 1987”, “ca. 1990” — uncertainty is recorded, not rejected)</w:t>
      </w:r>
    </w:p>
    <w:p>
      <w:pPr>
        <w:pStyle w:val="ListParagraph"/>
        <w:numPr>
          <w:ilvl w:val="0"/>
          <w:numId w:val="2"/>
        </w:numPr>
        <w:spacing w:after="60" w:before="60"/>
      </w:pPr>
      <w:r>
        <w:rPr>
          <w:rFonts w:ascii="Arial" w:cs="Arial" w:eastAsia="Arial" w:hAnsi="Arial"/>
          <w:color w:val="1C1C1C"/>
          <w:sz w:val="22"/>
          <w:szCs w:val="22"/>
        </w:rPr>
        <w:t xml:space="preserve">Location: GPS coordinates, OR a place name + description (“Road cut on Hwy 28, 3km north of Bancroft”), OR select from a map</w:t>
      </w:r>
    </w:p>
    <w:p>
      <w:pPr>
        <w:pStyle w:val="ListParagraph"/>
        <w:numPr>
          <w:ilvl w:val="0"/>
          <w:numId w:val="2"/>
        </w:numPr>
        <w:spacing w:after="60" w:before="60"/>
      </w:pPr>
      <w:r>
        <w:rPr>
          <w:rFonts w:ascii="Arial" w:cs="Arial" w:eastAsia="Arial" w:hAnsi="Arial"/>
          <w:color w:val="1C1C1C"/>
          <w:sz w:val="22"/>
          <w:szCs w:val="22"/>
        </w:rPr>
        <w:t xml:space="preserve">Mineral identification (free text with autocomplete from the digby mineral database)</w:t>
      </w:r>
    </w:p>
    <w:p>
      <w:pPr>
        <w:pStyle w:val="ListParagraph"/>
        <w:numPr>
          <w:ilvl w:val="0"/>
          <w:numId w:val="2"/>
        </w:numPr>
        <w:spacing w:after="60" w:before="60"/>
      </w:pPr>
      <w:r>
        <w:rPr>
          <w:rFonts w:ascii="Arial" w:cs="Arial" w:eastAsia="Arial" w:hAnsi="Arial"/>
          <w:color w:val="1C1C1C"/>
          <w:sz w:val="22"/>
          <w:szCs w:val="22"/>
        </w:rPr>
        <w:t xml:space="preserve">Host rock type</w:t>
      </w:r>
    </w:p>
    <w:p>
      <w:pPr>
        <w:pStyle w:val="ListParagraph"/>
        <w:numPr>
          <w:ilvl w:val="0"/>
          <w:numId w:val="2"/>
        </w:numPr>
        <w:spacing w:after="60" w:before="60"/>
      </w:pPr>
      <w:r>
        <w:rPr>
          <w:rFonts w:ascii="Arial" w:cs="Arial" w:eastAsia="Arial" w:hAnsi="Arial"/>
          <w:color w:val="1C1C1C"/>
          <w:sz w:val="22"/>
          <w:szCs w:val="22"/>
        </w:rPr>
        <w:t xml:space="preserve">Notes (free text, no length limit)</w:t>
      </w:r>
    </w:p>
    <w:p>
      <w:pPr>
        <w:pStyle w:val="ListParagraph"/>
        <w:numPr>
          <w:ilvl w:val="0"/>
          <w:numId w:val="2"/>
        </w:numPr>
        <w:spacing w:after="60" w:before="60"/>
      </w:pPr>
      <w:r>
        <w:rPr>
          <w:rFonts w:ascii="Arial" w:cs="Arial" w:eastAsia="Arial" w:hAnsi="Arial"/>
          <w:color w:val="1C1C1C"/>
          <w:sz w:val="22"/>
          <w:szCs w:val="22"/>
        </w:rPr>
        <w:t xml:space="preserve">Data source: field notebook / memory / collection label / photograph</w:t>
      </w:r>
    </w:p>
    <w:p>
      <w:pPr>
        <w:pStyle w:val="ListParagraph"/>
        <w:numPr>
          <w:ilvl w:val="0"/>
          <w:numId w:val="2"/>
        </w:numPr>
        <w:spacing w:after="60" w:before="60"/>
      </w:pPr>
      <w:r>
        <w:rPr>
          <w:rFonts w:ascii="Arial" w:cs="Arial" w:eastAsia="Arial" w:hAnsi="Arial"/>
          <w:color w:val="1C1C1C"/>
          <w:sz w:val="22"/>
          <w:szCs w:val="22"/>
        </w:rPr>
        <w:t xml:space="preserve">Confidence level: certain / probable / uncertain</w:t>
      </w:r>
    </w:p>
    <w:p>
      <w:pPr>
        <w:pStyle w:val="ListParagraph"/>
        <w:numPr>
          <w:ilvl w:val="0"/>
          <w:numId w:val="2"/>
        </w:numPr>
        <w:spacing w:after="60" w:before="60"/>
      </w:pPr>
      <w:r>
        <w:rPr>
          <w:rFonts w:ascii="Arial" w:cs="Arial" w:eastAsia="Arial" w:hAnsi="Arial"/>
          <w:color w:val="1C1C1C"/>
          <w:sz w:val="22"/>
          <w:szCs w:val="22"/>
        </w:rPr>
        <w:t xml:space="preserve">Visibility: private / community / citizen science shareable</w:t>
      </w:r>
    </w:p>
    <w:p>
      <w:pPr>
        <w:pBdr>
          <w:left w:val="single" w:color="5C7A4E" w:sz="12" w:space="8"/>
        </w:pBdr>
        <w:spacing w:after="140" w:before="140"/>
        <w:ind w:left="360"/>
      </w:pPr>
      <w:r>
        <w:rPr>
          <w:rFonts w:ascii="Arial" w:cs="Arial" w:eastAsia="Arial" w:hAnsi="Arial"/>
          <w:i/>
          <w:iCs/>
          <w:color w:val="555544"/>
          <w:sz w:val="20"/>
          <w:szCs w:val="20"/>
        </w:rPr>
        <w:t xml:space="preserve">The approximate date and confidence fields are critical. Rejecting historical data because it lacks a precise GPS coordinate or exact date would lose the most valuable records. Accept uncertainty explicitly and record it.</w:t>
      </w:r>
    </w:p>
    <w:p>
      <w:pPr>
        <w:pStyle w:val="Heading3"/>
        <w:spacing w:after="100" w:before="240"/>
      </w:pPr>
      <w:r>
        <w:rPr>
          <w:rFonts w:ascii="Arial" w:cs="Arial" w:eastAsia="Arial" w:hAnsi="Arial"/>
          <w:b/>
          <w:bCs/>
          <w:color w:val="3D4D3A"/>
          <w:sz w:val="24"/>
          <w:szCs w:val="24"/>
        </w:rPr>
        <w:t xml:space="preserve">Batch CSV Import</w:t>
      </w:r>
    </w:p>
    <w:p>
      <w:pPr>
        <w:spacing w:after="130" w:before="80"/>
      </w:pPr>
      <w:r>
        <w:rPr>
          <w:rFonts w:ascii="Arial" w:cs="Arial" w:eastAsia="Arial" w:hAnsi="Arial"/>
          <w:color w:val="1C1C1C"/>
          <w:sz w:val="22"/>
          <w:szCs w:val="22"/>
        </w:rPr>
        <w:t xml:space="preserve">For users who already have data in spreadsheets or database exports from institutional tools:</w:t>
      </w:r>
    </w:p>
    <w:p>
      <w:pPr>
        <w:pStyle w:val="ListParagraph"/>
        <w:numPr>
          <w:ilvl w:val="0"/>
          <w:numId w:val="2"/>
        </w:numPr>
        <w:spacing w:after="60" w:before="60"/>
      </w:pPr>
      <w:r>
        <w:rPr>
          <w:rFonts w:ascii="Arial" w:cs="Arial" w:eastAsia="Arial" w:hAnsi="Arial"/>
          <w:color w:val="1C1C1C"/>
          <w:sz w:val="22"/>
          <w:szCs w:val="22"/>
        </w:rPr>
        <w:t xml:space="preserve">Upload a CSV with a flexible column mapping tool — user maps their column names to digby field names</w:t>
      </w:r>
    </w:p>
    <w:p>
      <w:pPr>
        <w:pStyle w:val="ListParagraph"/>
        <w:numPr>
          <w:ilvl w:val="0"/>
          <w:numId w:val="2"/>
        </w:numPr>
        <w:spacing w:after="60" w:before="60"/>
      </w:pPr>
      <w:r>
        <w:rPr>
          <w:rFonts w:ascii="Arial" w:cs="Arial" w:eastAsia="Arial" w:hAnsi="Arial"/>
          <w:color w:val="1C1C1C"/>
          <w:sz w:val="22"/>
          <w:szCs w:val="22"/>
        </w:rPr>
        <w:t xml:space="preserve">Preview before import: show first 10 rows with mapped fields highlighted</w:t>
      </w:r>
    </w:p>
    <w:p>
      <w:pPr>
        <w:pStyle w:val="ListParagraph"/>
        <w:numPr>
          <w:ilvl w:val="0"/>
          <w:numId w:val="2"/>
        </w:numPr>
        <w:spacing w:after="60" w:before="60"/>
      </w:pPr>
      <w:r>
        <w:rPr>
          <w:rFonts w:ascii="Arial" w:cs="Arial" w:eastAsia="Arial" w:hAnsi="Arial"/>
          <w:color w:val="1C1C1C"/>
          <w:sz w:val="22"/>
          <w:szCs w:val="22"/>
        </w:rPr>
        <w:t xml:space="preserve">Validation report: flag rows with missing required fields or unrecognised mineral names, allow user to fix or skip</w:t>
      </w:r>
    </w:p>
    <w:p>
      <w:pPr>
        <w:pStyle w:val="ListParagraph"/>
        <w:numPr>
          <w:ilvl w:val="0"/>
          <w:numId w:val="2"/>
        </w:numPr>
        <w:spacing w:after="60" w:before="60"/>
      </w:pPr>
      <w:r>
        <w:rPr>
          <w:rFonts w:ascii="Arial" w:cs="Arial" w:eastAsia="Arial" w:hAnsi="Arial"/>
          <w:color w:val="1C1C1C"/>
          <w:sz w:val="22"/>
          <w:szCs w:val="22"/>
        </w:rPr>
        <w:t xml:space="preserve">Import up to 10,000 records in a single batch</w:t>
      </w:r>
    </w:p>
    <w:p>
      <w:pPr>
        <w:pStyle w:val="ListParagraph"/>
        <w:numPr>
          <w:ilvl w:val="0"/>
          <w:numId w:val="2"/>
        </w:numPr>
        <w:spacing w:after="60" w:before="60"/>
      </w:pPr>
      <w:r>
        <w:rPr>
          <w:rFonts w:ascii="Arial" w:cs="Arial" w:eastAsia="Arial" w:hAnsi="Arial"/>
          <w:color w:val="1C1C1C"/>
          <w:sz w:val="22"/>
          <w:szCs w:val="22"/>
        </w:rPr>
        <w:t xml:space="preserve">All imported records marked as legacy_import: true with the import date</w:t>
      </w:r>
    </w:p>
    <w:p>
      <w:pPr>
        <w:pStyle w:val="ListParagraph"/>
        <w:numPr>
          <w:ilvl w:val="0"/>
          <w:numId w:val="2"/>
        </w:numPr>
        <w:spacing w:after="60" w:before="60"/>
      </w:pPr>
      <w:r>
        <w:rPr>
          <w:rFonts w:ascii="Arial" w:cs="Arial" w:eastAsia="Arial" w:hAnsi="Arial"/>
          <w:color w:val="1C1C1C"/>
          <w:sz w:val="22"/>
          <w:szCs w:val="22"/>
        </w:rPr>
        <w:t xml:space="preserve">Template CSV downloadable from the import page so users can format new data correctly from the start</w:t>
      </w:r>
    </w:p>
    <w:p>
      <w:pPr>
        <w:pStyle w:val="Heading3"/>
        <w:spacing w:after="100" w:before="240"/>
      </w:pPr>
      <w:r>
        <w:rPr>
          <w:rFonts w:ascii="Arial" w:cs="Arial" w:eastAsia="Arial" w:hAnsi="Arial"/>
          <w:b/>
          <w:bCs/>
          <w:color w:val="3D4D3A"/>
          <w:sz w:val="24"/>
          <w:szCs w:val="24"/>
        </w:rPr>
        <w:t xml:space="preserve">Photo-to-Record (AI-Assisted)</w:t>
      </w:r>
    </w:p>
    <w:p>
      <w:pPr>
        <w:spacing w:after="130" w:before="80"/>
      </w:pPr>
      <w:r>
        <w:rPr>
          <w:rFonts w:ascii="Arial" w:cs="Arial" w:eastAsia="Arial" w:hAnsi="Arial"/>
          <w:color w:val="1C1C1C"/>
          <w:sz w:val="22"/>
          <w:szCs w:val="22"/>
        </w:rPr>
        <w:t xml:space="preserve">For users with photographs of collection labels, field notebook pages, or specimen photos:</w:t>
      </w:r>
    </w:p>
    <w:p>
      <w:pPr>
        <w:pStyle w:val="ListParagraph"/>
        <w:numPr>
          <w:ilvl w:val="0"/>
          <w:numId w:val="2"/>
        </w:numPr>
        <w:spacing w:after="60" w:before="60"/>
      </w:pPr>
      <w:r>
        <w:rPr>
          <w:rFonts w:ascii="Arial" w:cs="Arial" w:eastAsia="Arial" w:hAnsi="Arial"/>
          <w:color w:val="1C1C1C"/>
          <w:sz w:val="22"/>
          <w:szCs w:val="22"/>
        </w:rPr>
        <w:t xml:space="preserve">Upload a photo of a handwritten or typed collection label</w:t>
      </w:r>
    </w:p>
    <w:p>
      <w:pPr>
        <w:pStyle w:val="ListParagraph"/>
        <w:numPr>
          <w:ilvl w:val="0"/>
          <w:numId w:val="2"/>
        </w:numPr>
        <w:spacing w:after="60" w:before="60"/>
      </w:pPr>
      <w:r>
        <w:rPr>
          <w:rFonts w:ascii="Arial" w:cs="Arial" w:eastAsia="Arial" w:hAnsi="Arial"/>
          <w:color w:val="1C1C1C"/>
          <w:sz w:val="22"/>
          <w:szCs w:val="22"/>
        </w:rPr>
        <w:t xml:space="preserve">Claude vision extracts: mineral name, locality, date, collector name, notes — pre-populates the entry form</w:t>
      </w:r>
    </w:p>
    <w:p>
      <w:pPr>
        <w:pStyle w:val="ListParagraph"/>
        <w:numPr>
          <w:ilvl w:val="0"/>
          <w:numId w:val="2"/>
        </w:numPr>
        <w:spacing w:after="60" w:before="60"/>
      </w:pPr>
      <w:r>
        <w:rPr>
          <w:rFonts w:ascii="Arial" w:cs="Arial" w:eastAsia="Arial" w:hAnsi="Arial"/>
          <w:color w:val="1C1C1C"/>
          <w:sz w:val="22"/>
          <w:szCs w:val="22"/>
        </w:rPr>
        <w:t xml:space="preserve">User reviews and corrects before saving — AI extraction is a starting point, not a final record</w:t>
      </w:r>
    </w:p>
    <w:p>
      <w:pPr>
        <w:pStyle w:val="ListParagraph"/>
        <w:numPr>
          <w:ilvl w:val="0"/>
          <w:numId w:val="2"/>
        </w:numPr>
        <w:spacing w:after="60" w:before="60"/>
      </w:pPr>
      <w:r>
        <w:rPr>
          <w:rFonts w:ascii="Arial" w:cs="Arial" w:eastAsia="Arial" w:hAnsi="Arial"/>
          <w:color w:val="1C1C1C"/>
          <w:sz w:val="22"/>
          <w:szCs w:val="22"/>
        </w:rPr>
        <w:t xml:space="preserve">Works for typed labels (high accuracy) and clear handwriting (moderate accuracy)</w:t>
      </w:r>
    </w:p>
    <w:p>
      <w:pPr>
        <w:pStyle w:val="ListParagraph"/>
        <w:numPr>
          <w:ilvl w:val="0"/>
          <w:numId w:val="2"/>
        </w:numPr>
        <w:spacing w:after="60" w:before="60"/>
      </w:pPr>
      <w:r>
        <w:rPr>
          <w:rFonts w:ascii="Arial" w:cs="Arial" w:eastAsia="Arial" w:hAnsi="Arial"/>
          <w:color w:val="1C1C1C"/>
          <w:sz w:val="22"/>
          <w:szCs w:val="22"/>
        </w:rPr>
        <w:t xml:space="preserve">Old specimen photographs can also be submitted as the find photo, even if low resolution</w:t>
      </w:r>
    </w:p>
    <w:p>
      <w:pPr>
        <w:pBdr>
          <w:left w:val="single" w:color="5C7A4E" w:sz="12" w:space="8"/>
        </w:pBdr>
        <w:spacing w:after="140" w:before="140"/>
        <w:ind w:left="360"/>
      </w:pPr>
      <w:r>
        <w:rPr>
          <w:rFonts w:ascii="Arial" w:cs="Arial" w:eastAsia="Arial" w:hAnsi="Arial"/>
          <w:i/>
          <w:iCs/>
          <w:color w:val="555544"/>
          <w:sz w:val="20"/>
          <w:szCs w:val="20"/>
        </w:rPr>
        <w:t xml:space="preserve">This feature has enormous value for older collections where labels are the only record. A photograph of a 1960s collection label can digitise fifty years of field history in seconds.</w:t>
      </w:r>
    </w:p>
    <w:p>
      <w:pPr>
        <w:pStyle w:val="Heading2"/>
        <w:spacing w:after="130" w:before="340"/>
      </w:pPr>
      <w:r>
        <w:rPr>
          <w:rFonts w:ascii="Arial" w:cs="Arial" w:eastAsia="Arial" w:hAnsi="Arial"/>
          <w:b/>
          <w:bCs/>
          <w:color w:val="5C7A4E"/>
          <w:sz w:val="27"/>
          <w:szCs w:val="27"/>
        </w:rPr>
        <w:t xml:space="preserve">Legacy Data Display</w:t>
      </w:r>
    </w:p>
    <w:p>
      <w:pPr>
        <w:pStyle w:val="ListParagraph"/>
        <w:numPr>
          <w:ilvl w:val="0"/>
          <w:numId w:val="2"/>
        </w:numPr>
        <w:spacing w:after="60" w:before="60"/>
      </w:pPr>
      <w:r>
        <w:rPr>
          <w:rFonts w:ascii="Arial" w:cs="Arial" w:eastAsia="Arial" w:hAnsi="Arial"/>
          <w:color w:val="1C1C1C"/>
          <w:sz w:val="22"/>
          <w:szCs w:val="22"/>
        </w:rPr>
        <w:t xml:space="preserve">Legacy finds are displayed distinctly from recent finds — a subtle visual indicator (“Historical find”) distinguishes them on the find feed and map</w:t>
      </w:r>
    </w:p>
    <w:p>
      <w:pPr>
        <w:pStyle w:val="ListParagraph"/>
        <w:numPr>
          <w:ilvl w:val="0"/>
          <w:numId w:val="2"/>
        </w:numPr>
        <w:spacing w:after="60" w:before="60"/>
      </w:pPr>
      <w:r>
        <w:rPr>
          <w:rFonts w:ascii="Arial" w:cs="Arial" w:eastAsia="Arial" w:hAnsi="Arial"/>
          <w:color w:val="1C1C1C"/>
          <w:sz w:val="22"/>
          <w:szCs w:val="22"/>
        </w:rPr>
        <w:t xml:space="preserve">Approximate dates displayed as entered: “ca. 1987”, “Summer 1992” — not forced into a specific date format</w:t>
      </w:r>
    </w:p>
    <w:p>
      <w:pPr>
        <w:pStyle w:val="ListParagraph"/>
        <w:numPr>
          <w:ilvl w:val="0"/>
          <w:numId w:val="2"/>
        </w:numPr>
        <w:spacing w:after="60" w:before="60"/>
      </w:pPr>
      <w:r>
        <w:rPr>
          <w:rFonts w:ascii="Arial" w:cs="Arial" w:eastAsia="Arial" w:hAnsi="Arial"/>
          <w:color w:val="1C1C1C"/>
          <w:sz w:val="22"/>
          <w:szCs w:val="22"/>
        </w:rPr>
        <w:t xml:space="preserve">Uncertainty in location displayed on the map as a radius circle, not a precise point, when only a general location was provided</w:t>
      </w:r>
    </w:p>
    <w:p>
      <w:pPr>
        <w:pStyle w:val="ListParagraph"/>
        <w:numPr>
          <w:ilvl w:val="0"/>
          <w:numId w:val="2"/>
        </w:numPr>
        <w:spacing w:after="60" w:before="60"/>
      </w:pPr>
      <w:r>
        <w:rPr>
          <w:rFonts w:ascii="Arial" w:cs="Arial" w:eastAsia="Arial" w:hAnsi="Arial"/>
          <w:color w:val="1C1C1C"/>
          <w:sz w:val="22"/>
          <w:szCs w:val="22"/>
        </w:rPr>
        <w:t xml:space="preserve">Historical finds are included in the citizen science dataset with a legacy flag — scientifically valuable but clearly distinguished from contemporaneous observations</w:t>
      </w:r>
    </w:p>
    <w:p>
      <w:pPr>
        <w:pBdr>
          <w:bottom w:val="single" w:color="5C7A4E" w:sz="6" w:space="1"/>
        </w:pBdr>
        <w:spacing w:after="280" w:before="280"/>
      </w:pPr>
    </w:p>
    <w:p>
      <w:pPr>
        <w:pStyle w:val="Heading1"/>
        <w:spacing w:after="180" w:before="520"/>
      </w:pPr>
      <w:r>
        <w:rPr>
          <w:rFonts w:ascii="Arial" w:cs="Arial" w:eastAsia="Arial" w:hAnsi="Arial"/>
          <w:b/>
          <w:bCs/>
          <w:color w:val="1C1C1C"/>
          <w:sz w:val="34"/>
          <w:szCs w:val="34"/>
        </w:rPr>
        <w:t xml:space="preserve">Feature 2: Locality Knowledge Base</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DDCC" w:sz="1"/>
              <w:left w:val="single" w:color="CCDDCC" w:sz="1"/>
              <w:bottom w:val="single" w:color="CCDDCC" w:sz="1"/>
              <w:right w:val="single" w:color="CCDDCC" w:sz="1"/>
            </w:tcBorders>
            <w:shd w:fill="E8F0E4" w:val="clear"/>
            <w:tcMar>
              <w:top w:type="dxa" w:w="80"/>
              <w:left w:type="dxa" w:w="120"/>
              <w:bottom w:type="dxa" w:w="80"/>
              <w:right w:type="dxa" w:w="120"/>
            </w:tcMar>
          </w:tcPr>
          <w:p>
            <w:r>
              <w:rPr>
                <w:rFonts w:ascii="Arial" w:cs="Arial" w:eastAsia="Arial" w:hAnsi="Arial"/>
                <w:b/>
                <w:bCs/>
                <w:color w:val="5C7A4E"/>
                <w:sz w:val="20"/>
                <w:szCs w:val="20"/>
              </w:rPr>
              <w:t xml:space="preserve">What it is</w:t>
            </w:r>
          </w:p>
        </w:tc>
        <w:tc>
          <w:tcPr>
            <w:tcW w:type="dxa" w:w="684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1C1C"/>
                <w:sz w:val="20"/>
                <w:szCs w:val="20"/>
              </w:rPr>
              <w:t xml:space="preserve">A structured tool for documenting productive localities, site conditions, and field knowledge beyond what formal surveys capture</w:t>
            </w:r>
          </w:p>
        </w:tc>
      </w:tr>
      <w:tr>
        <w:tc>
          <w:tcPr>
            <w:tcW w:type="dxa" w:w="2520"/>
            <w:tcBorders>
              <w:top w:val="single" w:color="CCDDCC" w:sz="1"/>
              <w:left w:val="single" w:color="CCDDCC" w:sz="1"/>
              <w:bottom w:val="single" w:color="CCDDCC" w:sz="1"/>
              <w:right w:val="single" w:color="CCDDCC" w:sz="1"/>
            </w:tcBorders>
            <w:shd w:fill="E8F0E4" w:val="clear"/>
            <w:tcMar>
              <w:top w:type="dxa" w:w="80"/>
              <w:left w:type="dxa" w:w="120"/>
              <w:bottom w:type="dxa" w:w="80"/>
              <w:right w:type="dxa" w:w="120"/>
            </w:tcMar>
          </w:tcPr>
          <w:p>
            <w:r>
              <w:rPr>
                <w:rFonts w:ascii="Arial" w:cs="Arial" w:eastAsia="Arial" w:hAnsi="Arial"/>
                <w:b/>
                <w:bCs/>
                <w:color w:val="5C7A4E"/>
                <w:sz w:val="20"/>
                <w:szCs w:val="20"/>
              </w:rPr>
              <w:t xml:space="preserve">Build priority</w:t>
            </w:r>
          </w:p>
        </w:tc>
        <w:tc>
          <w:tcPr>
            <w:tcW w:type="dxa" w:w="684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1C1C"/>
                <w:sz w:val="20"/>
                <w:szCs w:val="20"/>
              </w:rPr>
              <w:t xml:space="preserve">Medium-high — builds naturally on top of the formation notes wiki in the expert spec</w:t>
            </w:r>
          </w:p>
        </w:tc>
      </w:tr>
      <w:tr>
        <w:tc>
          <w:tcPr>
            <w:tcW w:type="dxa" w:w="2520"/>
            <w:tcBorders>
              <w:top w:val="single" w:color="CCDDCC" w:sz="1"/>
              <w:left w:val="single" w:color="CCDDCC" w:sz="1"/>
              <w:bottom w:val="single" w:color="CCDDCC" w:sz="1"/>
              <w:right w:val="single" w:color="CCDDCC" w:sz="1"/>
            </w:tcBorders>
            <w:shd w:fill="E8F0E4" w:val="clear"/>
            <w:tcMar>
              <w:top w:type="dxa" w:w="80"/>
              <w:left w:type="dxa" w:w="120"/>
              <w:bottom w:type="dxa" w:w="80"/>
              <w:right w:type="dxa" w:w="120"/>
            </w:tcMar>
          </w:tcPr>
          <w:p>
            <w:r>
              <w:rPr>
                <w:rFonts w:ascii="Arial" w:cs="Arial" w:eastAsia="Arial" w:hAnsi="Arial"/>
                <w:b/>
                <w:bCs/>
                <w:color w:val="5C7A4E"/>
                <w:sz w:val="20"/>
                <w:szCs w:val="20"/>
              </w:rPr>
              <w:t xml:space="preserve">Access</w:t>
            </w:r>
          </w:p>
        </w:tc>
        <w:tc>
          <w:tcPr>
            <w:tcW w:type="dxa" w:w="684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1C1C"/>
                <w:sz w:val="20"/>
                <w:szCs w:val="20"/>
              </w:rPr>
              <w:t xml:space="preserve">Verified Expert tier to contribute; all users to read</w:t>
            </w:r>
          </w:p>
        </w:tc>
      </w:tr>
      <w:tr>
        <w:tc>
          <w:tcPr>
            <w:tcW w:type="dxa" w:w="2520"/>
            <w:tcBorders>
              <w:top w:val="single" w:color="CCDDCC" w:sz="1"/>
              <w:left w:val="single" w:color="CCDDCC" w:sz="1"/>
              <w:bottom w:val="single" w:color="CCDDCC" w:sz="1"/>
              <w:right w:val="single" w:color="CCDDCC" w:sz="1"/>
            </w:tcBorders>
            <w:shd w:fill="E8F0E4" w:val="clear"/>
            <w:tcMar>
              <w:top w:type="dxa" w:w="80"/>
              <w:left w:type="dxa" w:w="120"/>
              <w:bottom w:type="dxa" w:w="80"/>
              <w:right w:type="dxa" w:w="120"/>
            </w:tcMar>
          </w:tcPr>
          <w:p>
            <w:r>
              <w:rPr>
                <w:rFonts w:ascii="Arial" w:cs="Arial" w:eastAsia="Arial" w:hAnsi="Arial"/>
                <w:b/>
                <w:bCs/>
                <w:color w:val="5C7A4E"/>
                <w:sz w:val="20"/>
                <w:szCs w:val="20"/>
              </w:rPr>
              <w:t xml:space="preserve">Audience value</w:t>
            </w:r>
          </w:p>
        </w:tc>
        <w:tc>
          <w:tcPr>
            <w:tcW w:type="dxa" w:w="684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1C1C"/>
                <w:sz w:val="20"/>
                <w:szCs w:val="20"/>
              </w:rPr>
              <w:t xml:space="preserve">Their tacit knowledge is formally recognised and preserved</w:t>
            </w:r>
          </w:p>
        </w:tc>
      </w:tr>
      <w:tr>
        <w:tc>
          <w:tcPr>
            <w:tcW w:type="dxa" w:w="2520"/>
            <w:tcBorders>
              <w:top w:val="single" w:color="CCDDCC" w:sz="1"/>
              <w:left w:val="single" w:color="CCDDCC" w:sz="1"/>
              <w:bottom w:val="single" w:color="CCDDCC" w:sz="1"/>
              <w:right w:val="single" w:color="CCDDCC" w:sz="1"/>
            </w:tcBorders>
            <w:shd w:fill="E8F0E4" w:val="clear"/>
            <w:tcMar>
              <w:top w:type="dxa" w:w="80"/>
              <w:left w:type="dxa" w:w="120"/>
              <w:bottom w:type="dxa" w:w="80"/>
              <w:right w:type="dxa" w:w="120"/>
            </w:tcMar>
          </w:tcPr>
          <w:p>
            <w:r>
              <w:rPr>
                <w:rFonts w:ascii="Arial" w:cs="Arial" w:eastAsia="Arial" w:hAnsi="Arial"/>
                <w:b/>
                <w:bCs/>
                <w:color w:val="5C7A4E"/>
                <w:sz w:val="20"/>
                <w:szCs w:val="20"/>
              </w:rPr>
              <w:t xml:space="preserve">Platform value</w:t>
            </w:r>
          </w:p>
        </w:tc>
        <w:tc>
          <w:tcPr>
            <w:tcW w:type="dxa" w:w="684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1C1C"/>
                <w:sz w:val="20"/>
                <w:szCs w:val="20"/>
              </w:rPr>
              <w:t xml:space="preserve">The most differentiated content on the platform — available nowhere else</w:t>
            </w:r>
          </w:p>
        </w:tc>
      </w:tr>
    </w:tbl>
    <w:p>
      <w:pPr>
        <w:spacing w:after="0" w:before="0"/>
      </w:pPr>
    </w:p>
    <w:p>
      <w:pPr>
        <w:pStyle w:val="Heading2"/>
        <w:spacing w:after="130" w:before="340"/>
      </w:pPr>
      <w:r>
        <w:rPr>
          <w:rFonts w:ascii="Arial" w:cs="Arial" w:eastAsia="Arial" w:hAnsi="Arial"/>
          <w:b/>
          <w:bCs/>
          <w:color w:val="5C7A4E"/>
          <w:sz w:val="27"/>
          <w:szCs w:val="27"/>
        </w:rPr>
        <w:t xml:space="preserve">The Concept</w:t>
      </w:r>
    </w:p>
    <w:p>
      <w:pPr>
        <w:spacing w:after="130" w:before="80"/>
      </w:pPr>
      <w:r>
        <w:rPr>
          <w:rFonts w:ascii="Arial" w:cs="Arial" w:eastAsia="Arial" w:hAnsi="Arial"/>
          <w:color w:val="1C1C1C"/>
          <w:sz w:val="22"/>
          <w:szCs w:val="22"/>
        </w:rPr>
        <w:t xml:space="preserve">The formation notes wiki in the expert features spec is the technical layer. The locality knowledge base is the human layer — the accumulated practical wisdom of people who have been visiting Ontario sites for decades. It is less structured than the formation wiki and more personal. It captures things that would never appear in an OGS survey: the best time of year to visit, which specific outcrop within a site is productive, what the landowner prefers, how the access road behaves in spring.</w:t>
      </w:r>
    </w:p>
    <w:p>
      <w:pPr>
        <w:pBdr>
          <w:left w:val="single" w:color="5C7A4E" w:sz="18" w:space="12"/>
        </w:pBdr>
        <w:spacing w:after="200" w:before="200"/>
        <w:ind w:left="720" w:right="720"/>
      </w:pPr>
      <w:r>
        <w:rPr>
          <w:rFonts w:ascii="Arial" w:cs="Arial" w:eastAsia="Arial" w:hAnsi="Arial"/>
          <w:b/>
          <w:bCs/>
          <w:i/>
          <w:iCs/>
          <w:color w:val="3D4D3A"/>
          <w:sz w:val="25"/>
          <w:szCs w:val="25"/>
        </w:rPr>
        <w:t xml:space="preserve">The retired OGS geologist who knows every productive outcrop in the Grenville Province has nowhere to put that knowledge right now. Digby gives it a home.</w:t>
      </w:r>
    </w:p>
    <w:p>
      <w:pPr>
        <w:pStyle w:val="Heading2"/>
        <w:spacing w:after="130" w:before="340"/>
      </w:pPr>
      <w:r>
        <w:rPr>
          <w:rFonts w:ascii="Arial" w:cs="Arial" w:eastAsia="Arial" w:hAnsi="Arial"/>
          <w:b/>
          <w:bCs/>
          <w:color w:val="5C7A4E"/>
          <w:sz w:val="27"/>
          <w:szCs w:val="27"/>
        </w:rPr>
        <w:t xml:space="preserve">Locality Record Structure</w:t>
      </w:r>
    </w:p>
    <w:p>
      <w:pPr>
        <w:spacing w:after="130" w:before="80"/>
      </w:pPr>
      <w:r>
        <w:rPr>
          <w:rFonts w:ascii="Arial" w:cs="Arial" w:eastAsia="Arial" w:hAnsi="Arial"/>
          <w:color w:val="1C1C1C"/>
          <w:sz w:val="22"/>
          <w:szCs w:val="22"/>
        </w:rPr>
        <w:t xml:space="preserve">Each locality record is anchored to a geographic location and contains:</w:t>
      </w:r>
    </w:p>
    <w:p>
      <w:pPr>
        <w:pStyle w:val="ListParagraph"/>
        <w:numPr>
          <w:ilvl w:val="0"/>
          <w:numId w:val="2"/>
        </w:numPr>
        <w:spacing w:after="60" w:before="60"/>
      </w:pPr>
      <w:r>
        <w:rPr>
          <w:rFonts w:ascii="Arial" w:cs="Arial" w:eastAsia="Arial" w:hAnsi="Arial"/>
          <w:color w:val="1C1C1C"/>
          <w:sz w:val="22"/>
          <w:szCs w:val="22"/>
        </w:rPr>
        <w:t xml:space="preserve">Location: GPS point or polygon, OR a descriptive name + approximate location</w:t>
      </w:r>
    </w:p>
    <w:p>
      <w:pPr>
        <w:pStyle w:val="ListParagraph"/>
        <w:numPr>
          <w:ilvl w:val="0"/>
          <w:numId w:val="2"/>
        </w:numPr>
        <w:spacing w:after="60" w:before="60"/>
      </w:pPr>
      <w:r>
        <w:rPr>
          <w:rFonts w:ascii="Arial" w:cs="Arial" w:eastAsia="Arial" w:hAnsi="Arial"/>
          <w:color w:val="1C1C1C"/>
          <w:sz w:val="22"/>
          <w:szCs w:val="22"/>
        </w:rPr>
        <w:t xml:space="preserve">Formation: auto-populated from coordinates if available, or manually selected</w:t>
      </w:r>
    </w:p>
    <w:p>
      <w:pPr>
        <w:pStyle w:val="ListParagraph"/>
        <w:numPr>
          <w:ilvl w:val="0"/>
          <w:numId w:val="2"/>
        </w:numPr>
        <w:spacing w:after="60" w:before="60"/>
      </w:pPr>
      <w:r>
        <w:rPr>
          <w:rFonts w:ascii="Arial" w:cs="Arial" w:eastAsia="Arial" w:hAnsi="Arial"/>
          <w:color w:val="1C1C1C"/>
          <w:sz w:val="22"/>
          <w:szCs w:val="22"/>
        </w:rPr>
        <w:t xml:space="preserve">Relationship to digby sites: linked to a formal digby booking site if applicable, or flagged as an independent locality</w:t>
      </w:r>
    </w:p>
    <w:p>
      <w:pPr>
        <w:pStyle w:val="ListParagraph"/>
        <w:numPr>
          <w:ilvl w:val="0"/>
          <w:numId w:val="2"/>
        </w:numPr>
        <w:spacing w:after="60" w:before="60"/>
      </w:pPr>
      <w:r>
        <w:rPr>
          <w:rFonts w:ascii="Arial" w:cs="Arial" w:eastAsia="Arial" w:hAnsi="Arial"/>
          <w:color w:val="1C1C1C"/>
          <w:sz w:val="22"/>
          <w:szCs w:val="22"/>
        </w:rPr>
        <w:t xml:space="preserve">Mineral associations: what has been found here, by whom, over what time period</w:t>
      </w:r>
    </w:p>
    <w:p>
      <w:pPr>
        <w:pStyle w:val="ListParagraph"/>
        <w:numPr>
          <w:ilvl w:val="0"/>
          <w:numId w:val="2"/>
        </w:numPr>
        <w:spacing w:after="60" w:before="60"/>
      </w:pPr>
      <w:r>
        <w:rPr>
          <w:rFonts w:ascii="Arial" w:cs="Arial" w:eastAsia="Arial" w:hAnsi="Arial"/>
          <w:color w:val="1C1C1C"/>
          <w:sz w:val="22"/>
          <w:szCs w:val="22"/>
        </w:rPr>
        <w:t xml:space="preserve">Productive horizons: which specific layer, contact, or rock unit produces the best specimens</w:t>
      </w:r>
    </w:p>
    <w:p>
      <w:pPr>
        <w:pStyle w:val="ListParagraph"/>
        <w:numPr>
          <w:ilvl w:val="0"/>
          <w:numId w:val="2"/>
        </w:numPr>
        <w:spacing w:after="60" w:before="60"/>
      </w:pPr>
      <w:r>
        <w:rPr>
          <w:rFonts w:ascii="Arial" w:cs="Arial" w:eastAsia="Arial" w:hAnsi="Arial"/>
          <w:color w:val="1C1C1C"/>
          <w:sz w:val="22"/>
          <w:szCs w:val="22"/>
        </w:rPr>
        <w:t xml:space="preserve">Seasonal notes: spring flooding, winter access, frost-heave exposure timing</w:t>
      </w:r>
    </w:p>
    <w:p>
      <w:pPr>
        <w:pStyle w:val="ListParagraph"/>
        <w:numPr>
          <w:ilvl w:val="0"/>
          <w:numId w:val="2"/>
        </w:numPr>
        <w:spacing w:after="60" w:before="60"/>
      </w:pPr>
      <w:r>
        <w:rPr>
          <w:rFonts w:ascii="Arial" w:cs="Arial" w:eastAsia="Arial" w:hAnsi="Arial"/>
          <w:color w:val="1C1C1C"/>
          <w:sz w:val="22"/>
          <w:szCs w:val="22"/>
        </w:rPr>
        <w:t xml:space="preserve">Access notes: road conditions, landowner relationship, Crown vs private land</w:t>
      </w:r>
    </w:p>
    <w:p>
      <w:pPr>
        <w:pStyle w:val="ListParagraph"/>
        <w:numPr>
          <w:ilvl w:val="0"/>
          <w:numId w:val="2"/>
        </w:numPr>
        <w:spacing w:after="60" w:before="60"/>
      </w:pPr>
      <w:r>
        <w:rPr>
          <w:rFonts w:ascii="Arial" w:cs="Arial" w:eastAsia="Arial" w:hAnsi="Arial"/>
          <w:color w:val="1C1C1C"/>
          <w:sz w:val="22"/>
          <w:szCs w:val="22"/>
        </w:rPr>
        <w:t xml:space="preserve">Historical context: how long has this locality been known, any published references</w:t>
      </w:r>
    </w:p>
    <w:p>
      <w:pPr>
        <w:pStyle w:val="ListParagraph"/>
        <w:numPr>
          <w:ilvl w:val="0"/>
          <w:numId w:val="2"/>
        </w:numPr>
        <w:spacing w:after="60" w:before="60"/>
      </w:pPr>
      <w:r>
        <w:rPr>
          <w:rFonts w:ascii="Arial" w:cs="Arial" w:eastAsia="Arial" w:hAnsi="Arial"/>
          <w:color w:val="1C1C1C"/>
          <w:sz w:val="22"/>
          <w:szCs w:val="22"/>
        </w:rPr>
        <w:t xml:space="preserve">Contributor’s experience level at this locality: visited once / visited many times / decades of observation</w:t>
      </w:r>
    </w:p>
    <w:p>
      <w:pPr>
        <w:pStyle w:val="ListParagraph"/>
        <w:numPr>
          <w:ilvl w:val="0"/>
          <w:numId w:val="2"/>
        </w:numPr>
        <w:spacing w:after="60" w:before="60"/>
      </w:pPr>
      <w:r>
        <w:rPr>
          <w:rFonts w:ascii="Arial" w:cs="Arial" w:eastAsia="Arial" w:hAnsi="Arial"/>
          <w:color w:val="1C1C1C"/>
          <w:sz w:val="22"/>
          <w:szCs w:val="22"/>
        </w:rPr>
        <w:t xml:space="preserve">Last visited date</w:t>
      </w:r>
    </w:p>
    <w:p>
      <w:pPr>
        <w:pStyle w:val="Heading2"/>
        <w:spacing w:after="130" w:before="340"/>
      </w:pPr>
      <w:r>
        <w:rPr>
          <w:rFonts w:ascii="Arial" w:cs="Arial" w:eastAsia="Arial" w:hAnsi="Arial"/>
          <w:b/>
          <w:bCs/>
          <w:color w:val="5C7A4E"/>
          <w:sz w:val="27"/>
          <w:szCs w:val="27"/>
        </w:rPr>
        <w:t xml:space="preserve">Knowledge Attribution</w:t>
      </w:r>
    </w:p>
    <w:p>
      <w:pPr>
        <w:spacing w:after="130" w:before="80"/>
      </w:pPr>
      <w:r>
        <w:rPr>
          <w:rFonts w:ascii="Arial" w:cs="Arial" w:eastAsia="Arial" w:hAnsi="Arial"/>
          <w:color w:val="1C1C1C"/>
          <w:sz w:val="22"/>
          <w:szCs w:val="22"/>
        </w:rPr>
        <w:t xml:space="preserve">Attribution matters enormously to this audience. Every locality record displays:</w:t>
      </w:r>
    </w:p>
    <w:p>
      <w:pPr>
        <w:pStyle w:val="ListParagraph"/>
        <w:numPr>
          <w:ilvl w:val="0"/>
          <w:numId w:val="2"/>
        </w:numPr>
        <w:spacing w:after="60" w:before="60"/>
      </w:pPr>
      <w:r>
        <w:rPr>
          <w:rFonts w:ascii="Arial" w:cs="Arial" w:eastAsia="Arial" w:hAnsi="Arial"/>
          <w:color w:val="1C1C1C"/>
          <w:sz w:val="22"/>
          <w:szCs w:val="22"/>
        </w:rPr>
        <w:t xml:space="preserve">Contributor’s name (or screen name if they prefer) and credential tier</w:t>
      </w:r>
    </w:p>
    <w:p>
      <w:pPr>
        <w:pStyle w:val="ListParagraph"/>
        <w:numPr>
          <w:ilvl w:val="0"/>
          <w:numId w:val="2"/>
        </w:numPr>
        <w:spacing w:after="60" w:before="60"/>
      </w:pPr>
      <w:r>
        <w:rPr>
          <w:rFonts w:ascii="Arial" w:cs="Arial" w:eastAsia="Arial" w:hAnsi="Arial"/>
          <w:color w:val="1C1C1C"/>
          <w:sz w:val="22"/>
          <w:szCs w:val="22"/>
        </w:rPr>
        <w:t xml:space="preserve">Date contributed and date of most recent update</w:t>
      </w:r>
    </w:p>
    <w:p>
      <w:pPr>
        <w:pStyle w:val="ListParagraph"/>
        <w:numPr>
          <w:ilvl w:val="0"/>
          <w:numId w:val="2"/>
        </w:numPr>
        <w:spacing w:after="60" w:before="60"/>
      </w:pPr>
      <w:r>
        <w:rPr>
          <w:rFonts w:ascii="Arial" w:cs="Arial" w:eastAsia="Arial" w:hAnsi="Arial"/>
          <w:color w:val="1C1C1C"/>
          <w:sz w:val="22"/>
          <w:szCs w:val="22"/>
        </w:rPr>
        <w:t xml:space="preserve">Number of visits the contributor’s knowledge is based on</w:t>
      </w:r>
    </w:p>
    <w:p>
      <w:pPr>
        <w:pStyle w:val="ListParagraph"/>
        <w:numPr>
          <w:ilvl w:val="0"/>
          <w:numId w:val="2"/>
        </w:numPr>
        <w:spacing w:after="60" w:before="60"/>
      </w:pPr>
      <w:r>
        <w:rPr>
          <w:rFonts w:ascii="Arial" w:cs="Arial" w:eastAsia="Arial" w:hAnsi="Arial"/>
          <w:color w:val="1C1C1C"/>
          <w:sz w:val="22"/>
          <w:szCs w:val="22"/>
        </w:rPr>
        <w:t xml:space="preserve">A “community additions” section where other users can add observations to the same locality</w:t>
      </w:r>
    </w:p>
    <w:p>
      <w:pPr>
        <w:spacing w:after="130" w:before="80"/>
      </w:pPr>
      <w:r>
        <w:rPr>
          <w:rFonts w:ascii="Arial" w:cs="Arial" w:eastAsia="Arial" w:hAnsi="Arial"/>
          <w:color w:val="1C1C1C"/>
          <w:sz w:val="22"/>
          <w:szCs w:val="22"/>
        </w:rPr>
        <w:t xml:space="preserve">A retired geologist who documents twenty Ontario localities they’ve visited for forty years should be visibly recognised as the authority on those localities. Their name should appear prominently on each record. This is not vanity — it’s the credibility signal that makes the data trustworthy.</w:t>
      </w:r>
    </w:p>
    <w:p>
      <w:pPr>
        <w:pStyle w:val="Heading2"/>
        <w:spacing w:after="130" w:before="340"/>
      </w:pPr>
      <w:r>
        <w:rPr>
          <w:rFonts w:ascii="Arial" w:cs="Arial" w:eastAsia="Arial" w:hAnsi="Arial"/>
          <w:b/>
          <w:bCs/>
          <w:color w:val="5C7A4E"/>
          <w:sz w:val="27"/>
          <w:szCs w:val="27"/>
        </w:rPr>
        <w:t xml:space="preserve">Club and Group Contributions</w:t>
      </w:r>
    </w:p>
    <w:p>
      <w:pPr>
        <w:spacing w:after="130" w:before="80"/>
      </w:pPr>
      <w:r>
        <w:rPr>
          <w:rFonts w:ascii="Arial" w:cs="Arial" w:eastAsia="Arial" w:hAnsi="Arial"/>
          <w:color w:val="1C1C1C"/>
          <w:sz w:val="22"/>
          <w:szCs w:val="22"/>
        </w:rPr>
        <w:t xml:space="preserve">Rockhound clubs are a primary community structure for this audience. Clubs should be able to contribute locality knowledge collectively:</w:t>
      </w:r>
    </w:p>
    <w:p>
      <w:pPr>
        <w:pStyle w:val="ListParagraph"/>
        <w:numPr>
          <w:ilvl w:val="0"/>
          <w:numId w:val="2"/>
        </w:numPr>
        <w:spacing w:after="60" w:before="60"/>
      </w:pPr>
      <w:r>
        <w:rPr>
          <w:rFonts w:ascii="Arial" w:cs="Arial" w:eastAsia="Arial" w:hAnsi="Arial"/>
          <w:color w:val="1C1C1C"/>
          <w:sz w:val="22"/>
          <w:szCs w:val="22"/>
        </w:rPr>
        <w:t xml:space="preserve">Club accounts linked to individual member accounts</w:t>
      </w:r>
    </w:p>
    <w:p>
      <w:pPr>
        <w:pStyle w:val="ListParagraph"/>
        <w:numPr>
          <w:ilvl w:val="0"/>
          <w:numId w:val="2"/>
        </w:numPr>
        <w:spacing w:after="60" w:before="60"/>
      </w:pPr>
      <w:r>
        <w:rPr>
          <w:rFonts w:ascii="Arial" w:cs="Arial" w:eastAsia="Arial" w:hAnsi="Arial"/>
          <w:color w:val="1C1C1C"/>
          <w:sz w:val="22"/>
          <w:szCs w:val="22"/>
        </w:rPr>
        <w:t xml:space="preserve">Club-attributed locality records: “Documented by the Ottawa Valley Gem and Mineral Club, 1987–2024”</w:t>
      </w:r>
    </w:p>
    <w:p>
      <w:pPr>
        <w:pStyle w:val="ListParagraph"/>
        <w:numPr>
          <w:ilvl w:val="0"/>
          <w:numId w:val="2"/>
        </w:numPr>
        <w:spacing w:after="60" w:before="60"/>
      </w:pPr>
      <w:r>
        <w:rPr>
          <w:rFonts w:ascii="Arial" w:cs="Arial" w:eastAsia="Arial" w:hAnsi="Arial"/>
          <w:color w:val="1C1C1C"/>
          <w:sz w:val="22"/>
          <w:szCs w:val="22"/>
        </w:rPr>
        <w:t xml:space="preserve">Club knowledge imports: a club’s newsletter archive or field trip reports can be bulk-imported and parsed for locality data</w:t>
      </w:r>
    </w:p>
    <w:p>
      <w:pPr>
        <w:pStyle w:val="ListParagraph"/>
        <w:numPr>
          <w:ilvl w:val="0"/>
          <w:numId w:val="2"/>
        </w:numPr>
        <w:spacing w:after="60" w:before="60"/>
      </w:pPr>
      <w:r>
        <w:rPr>
          <w:rFonts w:ascii="Arial" w:cs="Arial" w:eastAsia="Arial" w:hAnsi="Arial"/>
          <w:color w:val="1C1C1C"/>
          <w:sz w:val="22"/>
          <w:szCs w:val="22"/>
        </w:rPr>
        <w:t xml:space="preserve">Club event pages: past and upcoming field trips, with locality records attached to each event</w:t>
      </w:r>
    </w:p>
    <w:p>
      <w:pPr>
        <w:pBdr>
          <w:bottom w:val="single" w:color="5C7A4E" w:sz="6" w:space="1"/>
        </w:pBdr>
        <w:spacing w:after="280" w:before="280"/>
      </w:pPr>
    </w:p>
    <w:p>
      <w:pPr>
        <w:pStyle w:val="Heading1"/>
        <w:spacing w:after="180" w:before="520"/>
      </w:pPr>
      <w:r>
        <w:rPr>
          <w:rFonts w:ascii="Arial" w:cs="Arial" w:eastAsia="Arial" w:hAnsi="Arial"/>
          <w:b/>
          <w:bCs/>
          <w:color w:val="1C1C1C"/>
          <w:sz w:val="34"/>
          <w:szCs w:val="34"/>
        </w:rPr>
        <w:t xml:space="preserve">Feature 3: Desktop-First Interface Mode</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DDCC" w:sz="1"/>
              <w:left w:val="single" w:color="CCDDCC" w:sz="1"/>
              <w:bottom w:val="single" w:color="CCDDCC" w:sz="1"/>
              <w:right w:val="single" w:color="CCDDCC" w:sz="1"/>
            </w:tcBorders>
            <w:shd w:fill="E8F0E4" w:val="clear"/>
            <w:tcMar>
              <w:top w:type="dxa" w:w="80"/>
              <w:left w:type="dxa" w:w="120"/>
              <w:bottom w:type="dxa" w:w="80"/>
              <w:right w:type="dxa" w:w="120"/>
            </w:tcMar>
          </w:tcPr>
          <w:p>
            <w:r>
              <w:rPr>
                <w:rFonts w:ascii="Arial" w:cs="Arial" w:eastAsia="Arial" w:hAnsi="Arial"/>
                <w:b/>
                <w:bCs/>
                <w:color w:val="5C7A4E"/>
                <w:sz w:val="20"/>
                <w:szCs w:val="20"/>
              </w:rPr>
              <w:t xml:space="preserve">What it is</w:t>
            </w:r>
          </w:p>
        </w:tc>
        <w:tc>
          <w:tcPr>
            <w:tcW w:type="dxa" w:w="684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1C1C"/>
                <w:sz w:val="20"/>
                <w:szCs w:val="20"/>
              </w:rPr>
              <w:t xml:space="preserve">A layout and interaction mode optimised for desktop browsers and larger screens</w:t>
            </w:r>
          </w:p>
        </w:tc>
      </w:tr>
      <w:tr>
        <w:tc>
          <w:tcPr>
            <w:tcW w:type="dxa" w:w="2520"/>
            <w:tcBorders>
              <w:top w:val="single" w:color="CCDDCC" w:sz="1"/>
              <w:left w:val="single" w:color="CCDDCC" w:sz="1"/>
              <w:bottom w:val="single" w:color="CCDDCC" w:sz="1"/>
              <w:right w:val="single" w:color="CCDDCC" w:sz="1"/>
            </w:tcBorders>
            <w:shd w:fill="E8F0E4" w:val="clear"/>
            <w:tcMar>
              <w:top w:type="dxa" w:w="80"/>
              <w:left w:type="dxa" w:w="120"/>
              <w:bottom w:type="dxa" w:w="80"/>
              <w:right w:type="dxa" w:w="120"/>
            </w:tcMar>
          </w:tcPr>
          <w:p>
            <w:r>
              <w:rPr>
                <w:rFonts w:ascii="Arial" w:cs="Arial" w:eastAsia="Arial" w:hAnsi="Arial"/>
                <w:b/>
                <w:bCs/>
                <w:color w:val="5C7A4E"/>
                <w:sz w:val="20"/>
                <w:szCs w:val="20"/>
              </w:rPr>
              <w:t xml:space="preserve">Build priority</w:t>
            </w:r>
          </w:p>
        </w:tc>
        <w:tc>
          <w:tcPr>
            <w:tcW w:type="dxa" w:w="684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1C1C"/>
                <w:sz w:val="20"/>
                <w:szCs w:val="20"/>
              </w:rPr>
              <w:t xml:space="preserve">Medium — implement as a preference toggle on the existing frontend</w:t>
            </w:r>
          </w:p>
        </w:tc>
      </w:tr>
      <w:tr>
        <w:tc>
          <w:tcPr>
            <w:tcW w:type="dxa" w:w="2520"/>
            <w:tcBorders>
              <w:top w:val="single" w:color="CCDDCC" w:sz="1"/>
              <w:left w:val="single" w:color="CCDDCC" w:sz="1"/>
              <w:bottom w:val="single" w:color="CCDDCC" w:sz="1"/>
              <w:right w:val="single" w:color="CCDDCC" w:sz="1"/>
            </w:tcBorders>
            <w:shd w:fill="E8F0E4" w:val="clear"/>
            <w:tcMar>
              <w:top w:type="dxa" w:w="80"/>
              <w:left w:type="dxa" w:w="120"/>
              <w:bottom w:type="dxa" w:w="80"/>
              <w:right w:type="dxa" w:w="120"/>
            </w:tcMar>
          </w:tcPr>
          <w:p>
            <w:r>
              <w:rPr>
                <w:rFonts w:ascii="Arial" w:cs="Arial" w:eastAsia="Arial" w:hAnsi="Arial"/>
                <w:b/>
                <w:bCs/>
                <w:color w:val="5C7A4E"/>
                <w:sz w:val="20"/>
                <w:szCs w:val="20"/>
              </w:rPr>
              <w:t xml:space="preserve">Access</w:t>
            </w:r>
          </w:p>
        </w:tc>
        <w:tc>
          <w:tcPr>
            <w:tcW w:type="dxa" w:w="684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1C1C"/>
                <w:sz w:val="20"/>
                <w:szCs w:val="20"/>
              </w:rPr>
              <w:t xml:space="preserve">All users</w:t>
            </w:r>
          </w:p>
        </w:tc>
      </w:tr>
      <w:tr>
        <w:tc>
          <w:tcPr>
            <w:tcW w:type="dxa" w:w="2520"/>
            <w:tcBorders>
              <w:top w:val="single" w:color="CCDDCC" w:sz="1"/>
              <w:left w:val="single" w:color="CCDDCC" w:sz="1"/>
              <w:bottom w:val="single" w:color="CCDDCC" w:sz="1"/>
              <w:right w:val="single" w:color="CCDDCC" w:sz="1"/>
            </w:tcBorders>
            <w:shd w:fill="E8F0E4" w:val="clear"/>
            <w:tcMar>
              <w:top w:type="dxa" w:w="80"/>
              <w:left w:type="dxa" w:w="120"/>
              <w:bottom w:type="dxa" w:w="80"/>
              <w:right w:type="dxa" w:w="120"/>
            </w:tcMar>
          </w:tcPr>
          <w:p>
            <w:r>
              <w:rPr>
                <w:rFonts w:ascii="Arial" w:cs="Arial" w:eastAsia="Arial" w:hAnsi="Arial"/>
                <w:b/>
                <w:bCs/>
                <w:color w:val="5C7A4E"/>
                <w:sz w:val="20"/>
                <w:szCs w:val="20"/>
              </w:rPr>
              <w:t xml:space="preserve">Audience value</w:t>
            </w:r>
          </w:p>
        </w:tc>
        <w:tc>
          <w:tcPr>
            <w:tcW w:type="dxa" w:w="684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1C1C"/>
                <w:sz w:val="20"/>
                <w:szCs w:val="20"/>
              </w:rPr>
              <w:t xml:space="preserve">Respects how this audience actually uses computers</w:t>
            </w:r>
          </w:p>
        </w:tc>
      </w:tr>
      <w:tr>
        <w:tc>
          <w:tcPr>
            <w:tcW w:type="dxa" w:w="2520"/>
            <w:tcBorders>
              <w:top w:val="single" w:color="CCDDCC" w:sz="1"/>
              <w:left w:val="single" w:color="CCDDCC" w:sz="1"/>
              <w:bottom w:val="single" w:color="CCDDCC" w:sz="1"/>
              <w:right w:val="single" w:color="CCDDCC" w:sz="1"/>
            </w:tcBorders>
            <w:shd w:fill="E8F0E4" w:val="clear"/>
            <w:tcMar>
              <w:top w:type="dxa" w:w="80"/>
              <w:left w:type="dxa" w:w="120"/>
              <w:bottom w:type="dxa" w:w="80"/>
              <w:right w:type="dxa" w:w="120"/>
            </w:tcMar>
          </w:tcPr>
          <w:p>
            <w:r>
              <w:rPr>
                <w:rFonts w:ascii="Arial" w:cs="Arial" w:eastAsia="Arial" w:hAnsi="Arial"/>
                <w:b/>
                <w:bCs/>
                <w:color w:val="5C7A4E"/>
                <w:sz w:val="20"/>
                <w:szCs w:val="20"/>
              </w:rPr>
              <w:t xml:space="preserve">Platform value</w:t>
            </w:r>
          </w:p>
        </w:tc>
        <w:tc>
          <w:tcPr>
            <w:tcW w:type="dxa" w:w="684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1C1C"/>
                <w:sz w:val="20"/>
                <w:szCs w:val="20"/>
              </w:rPr>
              <w:t xml:space="preserve">Reduces friction for the audience most likely to do serious data work</w:t>
            </w:r>
          </w:p>
        </w:tc>
      </w:tr>
    </w:tbl>
    <w:p>
      <w:pPr>
        <w:spacing w:after="0" w:before="0"/>
      </w:pPr>
    </w:p>
    <w:p>
      <w:pPr>
        <w:pStyle w:val="Heading2"/>
        <w:spacing w:after="130" w:before="340"/>
      </w:pPr>
      <w:r>
        <w:rPr>
          <w:rFonts w:ascii="Arial" w:cs="Arial" w:eastAsia="Arial" w:hAnsi="Arial"/>
          <w:b/>
          <w:bCs/>
          <w:color w:val="5C7A4E"/>
          <w:sz w:val="27"/>
          <w:szCs w:val="27"/>
        </w:rPr>
        <w:t xml:space="preserve">The Problem</w:t>
      </w:r>
    </w:p>
    <w:p>
      <w:pPr>
        <w:spacing w:after="130" w:before="80"/>
      </w:pPr>
      <w:r>
        <w:rPr>
          <w:rFonts w:ascii="Arial" w:cs="Arial" w:eastAsia="Arial" w:hAnsi="Arial"/>
          <w:color w:val="1C1C1C"/>
          <w:sz w:val="22"/>
          <w:szCs w:val="22"/>
        </w:rPr>
        <w:t xml:space="preserve">Most modern web platforms are designed mobile-first and then adapted for desktop. For the 45+ audience doing serious data work — entering legacy records, reviewing finds, exporting data, reading formation notes — a mobile-first layout is actively hostile. Small tap targets, collapsed navigation, and truncated data tables are frustrating on a 27-inch monitor.</w:t>
      </w:r>
    </w:p>
    <w:p>
      <w:pPr>
        <w:spacing w:after="130" w:before="80"/>
      </w:pPr>
      <w:r>
        <w:rPr>
          <w:rFonts w:ascii="Arial" w:cs="Arial" w:eastAsia="Arial" w:hAnsi="Arial"/>
          <w:color w:val="1C1C1C"/>
          <w:sz w:val="22"/>
          <w:szCs w:val="22"/>
        </w:rPr>
        <w:t xml:space="preserve">This does not require a separate codebase. It requires thoughtful responsive design that treats desktop as a first-class experience, not a scaled-up mobile layout.</w:t>
      </w:r>
    </w:p>
    <w:p>
      <w:pPr>
        <w:pStyle w:val="Heading2"/>
        <w:spacing w:after="130" w:before="340"/>
      </w:pPr>
      <w:r>
        <w:rPr>
          <w:rFonts w:ascii="Arial" w:cs="Arial" w:eastAsia="Arial" w:hAnsi="Arial"/>
          <w:b/>
          <w:bCs/>
          <w:color w:val="5C7A4E"/>
          <w:sz w:val="27"/>
          <w:szCs w:val="27"/>
        </w:rPr>
        <w:t xml:space="preserve">Desktop Mode Characteristics</w:t>
      </w:r>
    </w:p>
    <w:p>
      <w:pPr>
        <w:pStyle w:val="ListParagraph"/>
        <w:numPr>
          <w:ilvl w:val="0"/>
          <w:numId w:val="2"/>
        </w:numPr>
        <w:spacing w:after="60" w:before="60"/>
      </w:pPr>
      <w:r>
        <w:rPr>
          <w:rFonts w:ascii="Arial" w:cs="Arial" w:eastAsia="Arial" w:hAnsi="Arial"/>
          <w:color w:val="1C1C1C"/>
          <w:sz w:val="22"/>
          <w:szCs w:val="22"/>
        </w:rPr>
        <w:t xml:space="preserve">Full-width layouts that use the available screen space — three-column layouts on wide screens, not a single column with huge margins</w:t>
      </w:r>
    </w:p>
    <w:p>
      <w:pPr>
        <w:pStyle w:val="ListParagraph"/>
        <w:numPr>
          <w:ilvl w:val="0"/>
          <w:numId w:val="2"/>
        </w:numPr>
        <w:spacing w:after="60" w:before="60"/>
      </w:pPr>
      <w:r>
        <w:rPr>
          <w:rFonts w:ascii="Arial" w:cs="Arial" w:eastAsia="Arial" w:hAnsi="Arial"/>
          <w:color w:val="1C1C1C"/>
          <w:sz w:val="22"/>
          <w:szCs w:val="22"/>
        </w:rPr>
        <w:t xml:space="preserve">Data-dense tables with sortable columns, visible pagination, and inline actions — not card grids</w:t>
      </w:r>
    </w:p>
    <w:p>
      <w:pPr>
        <w:pStyle w:val="ListParagraph"/>
        <w:numPr>
          <w:ilvl w:val="0"/>
          <w:numId w:val="2"/>
        </w:numPr>
        <w:spacing w:after="60" w:before="60"/>
      </w:pPr>
      <w:r>
        <w:rPr>
          <w:rFonts w:ascii="Arial" w:cs="Arial" w:eastAsia="Arial" w:hAnsi="Arial"/>
          <w:color w:val="1C1C1C"/>
          <w:sz w:val="22"/>
          <w:szCs w:val="22"/>
        </w:rPr>
        <w:t xml:space="preserve">Keyboard navigation throughout — tab order, enter to confirm, escape to cancel</w:t>
      </w:r>
    </w:p>
    <w:p>
      <w:pPr>
        <w:pStyle w:val="ListParagraph"/>
        <w:numPr>
          <w:ilvl w:val="0"/>
          <w:numId w:val="2"/>
        </w:numPr>
        <w:spacing w:after="60" w:before="60"/>
      </w:pPr>
      <w:r>
        <w:rPr>
          <w:rFonts w:ascii="Arial" w:cs="Arial" w:eastAsia="Arial" w:hAnsi="Arial"/>
          <w:color w:val="1C1C1C"/>
          <w:sz w:val="22"/>
          <w:szCs w:val="22"/>
        </w:rPr>
        <w:t xml:space="preserve">Hover states with additional information — tooltips on formation names, mineral properties on hover</w:t>
      </w:r>
    </w:p>
    <w:p>
      <w:pPr>
        <w:pStyle w:val="ListParagraph"/>
        <w:numPr>
          <w:ilvl w:val="0"/>
          <w:numId w:val="2"/>
        </w:numPr>
        <w:spacing w:after="60" w:before="60"/>
      </w:pPr>
      <w:r>
        <w:rPr>
          <w:rFonts w:ascii="Arial" w:cs="Arial" w:eastAsia="Arial" w:hAnsi="Arial"/>
          <w:color w:val="1C1C1C"/>
          <w:sz w:val="22"/>
          <w:szCs w:val="22"/>
        </w:rPr>
        <w:t xml:space="preserve">Multi-panel views: geology map and find list visible simultaneously, not toggled between</w:t>
      </w:r>
    </w:p>
    <w:p>
      <w:pPr>
        <w:pStyle w:val="ListParagraph"/>
        <w:numPr>
          <w:ilvl w:val="0"/>
          <w:numId w:val="2"/>
        </w:numPr>
        <w:spacing w:after="60" w:before="60"/>
      </w:pPr>
      <w:r>
        <w:rPr>
          <w:rFonts w:ascii="Arial" w:cs="Arial" w:eastAsia="Arial" w:hAnsi="Arial"/>
          <w:color w:val="1C1C1C"/>
          <w:sz w:val="22"/>
          <w:szCs w:val="22"/>
        </w:rPr>
        <w:t xml:space="preserve">Larger default font size option — a simple accessibility setting, not an afterthought</w:t>
      </w:r>
    </w:p>
    <w:p>
      <w:pPr>
        <w:pStyle w:val="ListParagraph"/>
        <w:numPr>
          <w:ilvl w:val="0"/>
          <w:numId w:val="2"/>
        </w:numPr>
        <w:spacing w:after="60" w:before="60"/>
      </w:pPr>
      <w:r>
        <w:rPr>
          <w:rFonts w:ascii="Arial" w:cs="Arial" w:eastAsia="Arial" w:hAnsi="Arial"/>
          <w:color w:val="1C1C1C"/>
          <w:sz w:val="22"/>
          <w:szCs w:val="22"/>
        </w:rPr>
        <w:t xml:space="preserve">Print-optimised views for find records, locality notes, and data exports</w:t>
      </w:r>
    </w:p>
    <w:p>
      <w:pPr>
        <w:pStyle w:val="Heading2"/>
        <w:spacing w:after="130" w:before="340"/>
      </w:pPr>
      <w:r>
        <w:rPr>
          <w:rFonts w:ascii="Arial" w:cs="Arial" w:eastAsia="Arial" w:hAnsi="Arial"/>
          <w:b/>
          <w:bCs/>
          <w:color w:val="5C7A4E"/>
          <w:sz w:val="27"/>
          <w:szCs w:val="27"/>
        </w:rPr>
        <w:t xml:space="preserve">Email-First Communication</w:t>
      </w:r>
    </w:p>
    <w:p>
      <w:pPr>
        <w:spacing w:after="130" w:before="80"/>
      </w:pPr>
      <w:r>
        <w:rPr>
          <w:rFonts w:ascii="Arial" w:cs="Arial" w:eastAsia="Arial" w:hAnsi="Arial"/>
          <w:color w:val="1C1C1C"/>
          <w:sz w:val="22"/>
          <w:szCs w:val="22"/>
        </w:rPr>
        <w:t xml:space="preserve">This audience uses email. Design all platform communications around it:</w:t>
      </w:r>
    </w:p>
    <w:p>
      <w:pPr>
        <w:pStyle w:val="ListParagraph"/>
        <w:numPr>
          <w:ilvl w:val="0"/>
          <w:numId w:val="2"/>
        </w:numPr>
        <w:spacing w:after="60" w:before="60"/>
      </w:pPr>
      <w:r>
        <w:rPr>
          <w:rFonts w:ascii="Arial" w:cs="Arial" w:eastAsia="Arial" w:hAnsi="Arial"/>
          <w:color w:val="1C1C1C"/>
          <w:sz w:val="22"/>
          <w:szCs w:val="22"/>
        </w:rPr>
        <w:t xml:space="preserve">Weekly digest email (opt-in): new finds in your tracked formations or regions, new locality knowledge contributions, verification queue updates</w:t>
      </w:r>
    </w:p>
    <w:p>
      <w:pPr>
        <w:pStyle w:val="ListParagraph"/>
        <w:numPr>
          <w:ilvl w:val="0"/>
          <w:numId w:val="2"/>
        </w:numPr>
        <w:spacing w:after="60" w:before="60"/>
      </w:pPr>
      <w:r>
        <w:rPr>
          <w:rFonts w:ascii="Arial" w:cs="Arial" w:eastAsia="Arial" w:hAnsi="Arial"/>
          <w:color w:val="1C1C1C"/>
          <w:sz w:val="22"/>
          <w:szCs w:val="22"/>
        </w:rPr>
        <w:t xml:space="preserve">Monthly summary email: your contribution statistics, dataset growth, notable finds in your area</w:t>
      </w:r>
    </w:p>
    <w:p>
      <w:pPr>
        <w:pStyle w:val="ListParagraph"/>
        <w:numPr>
          <w:ilvl w:val="0"/>
          <w:numId w:val="2"/>
        </w:numPr>
        <w:spacing w:after="60" w:before="60"/>
      </w:pPr>
      <w:r>
        <w:rPr>
          <w:rFonts w:ascii="Arial" w:cs="Arial" w:eastAsia="Arial" w:hAnsi="Arial"/>
          <w:color w:val="1C1C1C"/>
          <w:sz w:val="22"/>
          <w:szCs w:val="22"/>
        </w:rPr>
        <w:t xml:space="preserve">No push notifications by default — email only unless the user explicitly enables push</w:t>
      </w:r>
    </w:p>
    <w:p>
      <w:pPr>
        <w:pStyle w:val="ListParagraph"/>
        <w:numPr>
          <w:ilvl w:val="0"/>
          <w:numId w:val="2"/>
        </w:numPr>
        <w:spacing w:after="60" w:before="60"/>
      </w:pPr>
      <w:r>
        <w:rPr>
          <w:rFonts w:ascii="Arial" w:cs="Arial" w:eastAsia="Arial" w:hAnsi="Arial"/>
          <w:color w:val="1C1C1C"/>
          <w:sz w:val="22"/>
          <w:szCs w:val="22"/>
        </w:rPr>
        <w:t xml:space="preserve">Plain-text email option: some users prefer plain text over HTML emails. Offer both.</w:t>
      </w:r>
    </w:p>
    <w:p>
      <w:pPr>
        <w:pStyle w:val="ListParagraph"/>
        <w:numPr>
          <w:ilvl w:val="0"/>
          <w:numId w:val="2"/>
        </w:numPr>
        <w:spacing w:after="60" w:before="60"/>
      </w:pPr>
      <w:r>
        <w:rPr>
          <w:rFonts w:ascii="Arial" w:cs="Arial" w:eastAsia="Arial" w:hAnsi="Arial"/>
          <w:color w:val="1C1C1C"/>
          <w:sz w:val="22"/>
          <w:szCs w:val="22"/>
        </w:rPr>
        <w:t xml:space="preserve">Unsubscribe from individual email types without killing all communication — granular control</w:t>
      </w:r>
    </w:p>
    <w:p>
      <w:pPr>
        <w:pStyle w:val="ListParagraph"/>
        <w:numPr>
          <w:ilvl w:val="0"/>
          <w:numId w:val="2"/>
        </w:numPr>
        <w:spacing w:after="60" w:before="60"/>
      </w:pPr>
      <w:r>
        <w:rPr>
          <w:rFonts w:ascii="Arial" w:cs="Arial" w:eastAsia="Arial" w:hAnsi="Arial"/>
          <w:color w:val="1C1C1C"/>
          <w:sz w:val="22"/>
          <w:szCs w:val="22"/>
        </w:rPr>
        <w:t xml:space="preserve">All important platform actions confirmable by email reply — e.g. “Reply to this email to confirm your verification decision” for simple cases</w:t>
      </w:r>
    </w:p>
    <w:p>
      <w:pPr>
        <w:pBdr>
          <w:bottom w:val="single" w:color="5C7A4E" w:sz="6" w:space="1"/>
        </w:pBdr>
        <w:spacing w:after="280" w:before="280"/>
      </w:pPr>
    </w:p>
    <w:p>
      <w:pPr>
        <w:pStyle w:val="Heading1"/>
        <w:spacing w:after="180" w:before="520"/>
      </w:pPr>
      <w:r>
        <w:rPr>
          <w:rFonts w:ascii="Arial" w:cs="Arial" w:eastAsia="Arial" w:hAnsi="Arial"/>
          <w:b/>
          <w:bCs/>
          <w:color w:val="1C1C1C"/>
          <w:sz w:val="34"/>
          <w:szCs w:val="34"/>
        </w:rPr>
        <w:t xml:space="preserve">Feature 4: Mentorship &amp; Knowledge Transfer</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DDCC" w:sz="1"/>
              <w:left w:val="single" w:color="CCDDCC" w:sz="1"/>
              <w:bottom w:val="single" w:color="CCDDCC" w:sz="1"/>
              <w:right w:val="single" w:color="CCDDCC" w:sz="1"/>
            </w:tcBorders>
            <w:shd w:fill="E8F0E4" w:val="clear"/>
            <w:tcMar>
              <w:top w:type="dxa" w:w="80"/>
              <w:left w:type="dxa" w:w="120"/>
              <w:bottom w:type="dxa" w:w="80"/>
              <w:right w:type="dxa" w:w="120"/>
            </w:tcMar>
          </w:tcPr>
          <w:p>
            <w:r>
              <w:rPr>
                <w:rFonts w:ascii="Arial" w:cs="Arial" w:eastAsia="Arial" w:hAnsi="Arial"/>
                <w:b/>
                <w:bCs/>
                <w:color w:val="5C7A4E"/>
                <w:sz w:val="20"/>
                <w:szCs w:val="20"/>
              </w:rPr>
              <w:t xml:space="preserve">What it is</w:t>
            </w:r>
          </w:p>
        </w:tc>
        <w:tc>
          <w:tcPr>
            <w:tcW w:type="dxa" w:w="684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1C1C"/>
                <w:sz w:val="20"/>
                <w:szCs w:val="20"/>
              </w:rPr>
              <w:t xml:space="preserve">A structured way for experienced collectors to connect with and guide newer ones</w:t>
            </w:r>
          </w:p>
        </w:tc>
      </w:tr>
      <w:tr>
        <w:tc>
          <w:tcPr>
            <w:tcW w:type="dxa" w:w="2520"/>
            <w:tcBorders>
              <w:top w:val="single" w:color="CCDDCC" w:sz="1"/>
              <w:left w:val="single" w:color="CCDDCC" w:sz="1"/>
              <w:bottom w:val="single" w:color="CCDDCC" w:sz="1"/>
              <w:right w:val="single" w:color="CCDDCC" w:sz="1"/>
            </w:tcBorders>
            <w:shd w:fill="E8F0E4" w:val="clear"/>
            <w:tcMar>
              <w:top w:type="dxa" w:w="80"/>
              <w:left w:type="dxa" w:w="120"/>
              <w:bottom w:type="dxa" w:w="80"/>
              <w:right w:type="dxa" w:w="120"/>
            </w:tcMar>
          </w:tcPr>
          <w:p>
            <w:r>
              <w:rPr>
                <w:rFonts w:ascii="Arial" w:cs="Arial" w:eastAsia="Arial" w:hAnsi="Arial"/>
                <w:b/>
                <w:bCs/>
                <w:color w:val="5C7A4E"/>
                <w:sz w:val="20"/>
                <w:szCs w:val="20"/>
              </w:rPr>
              <w:t xml:space="preserve">Build priority</w:t>
            </w:r>
          </w:p>
        </w:tc>
        <w:tc>
          <w:tcPr>
            <w:tcW w:type="dxa" w:w="684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1C1C"/>
                <w:sz w:val="20"/>
                <w:szCs w:val="20"/>
              </w:rPr>
              <w:t xml:space="preserve">Low-medium — community features need critical mass, but the framework should be designed early</w:t>
            </w:r>
          </w:p>
        </w:tc>
      </w:tr>
      <w:tr>
        <w:tc>
          <w:tcPr>
            <w:tcW w:type="dxa" w:w="2520"/>
            <w:tcBorders>
              <w:top w:val="single" w:color="CCDDCC" w:sz="1"/>
              <w:left w:val="single" w:color="CCDDCC" w:sz="1"/>
              <w:bottom w:val="single" w:color="CCDDCC" w:sz="1"/>
              <w:right w:val="single" w:color="CCDDCC" w:sz="1"/>
            </w:tcBorders>
            <w:shd w:fill="E8F0E4" w:val="clear"/>
            <w:tcMar>
              <w:top w:type="dxa" w:w="80"/>
              <w:left w:type="dxa" w:w="120"/>
              <w:bottom w:type="dxa" w:w="80"/>
              <w:right w:type="dxa" w:w="120"/>
            </w:tcMar>
          </w:tcPr>
          <w:p>
            <w:r>
              <w:rPr>
                <w:rFonts w:ascii="Arial" w:cs="Arial" w:eastAsia="Arial" w:hAnsi="Arial"/>
                <w:b/>
                <w:bCs/>
                <w:color w:val="5C7A4E"/>
                <w:sz w:val="20"/>
                <w:szCs w:val="20"/>
              </w:rPr>
              <w:t xml:space="preserve">Access</w:t>
            </w:r>
          </w:p>
        </w:tc>
        <w:tc>
          <w:tcPr>
            <w:tcW w:type="dxa" w:w="684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1C1C"/>
                <w:sz w:val="20"/>
                <w:szCs w:val="20"/>
              </w:rPr>
              <w:t xml:space="preserve">Opt-in for experienced users; available to all users to request</w:t>
            </w:r>
          </w:p>
        </w:tc>
      </w:tr>
      <w:tr>
        <w:tc>
          <w:tcPr>
            <w:tcW w:type="dxa" w:w="2520"/>
            <w:tcBorders>
              <w:top w:val="single" w:color="CCDDCC" w:sz="1"/>
              <w:left w:val="single" w:color="CCDDCC" w:sz="1"/>
              <w:bottom w:val="single" w:color="CCDDCC" w:sz="1"/>
              <w:right w:val="single" w:color="CCDDCC" w:sz="1"/>
            </w:tcBorders>
            <w:shd w:fill="E8F0E4" w:val="clear"/>
            <w:tcMar>
              <w:top w:type="dxa" w:w="80"/>
              <w:left w:type="dxa" w:w="120"/>
              <w:bottom w:type="dxa" w:w="80"/>
              <w:right w:type="dxa" w:w="120"/>
            </w:tcMar>
          </w:tcPr>
          <w:p>
            <w:r>
              <w:rPr>
                <w:rFonts w:ascii="Arial" w:cs="Arial" w:eastAsia="Arial" w:hAnsi="Arial"/>
                <w:b/>
                <w:bCs/>
                <w:color w:val="5C7A4E"/>
                <w:sz w:val="20"/>
                <w:szCs w:val="20"/>
              </w:rPr>
              <w:t xml:space="preserve">Audience value</w:t>
            </w:r>
          </w:p>
        </w:tc>
        <w:tc>
          <w:tcPr>
            <w:tcW w:type="dxa" w:w="684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1C1C"/>
                <w:sz w:val="20"/>
                <w:szCs w:val="20"/>
              </w:rPr>
              <w:t xml:space="preserve">Meaningful contribution, legacy, community continuity</w:t>
            </w:r>
          </w:p>
        </w:tc>
      </w:tr>
      <w:tr>
        <w:tc>
          <w:tcPr>
            <w:tcW w:type="dxa" w:w="2520"/>
            <w:tcBorders>
              <w:top w:val="single" w:color="CCDDCC" w:sz="1"/>
              <w:left w:val="single" w:color="CCDDCC" w:sz="1"/>
              <w:bottom w:val="single" w:color="CCDDCC" w:sz="1"/>
              <w:right w:val="single" w:color="CCDDCC" w:sz="1"/>
            </w:tcBorders>
            <w:shd w:fill="E8F0E4" w:val="clear"/>
            <w:tcMar>
              <w:top w:type="dxa" w:w="80"/>
              <w:left w:type="dxa" w:w="120"/>
              <w:bottom w:type="dxa" w:w="80"/>
              <w:right w:type="dxa" w:w="120"/>
            </w:tcMar>
          </w:tcPr>
          <w:p>
            <w:r>
              <w:rPr>
                <w:rFonts w:ascii="Arial" w:cs="Arial" w:eastAsia="Arial" w:hAnsi="Arial"/>
                <w:b/>
                <w:bCs/>
                <w:color w:val="5C7A4E"/>
                <w:sz w:val="20"/>
                <w:szCs w:val="20"/>
              </w:rPr>
              <w:t xml:space="preserve">Platform value</w:t>
            </w:r>
          </w:p>
        </w:tc>
        <w:tc>
          <w:tcPr>
            <w:tcW w:type="dxa" w:w="684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1C1C"/>
                <w:sz w:val="20"/>
                <w:szCs w:val="20"/>
              </w:rPr>
              <w:t xml:space="preserve">Converts one-time visitors into long-term community members</w:t>
            </w:r>
          </w:p>
        </w:tc>
      </w:tr>
    </w:tbl>
    <w:p>
      <w:pPr>
        <w:spacing w:after="0" w:before="0"/>
      </w:pPr>
    </w:p>
    <w:p>
      <w:pPr>
        <w:pStyle w:val="Heading2"/>
        <w:spacing w:after="130" w:before="340"/>
      </w:pPr>
      <w:r>
        <w:rPr>
          <w:rFonts w:ascii="Arial" w:cs="Arial" w:eastAsia="Arial" w:hAnsi="Arial"/>
          <w:b/>
          <w:bCs/>
          <w:color w:val="5C7A4E"/>
          <w:sz w:val="27"/>
          <w:szCs w:val="27"/>
        </w:rPr>
        <w:t xml:space="preserve">The Concept</w:t>
      </w:r>
    </w:p>
    <w:p>
      <w:pPr>
        <w:spacing w:after="130" w:before="80"/>
      </w:pPr>
      <w:r>
        <w:rPr>
          <w:rFonts w:ascii="Arial" w:cs="Arial" w:eastAsia="Arial" w:hAnsi="Arial"/>
          <w:color w:val="1C1C1C"/>
          <w:sz w:val="22"/>
          <w:szCs w:val="22"/>
        </w:rPr>
        <w:t xml:space="preserve">The 45+ collector who has been to Bancroft fifty times is exactly the person a 25-year-old first-timer needs to talk to. Not for a lecture — for the kind of practical knowledge that only comes from experience. Which sites are worth the drive. What time of year. What tools to bring. What to look for in a marble outcrop that most people walk past.</w:t>
      </w:r>
    </w:p>
    <w:p>
      <w:pPr>
        <w:spacing w:after="130" w:before="80"/>
      </w:pPr>
      <w:r>
        <w:rPr>
          <w:rFonts w:ascii="Arial" w:cs="Arial" w:eastAsia="Arial" w:hAnsi="Arial"/>
          <w:color w:val="1C1C1C"/>
          <w:sz w:val="22"/>
          <w:szCs w:val="22"/>
        </w:rPr>
        <w:t xml:space="preserve">Digby can facilitate that connection without manufacturing it. The mentorship layer is lightweight, opt-in, and designed to connect people with complementary needs without creating obligation on either side.</w:t>
      </w:r>
    </w:p>
    <w:p>
      <w:pPr>
        <w:pStyle w:val="Heading2"/>
        <w:spacing w:after="130" w:before="340"/>
      </w:pPr>
      <w:r>
        <w:rPr>
          <w:rFonts w:ascii="Arial" w:cs="Arial" w:eastAsia="Arial" w:hAnsi="Arial"/>
          <w:b/>
          <w:bCs/>
          <w:color w:val="5C7A4E"/>
          <w:sz w:val="27"/>
          <w:szCs w:val="27"/>
        </w:rPr>
        <w:t xml:space="preserve">Expert Guide Profiles</w:t>
      </w:r>
    </w:p>
    <w:p>
      <w:pPr>
        <w:spacing w:after="130" w:before="80"/>
      </w:pPr>
      <w:r>
        <w:rPr>
          <w:rFonts w:ascii="Arial" w:cs="Arial" w:eastAsia="Arial" w:hAnsi="Arial"/>
          <w:color w:val="1C1C1C"/>
          <w:sz w:val="22"/>
          <w:szCs w:val="22"/>
        </w:rPr>
        <w:t xml:space="preserve">Experienced users (Verified Expert tier, minimum 3 years active on platform, minimum 25 verified finds) can opt in as a “Digby Field Guide”:</w:t>
      </w:r>
    </w:p>
    <w:p>
      <w:pPr>
        <w:pStyle w:val="ListParagraph"/>
        <w:numPr>
          <w:ilvl w:val="0"/>
          <w:numId w:val="2"/>
        </w:numPr>
        <w:spacing w:after="60" w:before="60"/>
      </w:pPr>
      <w:r>
        <w:rPr>
          <w:rFonts w:ascii="Arial" w:cs="Arial" w:eastAsia="Arial" w:hAnsi="Arial"/>
          <w:color w:val="1C1C1C"/>
          <w:sz w:val="22"/>
          <w:szCs w:val="22"/>
        </w:rPr>
        <w:t xml:space="preserve">Regions they know well: select from Ontario regions and geological provinces</w:t>
      </w:r>
    </w:p>
    <w:p>
      <w:pPr>
        <w:pStyle w:val="ListParagraph"/>
        <w:numPr>
          <w:ilvl w:val="0"/>
          <w:numId w:val="2"/>
        </w:numPr>
        <w:spacing w:after="60" w:before="60"/>
      </w:pPr>
      <w:r>
        <w:rPr>
          <w:rFonts w:ascii="Arial" w:cs="Arial" w:eastAsia="Arial" w:hAnsi="Arial"/>
          <w:color w:val="1C1C1C"/>
          <w:sz w:val="22"/>
          <w:szCs w:val="22"/>
        </w:rPr>
        <w:t xml:space="preserve">Minerals they specialise in</w:t>
      </w:r>
    </w:p>
    <w:p>
      <w:pPr>
        <w:pStyle w:val="ListParagraph"/>
        <w:numPr>
          <w:ilvl w:val="0"/>
          <w:numId w:val="2"/>
        </w:numPr>
        <w:spacing w:after="60" w:before="60"/>
      </w:pPr>
      <w:r>
        <w:rPr>
          <w:rFonts w:ascii="Arial" w:cs="Arial" w:eastAsia="Arial" w:hAnsi="Arial"/>
          <w:color w:val="1C1C1C"/>
          <w:sz w:val="22"/>
          <w:szCs w:val="22"/>
        </w:rPr>
        <w:t xml:space="preserve">Languages spoken</w:t>
      </w:r>
    </w:p>
    <w:p>
      <w:pPr>
        <w:pStyle w:val="ListParagraph"/>
        <w:numPr>
          <w:ilvl w:val="0"/>
          <w:numId w:val="2"/>
        </w:numPr>
        <w:spacing w:after="60" w:before="60"/>
      </w:pPr>
      <w:r>
        <w:rPr>
          <w:rFonts w:ascii="Arial" w:cs="Arial" w:eastAsia="Arial" w:hAnsi="Arial"/>
          <w:color w:val="1C1C1C"/>
          <w:sz w:val="22"/>
          <w:szCs w:val="22"/>
        </w:rPr>
        <w:t xml:space="preserve">Preferred contact method: platform messaging / email / phone (all optional)</w:t>
      </w:r>
    </w:p>
    <w:p>
      <w:pPr>
        <w:pStyle w:val="ListParagraph"/>
        <w:numPr>
          <w:ilvl w:val="0"/>
          <w:numId w:val="2"/>
        </w:numPr>
        <w:spacing w:after="60" w:before="60"/>
      </w:pPr>
      <w:r>
        <w:rPr>
          <w:rFonts w:ascii="Arial" w:cs="Arial" w:eastAsia="Arial" w:hAnsi="Arial"/>
          <w:color w:val="1C1C1C"/>
          <w:sz w:val="22"/>
          <w:szCs w:val="22"/>
        </w:rPr>
        <w:t xml:space="preserve">Availability: open to messages / available for field companionship / available for virtual Q&amp;A only</w:t>
      </w:r>
    </w:p>
    <w:p>
      <w:pPr>
        <w:pStyle w:val="ListParagraph"/>
        <w:numPr>
          <w:ilvl w:val="0"/>
          <w:numId w:val="2"/>
        </w:numPr>
        <w:spacing w:after="60" w:before="60"/>
      </w:pPr>
      <w:r>
        <w:rPr>
          <w:rFonts w:ascii="Arial" w:cs="Arial" w:eastAsia="Arial" w:hAnsi="Arial"/>
          <w:color w:val="1C1C1C"/>
          <w:sz w:val="22"/>
          <w:szCs w:val="22"/>
        </w:rPr>
        <w:t xml:space="preserve">Field Guide profiles are displayed on site pages for sites in their known regions: “Ask someone who knows this area”</w:t>
      </w:r>
    </w:p>
    <w:p>
      <w:pPr>
        <w:pStyle w:val="Heading2"/>
        <w:spacing w:after="130" w:before="340"/>
      </w:pPr>
      <w:r>
        <w:rPr>
          <w:rFonts w:ascii="Arial" w:cs="Arial" w:eastAsia="Arial" w:hAnsi="Arial"/>
          <w:b/>
          <w:bCs/>
          <w:color w:val="5C7A4E"/>
          <w:sz w:val="27"/>
          <w:szCs w:val="27"/>
        </w:rPr>
        <w:t xml:space="preserve">Knowledge Q&amp;A</w:t>
      </w:r>
    </w:p>
    <w:p>
      <w:pPr>
        <w:spacing w:after="130" w:before="80"/>
      </w:pPr>
      <w:r>
        <w:rPr>
          <w:rFonts w:ascii="Arial" w:cs="Arial" w:eastAsia="Arial" w:hAnsi="Arial"/>
          <w:color w:val="1C1C1C"/>
          <w:sz w:val="22"/>
          <w:szCs w:val="22"/>
        </w:rPr>
        <w:t xml:space="preserve">A simple question and answer system attached to sites, formations, and minerals:</w:t>
      </w:r>
    </w:p>
    <w:p>
      <w:pPr>
        <w:pStyle w:val="ListParagraph"/>
        <w:numPr>
          <w:ilvl w:val="0"/>
          <w:numId w:val="2"/>
        </w:numPr>
        <w:spacing w:after="60" w:before="60"/>
      </w:pPr>
      <w:r>
        <w:rPr>
          <w:rFonts w:ascii="Arial" w:cs="Arial" w:eastAsia="Arial" w:hAnsi="Arial"/>
          <w:color w:val="1C1C1C"/>
          <w:sz w:val="22"/>
          <w:szCs w:val="22"/>
        </w:rPr>
        <w:t xml:space="preserve">Any user can post a question on a site page, formation page, or mineral page</w:t>
      </w:r>
    </w:p>
    <w:p>
      <w:pPr>
        <w:pStyle w:val="ListParagraph"/>
        <w:numPr>
          <w:ilvl w:val="0"/>
          <w:numId w:val="2"/>
        </w:numPr>
        <w:spacing w:after="60" w:before="60"/>
      </w:pPr>
      <w:r>
        <w:rPr>
          <w:rFonts w:ascii="Arial" w:cs="Arial" w:eastAsia="Arial" w:hAnsi="Arial"/>
          <w:color w:val="1C1C1C"/>
          <w:sz w:val="22"/>
          <w:szCs w:val="22"/>
        </w:rPr>
        <w:t xml:space="preserve">Questions are routed to Field Guides who have listed that region or mineral as a speciality</w:t>
      </w:r>
    </w:p>
    <w:p>
      <w:pPr>
        <w:pStyle w:val="ListParagraph"/>
        <w:numPr>
          <w:ilvl w:val="0"/>
          <w:numId w:val="2"/>
        </w:numPr>
        <w:spacing w:after="60" w:before="60"/>
      </w:pPr>
      <w:r>
        <w:rPr>
          <w:rFonts w:ascii="Arial" w:cs="Arial" w:eastAsia="Arial" w:hAnsi="Arial"/>
          <w:color w:val="1C1C1C"/>
          <w:sz w:val="22"/>
          <w:szCs w:val="22"/>
        </w:rPr>
        <w:t xml:space="preserve">Field Guides respond at their own pace — no SLA, no obligation</w:t>
      </w:r>
    </w:p>
    <w:p>
      <w:pPr>
        <w:pStyle w:val="ListParagraph"/>
        <w:numPr>
          <w:ilvl w:val="0"/>
          <w:numId w:val="2"/>
        </w:numPr>
        <w:spacing w:after="60" w:before="60"/>
      </w:pPr>
      <w:r>
        <w:rPr>
          <w:rFonts w:ascii="Arial" w:cs="Arial" w:eastAsia="Arial" w:hAnsi="Arial"/>
          <w:color w:val="1C1C1C"/>
          <w:sz w:val="22"/>
          <w:szCs w:val="22"/>
        </w:rPr>
        <w:t xml:space="preserve">Answers are public and permanent — they accumulate into a knowledge base over time</w:t>
      </w:r>
    </w:p>
    <w:p>
      <w:pPr>
        <w:pStyle w:val="ListParagraph"/>
        <w:numPr>
          <w:ilvl w:val="0"/>
          <w:numId w:val="2"/>
        </w:numPr>
        <w:spacing w:after="60" w:before="60"/>
      </w:pPr>
      <w:r>
        <w:rPr>
          <w:rFonts w:ascii="Arial" w:cs="Arial" w:eastAsia="Arial" w:hAnsi="Arial"/>
          <w:color w:val="1C1C1C"/>
          <w:sz w:val="22"/>
          <w:szCs w:val="22"/>
        </w:rPr>
        <w:t xml:space="preserve">Best answers marked by the questioner and upvoted by the community</w:t>
      </w:r>
    </w:p>
    <w:p>
      <w:pPr>
        <w:pStyle w:val="ListParagraph"/>
        <w:numPr>
          <w:ilvl w:val="0"/>
          <w:numId w:val="2"/>
        </w:numPr>
        <w:spacing w:after="60" w:before="60"/>
      </w:pPr>
      <w:r>
        <w:rPr>
          <w:rFonts w:ascii="Arial" w:cs="Arial" w:eastAsia="Arial" w:hAnsi="Arial"/>
          <w:color w:val="1C1C1C"/>
          <w:sz w:val="22"/>
          <w:szCs w:val="22"/>
        </w:rPr>
        <w:t xml:space="preserve">Field Guide answers carry a credential indicator</w:t>
      </w:r>
    </w:p>
    <w:p>
      <w:pPr>
        <w:pStyle w:val="Heading2"/>
        <w:spacing w:after="130" w:before="340"/>
      </w:pPr>
      <w:r>
        <w:rPr>
          <w:rFonts w:ascii="Arial" w:cs="Arial" w:eastAsia="Arial" w:hAnsi="Arial"/>
          <w:b/>
          <w:bCs/>
          <w:color w:val="5C7A4E"/>
          <w:sz w:val="27"/>
          <w:szCs w:val="27"/>
        </w:rPr>
        <w:t xml:space="preserve">Club Integration</w:t>
      </w:r>
    </w:p>
    <w:p>
      <w:pPr>
        <w:spacing w:after="130" w:before="80"/>
      </w:pPr>
      <w:r>
        <w:rPr>
          <w:rFonts w:ascii="Arial" w:cs="Arial" w:eastAsia="Arial" w:hAnsi="Arial"/>
          <w:color w:val="1C1C1C"/>
          <w:sz w:val="22"/>
          <w:szCs w:val="22"/>
        </w:rPr>
        <w:t xml:space="preserve">Ontario’s rockhound clubs are the existing community infrastructure for this audience. Digby should integrate with rather than replace them:</w:t>
      </w:r>
    </w:p>
    <w:p>
      <w:pPr>
        <w:pStyle w:val="ListParagraph"/>
        <w:numPr>
          <w:ilvl w:val="0"/>
          <w:numId w:val="2"/>
        </w:numPr>
        <w:spacing w:after="60" w:before="60"/>
      </w:pPr>
      <w:r>
        <w:rPr>
          <w:rFonts w:ascii="Arial" w:cs="Arial" w:eastAsia="Arial" w:hAnsi="Arial"/>
          <w:color w:val="1C1C1C"/>
          <w:sz w:val="22"/>
          <w:szCs w:val="22"/>
        </w:rPr>
        <w:t xml:space="preserve">Club pages on digby: profile, membership links, upcoming events, past field trip reports</w:t>
      </w:r>
    </w:p>
    <w:p>
      <w:pPr>
        <w:pStyle w:val="ListParagraph"/>
        <w:numPr>
          <w:ilvl w:val="0"/>
          <w:numId w:val="2"/>
        </w:numPr>
        <w:spacing w:after="60" w:before="60"/>
      </w:pPr>
      <w:r>
        <w:rPr>
          <w:rFonts w:ascii="Arial" w:cs="Arial" w:eastAsia="Arial" w:hAnsi="Arial"/>
          <w:color w:val="1C1C1C"/>
          <w:sz w:val="22"/>
          <w:szCs w:val="22"/>
        </w:rPr>
        <w:t xml:space="preserve">Field trip reports linkable to digby locality records and find logs</w:t>
      </w:r>
    </w:p>
    <w:p>
      <w:pPr>
        <w:pStyle w:val="ListParagraph"/>
        <w:numPr>
          <w:ilvl w:val="0"/>
          <w:numId w:val="2"/>
        </w:numPr>
        <w:spacing w:after="60" w:before="60"/>
      </w:pPr>
      <w:r>
        <w:rPr>
          <w:rFonts w:ascii="Arial" w:cs="Arial" w:eastAsia="Arial" w:hAnsi="Arial"/>
          <w:color w:val="1C1C1C"/>
          <w:sz w:val="22"/>
          <w:szCs w:val="22"/>
        </w:rPr>
        <w:t xml:space="preserve">Club members can cross-post to both the club newsletter and digby simultaneously</w:t>
      </w:r>
    </w:p>
    <w:p>
      <w:pPr>
        <w:pStyle w:val="ListParagraph"/>
        <w:numPr>
          <w:ilvl w:val="0"/>
          <w:numId w:val="2"/>
        </w:numPr>
        <w:spacing w:after="60" w:before="60"/>
      </w:pPr>
      <w:r>
        <w:rPr>
          <w:rFonts w:ascii="Arial" w:cs="Arial" w:eastAsia="Arial" w:hAnsi="Arial"/>
          <w:color w:val="1C1C1C"/>
          <w:sz w:val="22"/>
          <w:szCs w:val="22"/>
        </w:rPr>
        <w:t xml:space="preserve">Club event bookings: clubs can book digby sites for group field trips with a group discount tier</w:t>
      </w:r>
    </w:p>
    <w:p>
      <w:pPr>
        <w:pStyle w:val="ListParagraph"/>
        <w:numPr>
          <w:ilvl w:val="0"/>
          <w:numId w:val="2"/>
        </w:numPr>
        <w:spacing w:after="60" w:before="60"/>
      </w:pPr>
      <w:r>
        <w:rPr>
          <w:rFonts w:ascii="Arial" w:cs="Arial" w:eastAsia="Arial" w:hAnsi="Arial"/>
          <w:color w:val="1C1C1C"/>
          <w:sz w:val="22"/>
          <w:szCs w:val="22"/>
        </w:rPr>
        <w:t xml:space="preserve">Club knowledge archives: old newsletters and field trip reports can be uploaded and parsed for locality data with the photo-to-record tool</w:t>
      </w:r>
    </w:p>
    <w:p>
      <w:pPr>
        <w:pBdr>
          <w:left w:val="single" w:color="5C7A4E" w:sz="12" w:space="8"/>
        </w:pBdr>
        <w:spacing w:after="140" w:before="140"/>
        <w:ind w:left="360"/>
      </w:pPr>
      <w:r>
        <w:rPr>
          <w:rFonts w:ascii="Arial" w:cs="Arial" w:eastAsia="Arial" w:hAnsi="Arial"/>
          <w:i/>
          <w:iCs/>
          <w:color w:val="555544"/>
          <w:sz w:val="20"/>
          <w:szCs w:val="20"/>
        </w:rPr>
        <w:t xml:space="preserve">Do not try to replace the clubs. They have social infrastructure, trust, and decades of community that digby cannot replicate. Integrate with them and make their members’ lives easier.</w:t>
      </w:r>
    </w:p>
    <w:p>
      <w:pPr>
        <w:pBdr>
          <w:bottom w:val="single" w:color="5C7A4E" w:sz="6" w:space="1"/>
        </w:pBdr>
        <w:spacing w:after="280" w:before="280"/>
      </w:pPr>
    </w:p>
    <w:p>
      <w:pPr>
        <w:pStyle w:val="Heading1"/>
        <w:spacing w:after="180" w:before="520"/>
      </w:pPr>
      <w:r>
        <w:rPr>
          <w:rFonts w:ascii="Arial" w:cs="Arial" w:eastAsia="Arial" w:hAnsi="Arial"/>
          <w:b/>
          <w:bCs/>
          <w:color w:val="1C1C1C"/>
          <w:sz w:val="34"/>
          <w:szCs w:val="34"/>
        </w:rPr>
        <w:t xml:space="preserve">Feature 5: Print &amp; Offline Tools</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DDCC" w:sz="1"/>
              <w:left w:val="single" w:color="CCDDCC" w:sz="1"/>
              <w:bottom w:val="single" w:color="CCDDCC" w:sz="1"/>
              <w:right w:val="single" w:color="CCDDCC" w:sz="1"/>
            </w:tcBorders>
            <w:shd w:fill="E8F0E4" w:val="clear"/>
            <w:tcMar>
              <w:top w:type="dxa" w:w="80"/>
              <w:left w:type="dxa" w:w="120"/>
              <w:bottom w:type="dxa" w:w="80"/>
              <w:right w:type="dxa" w:w="120"/>
            </w:tcMar>
          </w:tcPr>
          <w:p>
            <w:r>
              <w:rPr>
                <w:rFonts w:ascii="Arial" w:cs="Arial" w:eastAsia="Arial" w:hAnsi="Arial"/>
                <w:b/>
                <w:bCs/>
                <w:color w:val="5C7A4E"/>
                <w:sz w:val="20"/>
                <w:szCs w:val="20"/>
              </w:rPr>
              <w:t xml:space="preserve">What it is</w:t>
            </w:r>
          </w:p>
        </w:tc>
        <w:tc>
          <w:tcPr>
            <w:tcW w:type="dxa" w:w="684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1C1C"/>
                <w:sz w:val="20"/>
                <w:szCs w:val="20"/>
              </w:rPr>
              <w:t xml:space="preserve">High-quality print outputs and offline-capable tools for field use without reliable mobile data</w:t>
            </w:r>
          </w:p>
        </w:tc>
      </w:tr>
      <w:tr>
        <w:tc>
          <w:tcPr>
            <w:tcW w:type="dxa" w:w="2520"/>
            <w:tcBorders>
              <w:top w:val="single" w:color="CCDDCC" w:sz="1"/>
              <w:left w:val="single" w:color="CCDDCC" w:sz="1"/>
              <w:bottom w:val="single" w:color="CCDDCC" w:sz="1"/>
              <w:right w:val="single" w:color="CCDDCC" w:sz="1"/>
            </w:tcBorders>
            <w:shd w:fill="E8F0E4" w:val="clear"/>
            <w:tcMar>
              <w:top w:type="dxa" w:w="80"/>
              <w:left w:type="dxa" w:w="120"/>
              <w:bottom w:type="dxa" w:w="80"/>
              <w:right w:type="dxa" w:w="120"/>
            </w:tcMar>
          </w:tcPr>
          <w:p>
            <w:r>
              <w:rPr>
                <w:rFonts w:ascii="Arial" w:cs="Arial" w:eastAsia="Arial" w:hAnsi="Arial"/>
                <w:b/>
                <w:bCs/>
                <w:color w:val="5C7A4E"/>
                <w:sz w:val="20"/>
                <w:szCs w:val="20"/>
              </w:rPr>
              <w:t xml:space="preserve">Build priority</w:t>
            </w:r>
          </w:p>
        </w:tc>
        <w:tc>
          <w:tcPr>
            <w:tcW w:type="dxa" w:w="684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1C1C"/>
                <w:sz w:val="20"/>
                <w:szCs w:val="20"/>
              </w:rPr>
              <w:t xml:space="preserve">Medium — high value for this audience, underserved by current platforms</w:t>
            </w:r>
          </w:p>
        </w:tc>
      </w:tr>
      <w:tr>
        <w:tc>
          <w:tcPr>
            <w:tcW w:type="dxa" w:w="2520"/>
            <w:tcBorders>
              <w:top w:val="single" w:color="CCDDCC" w:sz="1"/>
              <w:left w:val="single" w:color="CCDDCC" w:sz="1"/>
              <w:bottom w:val="single" w:color="CCDDCC" w:sz="1"/>
              <w:right w:val="single" w:color="CCDDCC" w:sz="1"/>
            </w:tcBorders>
            <w:shd w:fill="E8F0E4" w:val="clear"/>
            <w:tcMar>
              <w:top w:type="dxa" w:w="80"/>
              <w:left w:type="dxa" w:w="120"/>
              <w:bottom w:type="dxa" w:w="80"/>
              <w:right w:type="dxa" w:w="120"/>
            </w:tcMar>
          </w:tcPr>
          <w:p>
            <w:r>
              <w:rPr>
                <w:rFonts w:ascii="Arial" w:cs="Arial" w:eastAsia="Arial" w:hAnsi="Arial"/>
                <w:b/>
                <w:bCs/>
                <w:color w:val="5C7A4E"/>
                <w:sz w:val="20"/>
                <w:szCs w:val="20"/>
              </w:rPr>
              <w:t xml:space="preserve">Access</w:t>
            </w:r>
          </w:p>
        </w:tc>
        <w:tc>
          <w:tcPr>
            <w:tcW w:type="dxa" w:w="684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1C1C"/>
                <w:sz w:val="20"/>
                <w:szCs w:val="20"/>
              </w:rPr>
              <w:t xml:space="preserve">All users</w:t>
            </w:r>
          </w:p>
        </w:tc>
      </w:tr>
      <w:tr>
        <w:tc>
          <w:tcPr>
            <w:tcW w:type="dxa" w:w="2520"/>
            <w:tcBorders>
              <w:top w:val="single" w:color="CCDDCC" w:sz="1"/>
              <w:left w:val="single" w:color="CCDDCC" w:sz="1"/>
              <w:bottom w:val="single" w:color="CCDDCC" w:sz="1"/>
              <w:right w:val="single" w:color="CCDDCC" w:sz="1"/>
            </w:tcBorders>
            <w:shd w:fill="E8F0E4" w:val="clear"/>
            <w:tcMar>
              <w:top w:type="dxa" w:w="80"/>
              <w:left w:type="dxa" w:w="120"/>
              <w:bottom w:type="dxa" w:w="80"/>
              <w:right w:type="dxa" w:w="120"/>
            </w:tcMar>
          </w:tcPr>
          <w:p>
            <w:r>
              <w:rPr>
                <w:rFonts w:ascii="Arial" w:cs="Arial" w:eastAsia="Arial" w:hAnsi="Arial"/>
                <w:b/>
                <w:bCs/>
                <w:color w:val="5C7A4E"/>
                <w:sz w:val="20"/>
                <w:szCs w:val="20"/>
              </w:rPr>
              <w:t xml:space="preserve">Audience value</w:t>
            </w:r>
          </w:p>
        </w:tc>
        <w:tc>
          <w:tcPr>
            <w:tcW w:type="dxa" w:w="684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1C1C"/>
                <w:sz w:val="20"/>
                <w:szCs w:val="20"/>
              </w:rPr>
              <w:t xml:space="preserve">Practical field utility; respects that not everyone wants to stare at a phone underground</w:t>
            </w:r>
          </w:p>
        </w:tc>
      </w:tr>
      <w:tr>
        <w:tc>
          <w:tcPr>
            <w:tcW w:type="dxa" w:w="2520"/>
            <w:tcBorders>
              <w:top w:val="single" w:color="CCDDCC" w:sz="1"/>
              <w:left w:val="single" w:color="CCDDCC" w:sz="1"/>
              <w:bottom w:val="single" w:color="CCDDCC" w:sz="1"/>
              <w:right w:val="single" w:color="CCDDCC" w:sz="1"/>
            </w:tcBorders>
            <w:shd w:fill="E8F0E4" w:val="clear"/>
            <w:tcMar>
              <w:top w:type="dxa" w:w="80"/>
              <w:left w:type="dxa" w:w="120"/>
              <w:bottom w:type="dxa" w:w="80"/>
              <w:right w:type="dxa" w:w="120"/>
            </w:tcMar>
          </w:tcPr>
          <w:p>
            <w:r>
              <w:rPr>
                <w:rFonts w:ascii="Arial" w:cs="Arial" w:eastAsia="Arial" w:hAnsi="Arial"/>
                <w:b/>
                <w:bCs/>
                <w:color w:val="5C7A4E"/>
                <w:sz w:val="20"/>
                <w:szCs w:val="20"/>
              </w:rPr>
              <w:t xml:space="preserve">Platform value</w:t>
            </w:r>
          </w:p>
        </w:tc>
        <w:tc>
          <w:tcPr>
            <w:tcW w:type="dxa" w:w="684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1C1C"/>
                <w:sz w:val="20"/>
                <w:szCs w:val="20"/>
              </w:rPr>
              <w:t xml:space="preserve">Differentiator — no other platform does this well</w:t>
            </w:r>
          </w:p>
        </w:tc>
      </w:tr>
    </w:tbl>
    <w:p>
      <w:pPr>
        <w:spacing w:after="0" w:before="0"/>
      </w:pPr>
    </w:p>
    <w:p>
      <w:pPr>
        <w:pStyle w:val="Heading2"/>
        <w:spacing w:after="130" w:before="340"/>
      </w:pPr>
      <w:r>
        <w:rPr>
          <w:rFonts w:ascii="Arial" w:cs="Arial" w:eastAsia="Arial" w:hAnsi="Arial"/>
          <w:b/>
          <w:bCs/>
          <w:color w:val="5C7A4E"/>
          <w:sz w:val="27"/>
          <w:szCs w:val="27"/>
        </w:rPr>
        <w:t xml:space="preserve">Print-Quality Field Cards</w:t>
      </w:r>
    </w:p>
    <w:p>
      <w:pPr>
        <w:spacing w:after="130" w:before="80"/>
      </w:pPr>
      <w:r>
        <w:rPr>
          <w:rFonts w:ascii="Arial" w:cs="Arial" w:eastAsia="Arial" w:hAnsi="Arial"/>
          <w:color w:val="1C1C1C"/>
          <w:sz w:val="22"/>
          <w:szCs w:val="22"/>
        </w:rPr>
        <w:t xml:space="preserve">A printable field reference card for any digby site, designed to be folded and carried in a field vest pocket:</w:t>
      </w:r>
    </w:p>
    <w:p>
      <w:pPr>
        <w:pStyle w:val="ListParagraph"/>
        <w:numPr>
          <w:ilvl w:val="0"/>
          <w:numId w:val="2"/>
        </w:numPr>
        <w:spacing w:after="60" w:before="60"/>
      </w:pPr>
      <w:r>
        <w:rPr>
          <w:rFonts w:ascii="Arial" w:cs="Arial" w:eastAsia="Arial" w:hAnsi="Arial"/>
          <w:color w:val="1C1C1C"/>
          <w:sz w:val="22"/>
          <w:szCs w:val="22"/>
        </w:rPr>
        <w:t xml:space="preserve">Site name, location, and access directions</w:t>
      </w:r>
    </w:p>
    <w:p>
      <w:pPr>
        <w:pStyle w:val="ListParagraph"/>
        <w:numPr>
          <w:ilvl w:val="0"/>
          <w:numId w:val="2"/>
        </w:numPr>
        <w:spacing w:after="60" w:before="60"/>
      </w:pPr>
      <w:r>
        <w:rPr>
          <w:rFonts w:ascii="Arial" w:cs="Arial" w:eastAsia="Arial" w:hAnsi="Arial"/>
          <w:color w:val="1C1C1C"/>
          <w:sz w:val="22"/>
          <w:szCs w:val="22"/>
        </w:rPr>
        <w:t xml:space="preserve">Geological formation and province</w:t>
      </w:r>
    </w:p>
    <w:p>
      <w:pPr>
        <w:pStyle w:val="ListParagraph"/>
        <w:numPr>
          <w:ilvl w:val="0"/>
          <w:numId w:val="2"/>
        </w:numPr>
        <w:spacing w:after="60" w:before="60"/>
      </w:pPr>
      <w:r>
        <w:rPr>
          <w:rFonts w:ascii="Arial" w:cs="Arial" w:eastAsia="Arial" w:hAnsi="Arial"/>
          <w:color w:val="1C1C1C"/>
          <w:sz w:val="22"/>
          <w:szCs w:val="22"/>
        </w:rPr>
        <w:t xml:space="preserve">Minerals to look for with key identifying properties for each (hardness, lustre, cleavage, colour)</w:t>
      </w:r>
    </w:p>
    <w:p>
      <w:pPr>
        <w:pStyle w:val="ListParagraph"/>
        <w:numPr>
          <w:ilvl w:val="0"/>
          <w:numId w:val="2"/>
        </w:numPr>
        <w:spacing w:after="60" w:before="60"/>
      </w:pPr>
      <w:r>
        <w:rPr>
          <w:rFonts w:ascii="Arial" w:cs="Arial" w:eastAsia="Arial" w:hAnsi="Arial"/>
          <w:color w:val="1C1C1C"/>
          <w:sz w:val="22"/>
          <w:szCs w:val="22"/>
        </w:rPr>
        <w:t xml:space="preserve">UV behaviour for relevant minerals</w:t>
      </w:r>
    </w:p>
    <w:p>
      <w:pPr>
        <w:pStyle w:val="ListParagraph"/>
        <w:numPr>
          <w:ilvl w:val="0"/>
          <w:numId w:val="2"/>
        </w:numPr>
        <w:spacing w:after="60" w:before="60"/>
      </w:pPr>
      <w:r>
        <w:rPr>
          <w:rFonts w:ascii="Arial" w:cs="Arial" w:eastAsia="Arial" w:hAnsi="Arial"/>
          <w:color w:val="1C1C1C"/>
          <w:sz w:val="22"/>
          <w:szCs w:val="22"/>
        </w:rPr>
        <w:t xml:space="preserve">Site-specific tips from locality knowledge contributors</w:t>
      </w:r>
    </w:p>
    <w:p>
      <w:pPr>
        <w:pStyle w:val="ListParagraph"/>
        <w:numPr>
          <w:ilvl w:val="0"/>
          <w:numId w:val="2"/>
        </w:numPr>
        <w:spacing w:after="60" w:before="60"/>
      </w:pPr>
      <w:r>
        <w:rPr>
          <w:rFonts w:ascii="Arial" w:cs="Arial" w:eastAsia="Arial" w:hAnsi="Arial"/>
          <w:color w:val="1C1C1C"/>
          <w:sz w:val="22"/>
          <w:szCs w:val="22"/>
        </w:rPr>
        <w:t xml:space="preserve">A small-scale geology map of the immediate area</w:t>
      </w:r>
    </w:p>
    <w:p>
      <w:pPr>
        <w:pStyle w:val="ListParagraph"/>
        <w:numPr>
          <w:ilvl w:val="0"/>
          <w:numId w:val="2"/>
        </w:numPr>
        <w:spacing w:after="60" w:before="60"/>
      </w:pPr>
      <w:r>
        <w:rPr>
          <w:rFonts w:ascii="Arial" w:cs="Arial" w:eastAsia="Arial" w:hAnsi="Arial"/>
          <w:color w:val="1C1C1C"/>
          <w:sz w:val="22"/>
          <w:szCs w:val="22"/>
        </w:rPr>
        <w:t xml:space="preserve">Blank “my notes” section for handwriting</w:t>
      </w:r>
    </w:p>
    <w:p>
      <w:pPr>
        <w:spacing w:after="130" w:before="80"/>
      </w:pPr>
      <w:r>
        <w:rPr>
          <w:rFonts w:ascii="Arial" w:cs="Arial" w:eastAsia="Arial" w:hAnsi="Arial"/>
          <w:color w:val="1C1C1C"/>
          <w:sz w:val="22"/>
          <w:szCs w:val="22"/>
        </w:rPr>
        <w:t xml:space="preserve">Generated as a print-optimised PDF from the site page. Letter-sized, folds to quarter-page.</w:t>
      </w:r>
    </w:p>
    <w:p>
      <w:pPr>
        <w:pStyle w:val="Heading2"/>
        <w:spacing w:after="130" w:before="340"/>
      </w:pPr>
      <w:r>
        <w:rPr>
          <w:rFonts w:ascii="Arial" w:cs="Arial" w:eastAsia="Arial" w:hAnsi="Arial"/>
          <w:b/>
          <w:bCs/>
          <w:color w:val="5C7A4E"/>
          <w:sz w:val="27"/>
          <w:szCs w:val="27"/>
        </w:rPr>
        <w:t xml:space="preserve">Printable Find Log Sheets</w:t>
      </w:r>
    </w:p>
    <w:p>
      <w:pPr>
        <w:spacing w:after="130" w:before="80"/>
      </w:pPr>
      <w:r>
        <w:rPr>
          <w:rFonts w:ascii="Arial" w:cs="Arial" w:eastAsia="Arial" w:hAnsi="Arial"/>
          <w:color w:val="1C1C1C"/>
          <w:sz w:val="22"/>
          <w:szCs w:val="22"/>
        </w:rPr>
        <w:t xml:space="preserve">For users who prefer paper in the field and digital entry later:</w:t>
      </w:r>
    </w:p>
    <w:p>
      <w:pPr>
        <w:pStyle w:val="ListParagraph"/>
        <w:numPr>
          <w:ilvl w:val="0"/>
          <w:numId w:val="2"/>
        </w:numPr>
        <w:spacing w:after="60" w:before="60"/>
      </w:pPr>
      <w:r>
        <w:rPr>
          <w:rFonts w:ascii="Arial" w:cs="Arial" w:eastAsia="Arial" w:hAnsi="Arial"/>
          <w:color w:val="1C1C1C"/>
          <w:sz w:val="22"/>
          <w:szCs w:val="22"/>
        </w:rPr>
        <w:t xml:space="preserve">A structured paper find log sheet with fields matching the digby data model</w:t>
      </w:r>
    </w:p>
    <w:p>
      <w:pPr>
        <w:pStyle w:val="ListParagraph"/>
        <w:numPr>
          <w:ilvl w:val="0"/>
          <w:numId w:val="2"/>
        </w:numPr>
        <w:spacing w:after="60" w:before="60"/>
      </w:pPr>
      <w:r>
        <w:rPr>
          <w:rFonts w:ascii="Arial" w:cs="Arial" w:eastAsia="Arial" w:hAnsi="Arial"/>
          <w:color w:val="1C1C1C"/>
          <w:sz w:val="22"/>
          <w:szCs w:val="22"/>
        </w:rPr>
        <w:t xml:space="preserve">QR code at the top — scan on return home to open a pre-populated batch entry form</w:t>
      </w:r>
    </w:p>
    <w:p>
      <w:pPr>
        <w:pStyle w:val="ListParagraph"/>
        <w:numPr>
          <w:ilvl w:val="0"/>
          <w:numId w:val="2"/>
        </w:numPr>
        <w:spacing w:after="60" w:before="60"/>
      </w:pPr>
      <w:r>
        <w:rPr>
          <w:rFonts w:ascii="Arial" w:cs="Arial" w:eastAsia="Arial" w:hAnsi="Arial"/>
          <w:color w:val="1C1C1C"/>
          <w:sz w:val="22"/>
          <w:szCs w:val="22"/>
        </w:rPr>
        <w:t xml:space="preserve">Available as a downloadable PDF from the user’s profile page</w:t>
      </w:r>
    </w:p>
    <w:p>
      <w:pPr>
        <w:pStyle w:val="ListParagraph"/>
        <w:numPr>
          <w:ilvl w:val="0"/>
          <w:numId w:val="2"/>
        </w:numPr>
        <w:spacing w:after="60" w:before="60"/>
      </w:pPr>
      <w:r>
        <w:rPr>
          <w:rFonts w:ascii="Arial" w:cs="Arial" w:eastAsia="Arial" w:hAnsi="Arial"/>
          <w:color w:val="1C1C1C"/>
          <w:sz w:val="22"/>
          <w:szCs w:val="22"/>
        </w:rPr>
        <w:t xml:space="preserve">Customisable: user selects which fields to include based on what they track</w:t>
      </w:r>
    </w:p>
    <w:p>
      <w:pPr>
        <w:pStyle w:val="Heading2"/>
        <w:spacing w:after="130" w:before="340"/>
      </w:pPr>
      <w:r>
        <w:rPr>
          <w:rFonts w:ascii="Arial" w:cs="Arial" w:eastAsia="Arial" w:hAnsi="Arial"/>
          <w:b/>
          <w:bCs/>
          <w:color w:val="5C7A4E"/>
          <w:sz w:val="27"/>
          <w:szCs w:val="27"/>
        </w:rPr>
        <w:t xml:space="preserve">Offline Site Pages</w:t>
      </w:r>
    </w:p>
    <w:p>
      <w:pPr>
        <w:spacing w:after="130" w:before="80"/>
      </w:pPr>
      <w:r>
        <w:rPr>
          <w:rFonts w:ascii="Arial" w:cs="Arial" w:eastAsia="Arial" w:hAnsi="Arial"/>
          <w:color w:val="1C1C1C"/>
          <w:sz w:val="22"/>
          <w:szCs w:val="22"/>
        </w:rPr>
        <w:t xml:space="preserve">Full site pages cacheable for offline use on mobile:</w:t>
      </w:r>
    </w:p>
    <w:p>
      <w:pPr>
        <w:pStyle w:val="ListParagraph"/>
        <w:numPr>
          <w:ilvl w:val="0"/>
          <w:numId w:val="2"/>
        </w:numPr>
        <w:spacing w:after="60" w:before="60"/>
      </w:pPr>
      <w:r>
        <w:rPr>
          <w:rFonts w:ascii="Arial" w:cs="Arial" w:eastAsia="Arial" w:hAnsi="Arial"/>
          <w:color w:val="1C1C1C"/>
          <w:sz w:val="22"/>
          <w:szCs w:val="22"/>
        </w:rPr>
        <w:t xml:space="preserve">User taps “Save for offline” on any site page before leaving home</w:t>
      </w:r>
    </w:p>
    <w:p>
      <w:pPr>
        <w:pStyle w:val="ListParagraph"/>
        <w:numPr>
          <w:ilvl w:val="0"/>
          <w:numId w:val="2"/>
        </w:numPr>
        <w:spacing w:after="60" w:before="60"/>
      </w:pPr>
      <w:r>
        <w:rPr>
          <w:rFonts w:ascii="Arial" w:cs="Arial" w:eastAsia="Arial" w:hAnsi="Arial"/>
          <w:color w:val="1C1C1C"/>
          <w:sz w:val="22"/>
          <w:szCs w:val="22"/>
        </w:rPr>
        <w:t xml:space="preserve">Caches: site description, geology, mineral list, field tips, locality notes, and the geology map tiles for that area</w:t>
      </w:r>
    </w:p>
    <w:p>
      <w:pPr>
        <w:pStyle w:val="ListParagraph"/>
        <w:numPr>
          <w:ilvl w:val="0"/>
          <w:numId w:val="2"/>
        </w:numPr>
        <w:spacing w:after="60" w:before="60"/>
      </w:pPr>
      <w:r>
        <w:rPr>
          <w:rFonts w:ascii="Arial" w:cs="Arial" w:eastAsia="Arial" w:hAnsi="Arial"/>
          <w:color w:val="1C1C1C"/>
          <w:sz w:val="22"/>
          <w:szCs w:val="22"/>
        </w:rPr>
        <w:t xml:space="preserve">Offline find logging: log finds in the field with GPS, photos stored locally, syncs when back in range</w:t>
      </w:r>
    </w:p>
    <w:p>
      <w:pPr>
        <w:pStyle w:val="ListParagraph"/>
        <w:numPr>
          <w:ilvl w:val="0"/>
          <w:numId w:val="2"/>
        </w:numPr>
        <w:spacing w:after="60" w:before="60"/>
      </w:pPr>
      <w:r>
        <w:rPr>
          <w:rFonts w:ascii="Arial" w:cs="Arial" w:eastAsia="Arial" w:hAnsi="Arial"/>
          <w:color w:val="1C1C1C"/>
          <w:sz w:val="22"/>
          <w:szCs w:val="22"/>
        </w:rPr>
        <w:t xml:space="preserve">Clear cache management: user can see what’s cached and how much storage it uses</w:t>
      </w:r>
    </w:p>
    <w:p>
      <w:pPr>
        <w:pStyle w:val="Heading2"/>
        <w:spacing w:after="130" w:before="340"/>
      </w:pPr>
      <w:r>
        <w:rPr>
          <w:rFonts w:ascii="Arial" w:cs="Arial" w:eastAsia="Arial" w:hAnsi="Arial"/>
          <w:b/>
          <w:bCs/>
          <w:color w:val="5C7A4E"/>
          <w:sz w:val="27"/>
          <w:szCs w:val="27"/>
        </w:rPr>
        <w:t xml:space="preserve">GPS Track Import</w:t>
      </w:r>
    </w:p>
    <w:p>
      <w:pPr>
        <w:spacing w:after="130" w:before="80"/>
      </w:pPr>
      <w:r>
        <w:rPr>
          <w:rFonts w:ascii="Arial" w:cs="Arial" w:eastAsia="Arial" w:hAnsi="Arial"/>
          <w:color w:val="1C1C1C"/>
          <w:sz w:val="22"/>
          <w:szCs w:val="22"/>
        </w:rPr>
        <w:t xml:space="preserve">Many experienced field geologists use dedicated GPS devices (Garmin, etc.) that export GPX track files. Allow these to be imported into digby:</w:t>
      </w:r>
    </w:p>
    <w:p>
      <w:pPr>
        <w:pStyle w:val="ListParagraph"/>
        <w:numPr>
          <w:ilvl w:val="0"/>
          <w:numId w:val="2"/>
        </w:numPr>
        <w:spacing w:after="60" w:before="60"/>
      </w:pPr>
      <w:r>
        <w:rPr>
          <w:rFonts w:ascii="Arial" w:cs="Arial" w:eastAsia="Arial" w:hAnsi="Arial"/>
          <w:color w:val="1C1C1C"/>
          <w:sz w:val="22"/>
          <w:szCs w:val="22"/>
        </w:rPr>
        <w:t xml:space="preserve">Upload a GPX file from a field session</w:t>
      </w:r>
    </w:p>
    <w:p>
      <w:pPr>
        <w:pStyle w:val="ListParagraph"/>
        <w:numPr>
          <w:ilvl w:val="0"/>
          <w:numId w:val="2"/>
        </w:numPr>
        <w:spacing w:after="60" w:before="60"/>
      </w:pPr>
      <w:r>
        <w:rPr>
          <w:rFonts w:ascii="Arial" w:cs="Arial" w:eastAsia="Arial" w:hAnsi="Arial"/>
          <w:color w:val="1C1C1C"/>
          <w:sz w:val="22"/>
          <w:szCs w:val="22"/>
        </w:rPr>
        <w:t xml:space="preserve">Track displayed on the geology map overlaid on formation data</w:t>
      </w:r>
    </w:p>
    <w:p>
      <w:pPr>
        <w:pStyle w:val="ListParagraph"/>
        <w:numPr>
          <w:ilvl w:val="0"/>
          <w:numId w:val="2"/>
        </w:numPr>
        <w:spacing w:after="60" w:before="60"/>
      </w:pPr>
      <w:r>
        <w:rPr>
          <w:rFonts w:ascii="Arial" w:cs="Arial" w:eastAsia="Arial" w:hAnsi="Arial"/>
          <w:color w:val="1C1C1C"/>
          <w:sz w:val="22"/>
          <w:szCs w:val="22"/>
        </w:rPr>
        <w:t xml:space="preserve">Waypoints in the GPX file can be converted to find log entries with one tap</w:t>
      </w:r>
    </w:p>
    <w:p>
      <w:pPr>
        <w:pStyle w:val="ListParagraph"/>
        <w:numPr>
          <w:ilvl w:val="0"/>
          <w:numId w:val="2"/>
        </w:numPr>
        <w:spacing w:after="60" w:before="60"/>
      </w:pPr>
      <w:r>
        <w:rPr>
          <w:rFonts w:ascii="Arial" w:cs="Arial" w:eastAsia="Arial" w:hAnsi="Arial"/>
          <w:color w:val="1C1C1C"/>
          <w:sz w:val="22"/>
          <w:szCs w:val="22"/>
        </w:rPr>
        <w:t xml:space="preserve">Track saved to the user’s field session history</w:t>
      </w:r>
    </w:p>
    <w:p>
      <w:pPr>
        <w:pStyle w:val="ListParagraph"/>
        <w:numPr>
          <w:ilvl w:val="0"/>
          <w:numId w:val="2"/>
        </w:numPr>
        <w:spacing w:after="60" w:before="60"/>
      </w:pPr>
      <w:r>
        <w:rPr>
          <w:rFonts w:ascii="Arial" w:cs="Arial" w:eastAsia="Arial" w:hAnsi="Arial"/>
          <w:color w:val="1C1C1C"/>
          <w:sz w:val="22"/>
          <w:szCs w:val="22"/>
        </w:rPr>
        <w:t xml:space="preserve">Useful for documenting a day’s route and relating finds to specific locations along it</w:t>
      </w:r>
    </w:p>
    <w:p>
      <w:pPr>
        <w:pBdr>
          <w:bottom w:val="single" w:color="5C7A4E" w:sz="6" w:space="1"/>
        </w:pBdr>
        <w:spacing w:after="280" w:before="280"/>
      </w:pPr>
    </w:p>
    <w:p>
      <w:pPr>
        <w:pStyle w:val="Heading1"/>
        <w:spacing w:after="180" w:before="520"/>
      </w:pPr>
      <w:r>
        <w:rPr>
          <w:rFonts w:ascii="Arial" w:cs="Arial" w:eastAsia="Arial" w:hAnsi="Arial"/>
          <w:b/>
          <w:bCs/>
          <w:color w:val="1C1C1C"/>
          <w:sz w:val="34"/>
          <w:szCs w:val="34"/>
        </w:rPr>
        <w:t xml:space="preserve">Feature 6: Institutional Bridge</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DDCC" w:sz="1"/>
              <w:left w:val="single" w:color="CCDDCC" w:sz="1"/>
              <w:bottom w:val="single" w:color="CCDDCC" w:sz="1"/>
              <w:right w:val="single" w:color="CCDDCC" w:sz="1"/>
            </w:tcBorders>
            <w:shd w:fill="E8F0E4" w:val="clear"/>
            <w:tcMar>
              <w:top w:type="dxa" w:w="80"/>
              <w:left w:type="dxa" w:w="120"/>
              <w:bottom w:type="dxa" w:w="80"/>
              <w:right w:type="dxa" w:w="120"/>
            </w:tcMar>
          </w:tcPr>
          <w:p>
            <w:r>
              <w:rPr>
                <w:rFonts w:ascii="Arial" w:cs="Arial" w:eastAsia="Arial" w:hAnsi="Arial"/>
                <w:b/>
                <w:bCs/>
                <w:color w:val="5C7A4E"/>
                <w:sz w:val="20"/>
                <w:szCs w:val="20"/>
              </w:rPr>
              <w:t xml:space="preserve">What it is</w:t>
            </w:r>
          </w:p>
        </w:tc>
        <w:tc>
          <w:tcPr>
            <w:tcW w:type="dxa" w:w="684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1C1C"/>
                <w:sz w:val="20"/>
                <w:szCs w:val="20"/>
              </w:rPr>
              <w:t xml:space="preserve">Tools and workflows that connect digby to the institutional systems this audience already uses</w:t>
            </w:r>
          </w:p>
        </w:tc>
      </w:tr>
      <w:tr>
        <w:tc>
          <w:tcPr>
            <w:tcW w:type="dxa" w:w="2520"/>
            <w:tcBorders>
              <w:top w:val="single" w:color="CCDDCC" w:sz="1"/>
              <w:left w:val="single" w:color="CCDDCC" w:sz="1"/>
              <w:bottom w:val="single" w:color="CCDDCC" w:sz="1"/>
              <w:right w:val="single" w:color="CCDDCC" w:sz="1"/>
            </w:tcBorders>
            <w:shd w:fill="E8F0E4" w:val="clear"/>
            <w:tcMar>
              <w:top w:type="dxa" w:w="80"/>
              <w:left w:type="dxa" w:w="120"/>
              <w:bottom w:type="dxa" w:w="80"/>
              <w:right w:type="dxa" w:w="120"/>
            </w:tcMar>
          </w:tcPr>
          <w:p>
            <w:r>
              <w:rPr>
                <w:rFonts w:ascii="Arial" w:cs="Arial" w:eastAsia="Arial" w:hAnsi="Arial"/>
                <w:b/>
                <w:bCs/>
                <w:color w:val="5C7A4E"/>
                <w:sz w:val="20"/>
                <w:szCs w:val="20"/>
              </w:rPr>
              <w:t xml:space="preserve">Build priority</w:t>
            </w:r>
          </w:p>
        </w:tc>
        <w:tc>
          <w:tcPr>
            <w:tcW w:type="dxa" w:w="684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1C1C"/>
                <w:sz w:val="20"/>
                <w:szCs w:val="20"/>
              </w:rPr>
              <w:t xml:space="preserve">Low — design now, implement as partnerships form</w:t>
            </w:r>
          </w:p>
        </w:tc>
      </w:tr>
      <w:tr>
        <w:tc>
          <w:tcPr>
            <w:tcW w:type="dxa" w:w="2520"/>
            <w:tcBorders>
              <w:top w:val="single" w:color="CCDDCC" w:sz="1"/>
              <w:left w:val="single" w:color="CCDDCC" w:sz="1"/>
              <w:bottom w:val="single" w:color="CCDDCC" w:sz="1"/>
              <w:right w:val="single" w:color="CCDDCC" w:sz="1"/>
            </w:tcBorders>
            <w:shd w:fill="E8F0E4" w:val="clear"/>
            <w:tcMar>
              <w:top w:type="dxa" w:w="80"/>
              <w:left w:type="dxa" w:w="120"/>
              <w:bottom w:type="dxa" w:w="80"/>
              <w:right w:type="dxa" w:w="120"/>
            </w:tcMar>
          </w:tcPr>
          <w:p>
            <w:r>
              <w:rPr>
                <w:rFonts w:ascii="Arial" w:cs="Arial" w:eastAsia="Arial" w:hAnsi="Arial"/>
                <w:b/>
                <w:bCs/>
                <w:color w:val="5C7A4E"/>
                <w:sz w:val="20"/>
                <w:szCs w:val="20"/>
              </w:rPr>
              <w:t xml:space="preserve">Access</w:t>
            </w:r>
          </w:p>
        </w:tc>
        <w:tc>
          <w:tcPr>
            <w:tcW w:type="dxa" w:w="684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1C1C"/>
                <w:sz w:val="20"/>
                <w:szCs w:val="20"/>
              </w:rPr>
              <w:t xml:space="preserve">OGS-Endorsed Reviewer tier and institutional partners</w:t>
            </w:r>
          </w:p>
        </w:tc>
      </w:tr>
      <w:tr>
        <w:tc>
          <w:tcPr>
            <w:tcW w:type="dxa" w:w="2520"/>
            <w:tcBorders>
              <w:top w:val="single" w:color="CCDDCC" w:sz="1"/>
              <w:left w:val="single" w:color="CCDDCC" w:sz="1"/>
              <w:bottom w:val="single" w:color="CCDDCC" w:sz="1"/>
              <w:right w:val="single" w:color="CCDDCC" w:sz="1"/>
            </w:tcBorders>
            <w:shd w:fill="E8F0E4" w:val="clear"/>
            <w:tcMar>
              <w:top w:type="dxa" w:w="80"/>
              <w:left w:type="dxa" w:w="120"/>
              <w:bottom w:type="dxa" w:w="80"/>
              <w:right w:type="dxa" w:w="120"/>
            </w:tcMar>
          </w:tcPr>
          <w:p>
            <w:r>
              <w:rPr>
                <w:rFonts w:ascii="Arial" w:cs="Arial" w:eastAsia="Arial" w:hAnsi="Arial"/>
                <w:b/>
                <w:bCs/>
                <w:color w:val="5C7A4E"/>
                <w:sz w:val="20"/>
                <w:szCs w:val="20"/>
              </w:rPr>
              <w:t xml:space="preserve">Audience value</w:t>
            </w:r>
          </w:p>
        </w:tc>
        <w:tc>
          <w:tcPr>
            <w:tcW w:type="dxa" w:w="684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1C1C"/>
                <w:sz w:val="20"/>
                <w:szCs w:val="20"/>
              </w:rPr>
              <w:t xml:space="preserve">Digby fits into their existing workflow rather than replacing it</w:t>
            </w:r>
          </w:p>
        </w:tc>
      </w:tr>
      <w:tr>
        <w:tc>
          <w:tcPr>
            <w:tcW w:type="dxa" w:w="2520"/>
            <w:tcBorders>
              <w:top w:val="single" w:color="CCDDCC" w:sz="1"/>
              <w:left w:val="single" w:color="CCDDCC" w:sz="1"/>
              <w:bottom w:val="single" w:color="CCDDCC" w:sz="1"/>
              <w:right w:val="single" w:color="CCDDCC" w:sz="1"/>
            </w:tcBorders>
            <w:shd w:fill="E8F0E4" w:val="clear"/>
            <w:tcMar>
              <w:top w:type="dxa" w:w="80"/>
              <w:left w:type="dxa" w:w="120"/>
              <w:bottom w:type="dxa" w:w="80"/>
              <w:right w:type="dxa" w:w="120"/>
            </w:tcMar>
          </w:tcPr>
          <w:p>
            <w:r>
              <w:rPr>
                <w:rFonts w:ascii="Arial" w:cs="Arial" w:eastAsia="Arial" w:hAnsi="Arial"/>
                <w:b/>
                <w:bCs/>
                <w:color w:val="5C7A4E"/>
                <w:sz w:val="20"/>
                <w:szCs w:val="20"/>
              </w:rPr>
              <w:t xml:space="preserve">Platform value</w:t>
            </w:r>
          </w:p>
        </w:tc>
        <w:tc>
          <w:tcPr>
            <w:tcW w:type="dxa" w:w="684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1C1C"/>
                <w:sz w:val="20"/>
                <w:szCs w:val="20"/>
              </w:rPr>
              <w:t xml:space="preserve">OGS partnership enabler, academic partnership enabler</w:t>
            </w:r>
          </w:p>
        </w:tc>
      </w:tr>
    </w:tbl>
    <w:p>
      <w:pPr>
        <w:spacing w:after="0" w:before="0"/>
      </w:pPr>
    </w:p>
    <w:p>
      <w:pPr>
        <w:pStyle w:val="Heading2"/>
        <w:spacing w:after="130" w:before="340"/>
      </w:pPr>
      <w:r>
        <w:rPr>
          <w:rFonts w:ascii="Arial" w:cs="Arial" w:eastAsia="Arial" w:hAnsi="Arial"/>
          <w:b/>
          <w:bCs/>
          <w:color w:val="5C7A4E"/>
          <w:sz w:val="27"/>
          <w:szCs w:val="27"/>
        </w:rPr>
        <w:t xml:space="preserve">ArcGIS Integration</w:t>
      </w:r>
    </w:p>
    <w:p>
      <w:pPr>
        <w:spacing w:after="130" w:before="80"/>
      </w:pPr>
      <w:r>
        <w:rPr>
          <w:rFonts w:ascii="Arial" w:cs="Arial" w:eastAsia="Arial" w:hAnsi="Arial"/>
          <w:color w:val="1C1C1C"/>
          <w:sz w:val="22"/>
          <w:szCs w:val="22"/>
        </w:rPr>
        <w:t xml:space="preserve">The OGS and most professional geologists use ArcGIS Pro or ArcGIS Online as their primary GIS environment. Digby’s data should be accessible directly from ArcGIS without manual export/import:</w:t>
      </w:r>
    </w:p>
    <w:p>
      <w:pPr>
        <w:pStyle w:val="ListParagraph"/>
        <w:numPr>
          <w:ilvl w:val="0"/>
          <w:numId w:val="2"/>
        </w:numPr>
        <w:spacing w:after="60" w:before="60"/>
      </w:pPr>
      <w:r>
        <w:rPr>
          <w:rFonts w:ascii="Arial" w:cs="Arial" w:eastAsia="Arial" w:hAnsi="Arial"/>
          <w:color w:val="1C1C1C"/>
          <w:sz w:val="22"/>
          <w:szCs w:val="22"/>
        </w:rPr>
        <w:t xml:space="preserve">Digby find data available as an ArcGIS Online Feature Layer — add it directly to an ArcGIS project via the REST endpoint</w:t>
      </w:r>
    </w:p>
    <w:p>
      <w:pPr>
        <w:pStyle w:val="ListParagraph"/>
        <w:numPr>
          <w:ilvl w:val="0"/>
          <w:numId w:val="2"/>
        </w:numPr>
        <w:spacing w:after="60" w:before="60"/>
      </w:pPr>
      <w:r>
        <w:rPr>
          <w:rFonts w:ascii="Arial" w:cs="Arial" w:eastAsia="Arial" w:hAnsi="Arial"/>
          <w:color w:val="1C1C1C"/>
          <w:sz w:val="22"/>
          <w:szCs w:val="22"/>
        </w:rPr>
        <w:t xml:space="preserve">The feature layer updates automatically as new verified finds are added</w:t>
      </w:r>
    </w:p>
    <w:p>
      <w:pPr>
        <w:pStyle w:val="ListParagraph"/>
        <w:numPr>
          <w:ilvl w:val="0"/>
          <w:numId w:val="2"/>
        </w:numPr>
        <w:spacing w:after="60" w:before="60"/>
      </w:pPr>
      <w:r>
        <w:rPr>
          <w:rFonts w:ascii="Arial" w:cs="Arial" w:eastAsia="Arial" w:hAnsi="Arial"/>
          <w:color w:val="1C1C1C"/>
          <w:sz w:val="22"/>
          <w:szCs w:val="22"/>
        </w:rPr>
        <w:t xml:space="preserve">Layer hosted on Esri’s infrastructure or served from digby’s API in ArcGIS-compatible format (GeoJSON or OGC WFS)</w:t>
      </w:r>
    </w:p>
    <w:p>
      <w:pPr>
        <w:pStyle w:val="ListParagraph"/>
        <w:numPr>
          <w:ilvl w:val="0"/>
          <w:numId w:val="2"/>
        </w:numPr>
        <w:spacing w:after="60" w:before="60"/>
      </w:pPr>
      <w:r>
        <w:rPr>
          <w:rFonts w:ascii="Arial" w:cs="Arial" w:eastAsia="Arial" w:hAnsi="Arial"/>
          <w:color w:val="1C1C1C"/>
          <w:sz w:val="22"/>
          <w:szCs w:val="22"/>
        </w:rPr>
        <w:t xml:space="preserve">Documented in digby’s API docs with step-by-step ArcGIS connection instructions</w:t>
      </w:r>
    </w:p>
    <w:p>
      <w:pPr>
        <w:pBdr>
          <w:left w:val="single" w:color="5C7A4E" w:sz="12" w:space="8"/>
        </w:pBdr>
        <w:spacing w:after="140" w:before="140"/>
        <w:ind w:left="360"/>
      </w:pPr>
      <w:r>
        <w:rPr>
          <w:rFonts w:ascii="Arial" w:cs="Arial" w:eastAsia="Arial" w:hAnsi="Arial"/>
          <w:i/>
          <w:iCs/>
          <w:color w:val="555544"/>
          <w:sz w:val="20"/>
          <w:szCs w:val="20"/>
        </w:rPr>
        <w:t xml:space="preserve">This is a single endpoint implementation on digby’s side. The value to an OGS geologist who already lives in ArcGIS Pro is enormous — they never have to leave their tool to access digby data.</w:t>
      </w:r>
    </w:p>
    <w:p>
      <w:pPr>
        <w:pStyle w:val="Heading2"/>
        <w:spacing w:after="130" w:before="340"/>
      </w:pPr>
      <w:r>
        <w:rPr>
          <w:rFonts w:ascii="Arial" w:cs="Arial" w:eastAsia="Arial" w:hAnsi="Arial"/>
          <w:b/>
          <w:bCs/>
          <w:color w:val="5C7A4E"/>
          <w:sz w:val="27"/>
          <w:szCs w:val="27"/>
        </w:rPr>
        <w:t xml:space="preserve">QGIS Plugin (v2)</w:t>
      </w:r>
    </w:p>
    <w:p>
      <w:pPr>
        <w:spacing w:after="130" w:before="80"/>
      </w:pPr>
      <w:r>
        <w:rPr>
          <w:rFonts w:ascii="Arial" w:cs="Arial" w:eastAsia="Arial" w:hAnsi="Arial"/>
          <w:color w:val="1C1C1C"/>
          <w:sz w:val="22"/>
          <w:szCs w:val="22"/>
        </w:rPr>
        <w:t xml:space="preserve">A lightweight QGIS plugin that connects to the digby API from within QGIS:</w:t>
      </w:r>
    </w:p>
    <w:p>
      <w:pPr>
        <w:pStyle w:val="ListParagraph"/>
        <w:numPr>
          <w:ilvl w:val="0"/>
          <w:numId w:val="2"/>
        </w:numPr>
        <w:spacing w:after="60" w:before="60"/>
      </w:pPr>
      <w:r>
        <w:rPr>
          <w:rFonts w:ascii="Arial" w:cs="Arial" w:eastAsia="Arial" w:hAnsi="Arial"/>
          <w:color w:val="1C1C1C"/>
          <w:sz w:val="22"/>
          <w:szCs w:val="22"/>
        </w:rPr>
        <w:t xml:space="preserve">Search and load digby find data as a vector layer</w:t>
      </w:r>
    </w:p>
    <w:p>
      <w:pPr>
        <w:pStyle w:val="ListParagraph"/>
        <w:numPr>
          <w:ilvl w:val="0"/>
          <w:numId w:val="2"/>
        </w:numPr>
        <w:spacing w:after="60" w:before="60"/>
      </w:pPr>
      <w:r>
        <w:rPr>
          <w:rFonts w:ascii="Arial" w:cs="Arial" w:eastAsia="Arial" w:hAnsi="Arial"/>
          <w:color w:val="1C1C1C"/>
          <w:sz w:val="22"/>
          <w:szCs w:val="22"/>
        </w:rPr>
        <w:t xml:space="preserve">Filter by mineral, formation, province, date range — all within the QGIS plugin panel</w:t>
      </w:r>
    </w:p>
    <w:p>
      <w:pPr>
        <w:pStyle w:val="ListParagraph"/>
        <w:numPr>
          <w:ilvl w:val="0"/>
          <w:numId w:val="2"/>
        </w:numPr>
        <w:spacing w:after="60" w:before="60"/>
      </w:pPr>
      <w:r>
        <w:rPr>
          <w:rFonts w:ascii="Arial" w:cs="Arial" w:eastAsia="Arial" w:hAnsi="Arial"/>
          <w:color w:val="1C1C1C"/>
          <w:sz w:val="22"/>
          <w:szCs w:val="22"/>
        </w:rPr>
        <w:t xml:space="preserve">Submit a find log directly from QGIS using a digitised point</w:t>
      </w:r>
    </w:p>
    <w:p>
      <w:pPr>
        <w:pStyle w:val="ListParagraph"/>
        <w:numPr>
          <w:ilvl w:val="0"/>
          <w:numId w:val="2"/>
        </w:numPr>
        <w:spacing w:after="60" w:before="60"/>
      </w:pPr>
      <w:r>
        <w:rPr>
          <w:rFonts w:ascii="Arial" w:cs="Arial" w:eastAsia="Arial" w:hAnsi="Arial"/>
          <w:color w:val="1C1C1C"/>
          <w:sz w:val="22"/>
          <w:szCs w:val="22"/>
        </w:rPr>
        <w:t xml:space="preserve">Not a v1 feature — design the API with this in mind and build when there is sufficient user demand</w:t>
      </w:r>
    </w:p>
    <w:p>
      <w:pPr>
        <w:pStyle w:val="Heading2"/>
        <w:spacing w:after="130" w:before="340"/>
      </w:pPr>
      <w:r>
        <w:rPr>
          <w:rFonts w:ascii="Arial" w:cs="Arial" w:eastAsia="Arial" w:hAnsi="Arial"/>
          <w:b/>
          <w:bCs/>
          <w:color w:val="5C7A4E"/>
          <w:sz w:val="27"/>
          <w:szCs w:val="27"/>
        </w:rPr>
        <w:t xml:space="preserve">OGS Data Feed</w:t>
      </w:r>
    </w:p>
    <w:p>
      <w:pPr>
        <w:spacing w:after="130" w:before="80"/>
      </w:pPr>
      <w:r>
        <w:rPr>
          <w:rFonts w:ascii="Arial" w:cs="Arial" w:eastAsia="Arial" w:hAnsi="Arial"/>
          <w:color w:val="1C1C1C"/>
          <w:sz w:val="22"/>
          <w:szCs w:val="22"/>
        </w:rPr>
        <w:t xml:space="preserve">For the formal OGS partnership: a scheduled, automated data feed from digby to an OGS-specified endpoint:</w:t>
      </w:r>
    </w:p>
    <w:p>
      <w:pPr>
        <w:pStyle w:val="ListParagraph"/>
        <w:numPr>
          <w:ilvl w:val="0"/>
          <w:numId w:val="2"/>
        </w:numPr>
        <w:spacing w:after="60" w:before="60"/>
      </w:pPr>
      <w:r>
        <w:rPr>
          <w:rFonts w:ascii="Arial" w:cs="Arial" w:eastAsia="Arial" w:hAnsi="Arial"/>
          <w:color w:val="1C1C1C"/>
          <w:sz w:val="22"/>
          <w:szCs w:val="22"/>
        </w:rPr>
        <w:t xml:space="preserve">Frequency: weekly or monthly, agreed with OGS</w:t>
      </w:r>
    </w:p>
    <w:p>
      <w:pPr>
        <w:pStyle w:val="ListParagraph"/>
        <w:numPr>
          <w:ilvl w:val="0"/>
          <w:numId w:val="2"/>
        </w:numPr>
        <w:spacing w:after="60" w:before="60"/>
      </w:pPr>
      <w:r>
        <w:rPr>
          <w:rFonts w:ascii="Arial" w:cs="Arial" w:eastAsia="Arial" w:hAnsi="Arial"/>
          <w:color w:val="1C1C1C"/>
          <w:sz w:val="22"/>
          <w:szCs w:val="22"/>
        </w:rPr>
        <w:t xml:space="preserve">Format: agreed with OGS data standards team (likely GeoJSON or shapefile)</w:t>
      </w:r>
    </w:p>
    <w:p>
      <w:pPr>
        <w:pStyle w:val="ListParagraph"/>
        <w:numPr>
          <w:ilvl w:val="0"/>
          <w:numId w:val="2"/>
        </w:numPr>
        <w:spacing w:after="60" w:before="60"/>
      </w:pPr>
      <w:r>
        <w:rPr>
          <w:rFonts w:ascii="Arial" w:cs="Arial" w:eastAsia="Arial" w:hAnsi="Arial"/>
          <w:color w:val="1C1C1C"/>
          <w:sz w:val="22"/>
          <w:szCs w:val="22"/>
        </w:rPr>
        <w:t xml:space="preserve">Scope: citizen science quality finds only (GPS + photo + community-verified+)</w:t>
      </w:r>
    </w:p>
    <w:p>
      <w:pPr>
        <w:pStyle w:val="ListParagraph"/>
        <w:numPr>
          <w:ilvl w:val="0"/>
          <w:numId w:val="2"/>
        </w:numPr>
        <w:spacing w:after="60" w:before="60"/>
      </w:pPr>
      <w:r>
        <w:rPr>
          <w:rFonts w:ascii="Arial" w:cs="Arial" w:eastAsia="Arial" w:hAnsi="Arial"/>
          <w:color w:val="1C1C1C"/>
          <w:sz w:val="22"/>
          <w:szCs w:val="22"/>
        </w:rPr>
        <w:t xml:space="preserve">Delivery: SFTP or HTTPS POST to an OGS endpoint, or an API pull from OGS’s side</w:t>
      </w:r>
    </w:p>
    <w:p>
      <w:pPr>
        <w:pStyle w:val="ListParagraph"/>
        <w:numPr>
          <w:ilvl w:val="0"/>
          <w:numId w:val="2"/>
        </w:numPr>
        <w:spacing w:after="60" w:before="60"/>
      </w:pPr>
      <w:r>
        <w:rPr>
          <w:rFonts w:ascii="Arial" w:cs="Arial" w:eastAsia="Arial" w:hAnsi="Arial"/>
          <w:color w:val="1C1C1C"/>
          <w:sz w:val="22"/>
          <w:szCs w:val="22"/>
        </w:rPr>
        <w:t xml:space="preserve">Metadata: each batch includes a data dictionary and quality report</w:t>
      </w:r>
    </w:p>
    <w:p>
      <w:pPr>
        <w:pBdr>
          <w:bottom w:val="single" w:color="5C7A4E" w:sz="6" w:space="1"/>
        </w:pBdr>
        <w:spacing w:after="280" w:before="280"/>
      </w:pPr>
    </w:p>
    <w:p>
      <w:pPr>
        <w:pStyle w:val="Heading1"/>
        <w:spacing w:after="180" w:before="520"/>
      </w:pPr>
      <w:r>
        <w:rPr>
          <w:rFonts w:ascii="Arial" w:cs="Arial" w:eastAsia="Arial" w:hAnsi="Arial"/>
          <w:b/>
          <w:bCs/>
          <w:color w:val="1C1C1C"/>
          <w:sz w:val="34"/>
          <w:szCs w:val="34"/>
        </w:rPr>
        <w:t xml:space="preserve">A Note on Personal Outreach: Professor Blackburn</w:t>
      </w:r>
    </w:p>
    <w:p>
      <w:pPr>
        <w:spacing w:after="130" w:before="80"/>
      </w:pPr>
      <w:r>
        <w:rPr>
          <w:rFonts w:ascii="Arial" w:cs="Arial" w:eastAsia="Arial" w:hAnsi="Arial"/>
          <w:color w:val="1C1C1C"/>
          <w:sz w:val="22"/>
          <w:szCs w:val="22"/>
        </w:rPr>
        <w:t xml:space="preserve">William H. Blackburn, Professor of Geology at the University of Windsor, co-author of Principles of Mineralogy (1988) and the Encyclopedia of Mineral Names, led a four-day field mineral and fossil identification trip that directly shaped digby’s founder’s understanding of Ontario geology. That field trip is, in a meaningful sense, the origin of digby.</w:t>
      </w:r>
    </w:p>
    <w:p>
      <w:pPr>
        <w:spacing w:after="130" w:before="80"/>
      </w:pPr>
      <w:r>
        <w:rPr>
          <w:rFonts w:ascii="Arial" w:cs="Arial" w:eastAsia="Arial" w:hAnsi="Arial"/>
          <w:color w:val="1C1C1C"/>
          <w:sz w:val="22"/>
          <w:szCs w:val="22"/>
        </w:rPr>
        <w:t xml:space="preserve">If Professor Blackburn is still reachable — as an emeritus faculty member or through the UWindsor geology alumni network — a personal letter from a former student is worth writing. Not a partnership pitch, not a business proposal. A letter that says: I went on your field trip. I never forgot it. I’ve spent the last several years building something that tries to give that experience to people who never had it. I wanted you to know.</w:t>
      </w:r>
    </w:p>
    <w:p>
      <w:pPr>
        <w:spacing w:after="130" w:before="80"/>
      </w:pPr>
      <w:r>
        <w:rPr>
          <w:rFonts w:ascii="Arial" w:cs="Arial" w:eastAsia="Arial" w:hAnsi="Arial"/>
          <w:color w:val="1C1C1C"/>
          <w:sz w:val="22"/>
          <w:szCs w:val="22"/>
        </w:rPr>
        <w:t xml:space="preserve">That letter, if it reaches him, is the kind of thing that gets shown to colleagues. It may open doors to the academic geology community, to the Canadian Mineralogist, to the OGS, in ways that a cold outreach never could. It is also simply the right thing to do.</w:t>
      </w:r>
    </w:p>
    <w:p>
      <w:pPr>
        <w:pBdr>
          <w:left w:val="single" w:color="5C7A4E" w:sz="12" w:space="8"/>
        </w:pBdr>
        <w:spacing w:after="140" w:before="140"/>
        <w:ind w:left="360"/>
      </w:pPr>
      <w:r>
        <w:rPr>
          <w:rFonts w:ascii="Arial" w:cs="Arial" w:eastAsia="Arial" w:hAnsi="Arial"/>
          <w:i/>
          <w:iCs/>
          <w:color w:val="555544"/>
          <w:sz w:val="20"/>
          <w:szCs w:val="20"/>
        </w:rPr>
        <w:t xml:space="preserve">Draft this letter personally, not from a template. It should sound like you. The geology will speak for itself.</w:t>
      </w:r>
    </w:p>
    <w:p>
      <w:pPr>
        <w:pBdr>
          <w:bottom w:val="single" w:color="5C7A4E" w:sz="6" w:space="1"/>
        </w:pBdr>
        <w:spacing w:after="280" w:before="280"/>
      </w:pPr>
    </w:p>
    <w:p>
      <w:pPr>
        <w:pStyle w:val="Heading1"/>
        <w:spacing w:after="180" w:before="520"/>
      </w:pPr>
      <w:r>
        <w:rPr>
          <w:rFonts w:ascii="Arial" w:cs="Arial" w:eastAsia="Arial" w:hAnsi="Arial"/>
          <w:b/>
          <w:bCs/>
          <w:color w:val="1C1C1C"/>
          <w:sz w:val="34"/>
          <w:szCs w:val="34"/>
        </w:rPr>
        <w:t xml:space="preserve">Build Sequence</w:t>
      </w:r>
    </w:p>
    <w:p>
      <w:pPr>
        <w:pStyle w:val="ListParagraph"/>
        <w:numPr>
          <w:ilvl w:val="0"/>
          <w:numId w:val="3"/>
        </w:numPr>
        <w:spacing w:after="60" w:before="60"/>
      </w:pPr>
      <w:r>
        <w:rPr>
          <w:rFonts w:ascii="Arial" w:cs="Arial" w:eastAsia="Arial" w:hAnsi="Arial"/>
          <w:color w:val="1C1C1C"/>
          <w:sz w:val="22"/>
          <w:szCs w:val="22"/>
        </w:rPr>
        <w:t xml:space="preserve">Legacy Data Digitisation Tool (structured entry + CSV import) — highest unique value, builds the historical dataset</w:t>
      </w:r>
    </w:p>
    <w:p>
      <w:pPr>
        <w:pStyle w:val="ListParagraph"/>
        <w:numPr>
          <w:ilvl w:val="0"/>
          <w:numId w:val="3"/>
        </w:numPr>
        <w:spacing w:after="60" w:before="60"/>
      </w:pPr>
      <w:r>
        <w:rPr>
          <w:rFonts w:ascii="Arial" w:cs="Arial" w:eastAsia="Arial" w:hAnsi="Arial"/>
          <w:color w:val="1C1C1C"/>
          <w:sz w:val="22"/>
          <w:szCs w:val="22"/>
        </w:rPr>
        <w:t xml:space="preserve">Desktop-first interface mode + email-first communications — removes friction immediately</w:t>
      </w:r>
    </w:p>
    <w:p>
      <w:pPr>
        <w:pStyle w:val="ListParagraph"/>
        <w:numPr>
          <w:ilvl w:val="0"/>
          <w:numId w:val="3"/>
        </w:numPr>
        <w:spacing w:after="60" w:before="60"/>
      </w:pPr>
      <w:r>
        <w:rPr>
          <w:rFonts w:ascii="Arial" w:cs="Arial" w:eastAsia="Arial" w:hAnsi="Arial"/>
          <w:color w:val="1C1C1C"/>
          <w:sz w:val="22"/>
          <w:szCs w:val="22"/>
        </w:rPr>
        <w:t xml:space="preserve">Print-quality field cards and find log sheets — low build cost, high practical value</w:t>
      </w:r>
    </w:p>
    <w:p>
      <w:pPr>
        <w:pStyle w:val="ListParagraph"/>
        <w:numPr>
          <w:ilvl w:val="0"/>
          <w:numId w:val="3"/>
        </w:numPr>
        <w:spacing w:after="60" w:before="60"/>
      </w:pPr>
      <w:r>
        <w:rPr>
          <w:rFonts w:ascii="Arial" w:cs="Arial" w:eastAsia="Arial" w:hAnsi="Arial"/>
          <w:color w:val="1C1C1C"/>
          <w:sz w:val="22"/>
          <w:szCs w:val="22"/>
        </w:rPr>
        <w:t xml:space="preserve">Locality Knowledge Base — after the platform has enough expert users to seed it</w:t>
      </w:r>
    </w:p>
    <w:p>
      <w:pPr>
        <w:pStyle w:val="ListParagraph"/>
        <w:numPr>
          <w:ilvl w:val="0"/>
          <w:numId w:val="3"/>
        </w:numPr>
        <w:spacing w:after="60" w:before="60"/>
      </w:pPr>
      <w:r>
        <w:rPr>
          <w:rFonts w:ascii="Arial" w:cs="Arial" w:eastAsia="Arial" w:hAnsi="Arial"/>
          <w:color w:val="1C1C1C"/>
          <w:sz w:val="22"/>
          <w:szCs w:val="22"/>
        </w:rPr>
        <w:t xml:space="preserve">Photo-to-record AI extraction — after identifier upgrade is complete (reuses same vision pipeline)</w:t>
      </w:r>
    </w:p>
    <w:p>
      <w:pPr>
        <w:pStyle w:val="ListParagraph"/>
        <w:numPr>
          <w:ilvl w:val="0"/>
          <w:numId w:val="3"/>
        </w:numPr>
        <w:spacing w:after="60" w:before="60"/>
      </w:pPr>
      <w:r>
        <w:rPr>
          <w:rFonts w:ascii="Arial" w:cs="Arial" w:eastAsia="Arial" w:hAnsi="Arial"/>
          <w:color w:val="1C1C1C"/>
          <w:sz w:val="22"/>
          <w:szCs w:val="22"/>
        </w:rPr>
        <w:t xml:space="preserve">GPS track import — moderate build, high value for active field users</w:t>
      </w:r>
    </w:p>
    <w:p>
      <w:pPr>
        <w:pStyle w:val="ListParagraph"/>
        <w:numPr>
          <w:ilvl w:val="0"/>
          <w:numId w:val="3"/>
        </w:numPr>
        <w:spacing w:after="60" w:before="60"/>
      </w:pPr>
      <w:r>
        <w:rPr>
          <w:rFonts w:ascii="Arial" w:cs="Arial" w:eastAsia="Arial" w:hAnsi="Arial"/>
          <w:color w:val="1C1C1C"/>
          <w:sz w:val="22"/>
          <w:szCs w:val="22"/>
        </w:rPr>
        <w:t xml:space="preserve">Offline site pages — requires service worker implementation; design early, ship when stable</w:t>
      </w:r>
    </w:p>
    <w:p>
      <w:pPr>
        <w:pStyle w:val="ListParagraph"/>
        <w:numPr>
          <w:ilvl w:val="0"/>
          <w:numId w:val="3"/>
        </w:numPr>
        <w:spacing w:after="60" w:before="60"/>
      </w:pPr>
      <w:r>
        <w:rPr>
          <w:rFonts w:ascii="Arial" w:cs="Arial" w:eastAsia="Arial" w:hAnsi="Arial"/>
          <w:color w:val="1C1C1C"/>
          <w:sz w:val="22"/>
          <w:szCs w:val="22"/>
        </w:rPr>
        <w:t xml:space="preserve">Mentorship layer + club integration — requires community critical mass</w:t>
      </w:r>
    </w:p>
    <w:p>
      <w:pPr>
        <w:pStyle w:val="ListParagraph"/>
        <w:numPr>
          <w:ilvl w:val="0"/>
          <w:numId w:val="3"/>
        </w:numPr>
        <w:spacing w:after="60" w:before="60"/>
      </w:pPr>
      <w:r>
        <w:rPr>
          <w:rFonts w:ascii="Arial" w:cs="Arial" w:eastAsia="Arial" w:hAnsi="Arial"/>
          <w:color w:val="1C1C1C"/>
          <w:sz w:val="22"/>
          <w:szCs w:val="22"/>
        </w:rPr>
        <w:t xml:space="preserve">ArcGIS feature layer endpoint — single implementation, high institutional value</w:t>
      </w:r>
    </w:p>
    <w:p>
      <w:pPr>
        <w:pStyle w:val="ListParagraph"/>
        <w:numPr>
          <w:ilvl w:val="0"/>
          <w:numId w:val="3"/>
        </w:numPr>
        <w:spacing w:after="60" w:before="60"/>
      </w:pPr>
      <w:r>
        <w:rPr>
          <w:rFonts w:ascii="Arial" w:cs="Arial" w:eastAsia="Arial" w:hAnsi="Arial"/>
          <w:color w:val="1C1C1C"/>
          <w:sz w:val="22"/>
          <w:szCs w:val="22"/>
        </w:rPr>
        <w:t xml:space="preserve">QGIS plugin — v2, after API is stable</w:t>
      </w:r>
    </w:p>
    <w:p>
      <w:pPr>
        <w:pBdr>
          <w:bottom w:val="single" w:color="5C7A4E" w:sz="6" w:space="1"/>
        </w:pBdr>
        <w:spacing w:after="280" w:before="280"/>
      </w:pPr>
    </w:p>
    <w:p>
      <w:pPr>
        <w:spacing w:after="120" w:before="400"/>
        <w:jc w:val="center"/>
      </w:pPr>
      <w:r>
        <w:rPr>
          <w:rFonts w:ascii="Arial" w:cs="Arial" w:eastAsia="Arial" w:hAnsi="Arial"/>
          <w:i/>
          <w:iCs/>
          <w:color w:val="7A8A72"/>
          <w:sz w:val="22"/>
          <w:szCs w:val="22"/>
        </w:rPr>
        <w:t xml:space="preserve">End of Spec</w:t>
      </w:r>
    </w:p>
    <w:p>
      <w:pPr>
        <w:spacing w:after="0" w:before="0"/>
        <w:jc w:val="center"/>
      </w:pPr>
      <w:r>
        <w:rPr>
          <w:rFonts w:ascii="Arial" w:cs="Arial" w:eastAsia="Arial" w:hAnsi="Arial"/>
          <w:color w:val="7A8A72"/>
          <w:sz w:val="18"/>
          <w:szCs w:val="18"/>
        </w:rPr>
        <w:t xml:space="preserve">digby.rocks —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C7A4E" w:sz="4" w:space="4"/>
      </w:pBdr>
      <w:spacing w:before="120"/>
      <w:jc w:val="center"/>
    </w:pPr>
    <w:r>
      <w:rPr>
        <w:rFonts w:ascii="Arial" w:cs="Arial" w:eastAsia="Arial" w:hAnsi="Arial"/>
        <w:color w:val="7A8A72"/>
        <w:sz w:val="18"/>
        <w:szCs w:val="18"/>
      </w:rPr>
      <w:t xml:space="preserve">May 2026  —  Page </w:t>
    </w:r>
    <w:r>
      <w:rPr>
        <w:rFonts w:ascii="Arial" w:cs="Arial" w:eastAsia="Arial" w:hAnsi="Arial"/>
        <w:color w:val="7A8A7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C7A4E" w:sz="4" w:space="4"/>
      </w:pBdr>
      <w:spacing w:after="120"/>
    </w:pPr>
    <w:r>
      <w:rPr>
        <w:rFonts w:ascii="Arial" w:cs="Arial" w:eastAsia="Arial" w:hAnsi="Arial"/>
        <w:b/>
        <w:bCs/>
        <w:color w:val="1C1C1C"/>
        <w:sz w:val="20"/>
        <w:szCs w:val="20"/>
      </w:rPr>
      <w:t xml:space="preserve">digby.rocks</w:t>
    </w:r>
    <w:r>
      <w:rPr>
        <w:rFonts w:ascii="Arial" w:cs="Arial" w:eastAsia="Arial" w:hAnsi="Arial"/>
        <w:color w:val="7A8A72"/>
        <w:sz w:val="20"/>
        <w:szCs w:val="20"/>
      </w:rPr>
      <w:t xml:space="preserve">  —  Legacy &amp; Senior Audience Features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520"/>
      <w:outlineLvl w:val="0"/>
    </w:pPr>
    <w:rPr>
      <w:rFonts w:ascii="Arial" w:cs="Arial" w:eastAsia="Arial" w:hAnsi="Arial"/>
      <w:b/>
      <w:bCs/>
      <w:color w:val="1C1C1C"/>
      <w:sz w:val="34"/>
      <w:szCs w:val="34"/>
    </w:rPr>
  </w:style>
  <w:style w:type="paragraph" w:styleId="Heading2">
    <w:name w:val="Heading 2"/>
    <w:basedOn w:val="Normal"/>
    <w:next w:val="Normal"/>
    <w:qFormat/>
    <w:pPr>
      <w:spacing w:after="130" w:before="340"/>
      <w:outlineLvl w:val="1"/>
    </w:pPr>
    <w:rPr>
      <w:rFonts w:ascii="Arial" w:cs="Arial" w:eastAsia="Arial" w:hAnsi="Arial"/>
      <w:b/>
      <w:bCs/>
      <w:color w:val="5C7A4E"/>
      <w:sz w:val="27"/>
      <w:szCs w:val="27"/>
    </w:rPr>
  </w:style>
  <w:style w:type="paragraph" w:styleId="Heading3">
    <w:name w:val="Heading 3"/>
    <w:basedOn w:val="Normal"/>
    <w:next w:val="Normal"/>
    <w:qFormat/>
    <w:pPr>
      <w:spacing w:after="100" w:before="240"/>
      <w:outlineLvl w:val="2"/>
    </w:pPr>
    <w:rPr>
      <w:rFonts w:ascii="Arial" w:cs="Arial" w:eastAsia="Arial" w:hAnsi="Arial"/>
      <w:b/>
      <w:bCs/>
      <w:color w:val="3D4D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2026-05-22T13:37:41.407Z</dcterms:created>
  <dcterms:modified xsi:type="dcterms:W3CDTF">2026-05-22T13:37:41.422Z</dcterms:modified>
</cp:coreProperties>
</file>

<file path=docProps/custom.xml><?xml version="1.0" encoding="utf-8"?>
<Properties xmlns="http://schemas.openxmlformats.org/officeDocument/2006/custom-properties" xmlns:vt="http://schemas.openxmlformats.org/officeDocument/2006/docPropsVTypes"/>
</file>