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44"/>
          <w:szCs w:val="44"/>
        </w:rPr>
        <w:t xml:space="preserve">CURRICULATE</w:t>
      </w:r>
    </w:p>
    <w:p>
      <w:pPr>
        <w:spacing w:after="60"/>
        <w:jc w:val="center"/>
      </w:pPr>
      <w:r>
        <w:rPr>
          <w:rFonts w:ascii="Arial" w:cs="Arial" w:eastAsia="Arial" w:hAnsi="Arial"/>
          <w:sz w:val="28"/>
          <w:szCs w:val="28"/>
        </w:rPr>
        <w:t xml:space="preserve">Project Valuation Assessment</w:t>
      </w:r>
    </w:p>
    <w:p>
      <w:pPr>
        <w:spacing w:after="60"/>
        <w:jc w:val="center"/>
      </w:pPr>
      <w:r>
        <w:rPr>
          <w:rFonts w:ascii="Arial" w:cs="Arial" w:eastAsia="Arial" w:hAnsi="Arial"/>
          <w:i/>
          <w:iCs/>
          <w:color w:val="555555"/>
          <w:sz w:val="24"/>
          <w:szCs w:val="24"/>
        </w:rPr>
        <w:t xml:space="preserve">May 2026 — Updated</w:t>
      </w:r>
    </w:p>
    <w:p>
      <w:pPr>
        <w:spacing w:after="360"/>
        <w:jc w:val="center"/>
      </w:pPr>
      <w:r>
        <w:rPr>
          <w:rFonts w:ascii="Arial" w:cs="Arial" w:eastAsia="Arial" w:hAnsi="Arial"/>
          <w:sz w:val="22"/>
          <w:szCs w:val="22"/>
        </w:rPr>
        <w:t xml:space="preserve">Two-product platform: </w:t>
      </w:r>
      <w:r>
        <w:rPr>
          <w:rFonts w:ascii="Arial" w:cs="Arial" w:eastAsia="Arial" w:hAnsi="Arial"/>
          <w:b/>
          <w:bCs/>
          <w:sz w:val="22"/>
          <w:szCs w:val="22"/>
        </w:rPr>
        <w:t xml:space="preserve">Curriculate</w:t>
      </w:r>
      <w:r>
        <w:rPr>
          <w:rFonts w:ascii="Arial" w:cs="Arial" w:eastAsia="Arial" w:hAnsi="Arial"/>
          <w:sz w:val="22"/>
          <w:szCs w:val="22"/>
        </w:rPr>
        <w:t xml:space="preserve"> (live AI station-based learning) + </w:t>
      </w:r>
      <w:r>
        <w:rPr>
          <w:rFonts w:ascii="Arial" w:cs="Arial" w:eastAsia="Arial" w:hAnsi="Arial"/>
          <w:b/>
          <w:bCs/>
          <w:sz w:val="22"/>
          <w:szCs w:val="22"/>
        </w:rPr>
        <w:t xml:space="preserve">Pulse Grading</w:t>
      </w:r>
      <w:r>
        <w:rPr>
          <w:rFonts w:ascii="Arial" w:cs="Arial" w:eastAsia="Arial" w:hAnsi="Arial"/>
          <w:sz w:val="22"/>
          <w:szCs w:val="22"/>
        </w:rPr>
        <w:t xml:space="preserve"> (AI grading at curriculate.net/grading)</w:t>
      </w:r>
    </w:p>
    <w:p>
      <w:pPr>
        <w:shd w:fill="EFF6FF" w:val="clear"/>
        <w:spacing w:after="240" w:before="100"/>
      </w:pPr>
      <w:r>
        <w:rPr>
          <w:rFonts w:ascii="Arial" w:cs="Arial" w:eastAsia="Arial" w:hAnsi="Arial"/>
          <w:b/>
          <w:bCs/>
          <w:sz w:val="22"/>
          <w:szCs w:val="22"/>
        </w:rPr>
        <w:t xml:space="preserve">What changed since April 2026: </w:t>
      </w:r>
      <w:r>
        <w:rPr>
          <w:rFonts w:ascii="Arial" w:cs="Arial" w:eastAsia="Arial" w:hAnsi="Arial"/>
          <w:sz w:val="22"/>
          <w:szCs w:val="22"/>
        </w:rPr>
        <w:t xml:space="preserve">(1) Pulse Grading is now treated as a co-equal product alongside Curriculate, sharing core infrastructure. (2) A complete class-linking platform layer was built — Edsby roster import/export, persistent student identity, Mode A/B/C session-to-roster reconciliation, streak and progress tracking, per-student improvement trends, student + parent email capture, teacher roster admin. (3) Plan-tier gating is now enforced: PLUS unlocks class linking, PRO unlocks per-student improvement reports. (4) The technical asset valuation has been revised upward to reflect the true codebase size (187K LOC, previously understated). (5) Capacitor mobile wrapper is signed and Play Store-submission-ready. (6) Three months of live Pulse Grading traction data reveals exceptional retention metrics (84.6% repeat-user rate, 65.2% power users at 5+ submissions) — the consolidated fair value range has been revised upward to $4.5M – $11M to reflect this.</w:t>
      </w:r>
    </w:p>
    <w:p>
      <w:pPr>
        <w:pStyle w:val="Heading1"/>
        <w:spacing w:after="200" w:before="400"/>
      </w:pPr>
      <w:r>
        <w:rPr>
          <w:rFonts w:ascii="Arial" w:cs="Arial" w:eastAsia="Arial" w:hAnsi="Arial"/>
          <w:b/>
          <w:bCs/>
          <w:sz w:val="32"/>
          <w:szCs w:val="32"/>
        </w:rPr>
        <w:t xml:space="preserve">Executive Summary</w:t>
      </w:r>
    </w:p>
    <w:p>
      <w:pPr>
        <w:spacing w:after="120" w:line="320"/>
      </w:pPr>
      <w:r>
        <w:rPr>
          <w:rFonts w:ascii="Arial" w:cs="Arial" w:eastAsia="Arial" w:hAnsi="Arial"/>
          <w:sz w:val="22"/>
          <w:szCs w:val="22"/>
        </w:rPr>
        <w:t xml:space="preserve">Curriculate is now a two-product AI-powered learning platform: </w:t>
      </w:r>
      <w:r>
        <w:rPr>
          <w:rFonts w:ascii="Arial" w:cs="Arial" w:eastAsia="Arial" w:hAnsi="Arial"/>
          <w:b/>
          <w:bCs/>
          <w:sz w:val="22"/>
          <w:szCs w:val="22"/>
        </w:rPr>
        <w:t xml:space="preserve">Curriculate</w:t>
      </w:r>
      <w:r>
        <w:rPr>
          <w:rFonts w:ascii="Arial" w:cs="Arial" w:eastAsia="Arial" w:hAnsi="Arial"/>
          <w:sz w:val="22"/>
          <w:szCs w:val="22"/>
        </w:rPr>
        <w:t xml:space="preserve"> runs interactive, station-based, team-based live classroom sessions; </w:t>
      </w:r>
      <w:r>
        <w:rPr>
          <w:rFonts w:ascii="Arial" w:cs="Arial" w:eastAsia="Arial" w:hAnsi="Arial"/>
          <w:b/>
          <w:bCs/>
          <w:sz w:val="22"/>
          <w:szCs w:val="22"/>
        </w:rPr>
        <w:t xml:space="preserve">Pulse Grading</w:t>
      </w:r>
      <w:r>
        <w:rPr>
          <w:rFonts w:ascii="Arial" w:cs="Arial" w:eastAsia="Arial" w:hAnsi="Arial"/>
          <w:sz w:val="22"/>
          <w:szCs w:val="22"/>
        </w:rPr>
        <w:t xml:space="preserve"> (curriculate.net/grading) is an AI-driven grading tool for teachers that handles photo, paste, batch PDF, video, and audio submissions with rubric-matched feedback. The two share a backend, an authentication layer, a billing system, a class-roster system, and now a unified student-identity layer keyed by Edsby Student ID.</w:t>
      </w:r>
    </w:p>
    <w:p>
      <w:pPr>
        <w:spacing w:after="120" w:line="320"/>
      </w:pPr>
      <w:r>
        <w:rPr>
          <w:rFonts w:ascii="Arial" w:cs="Arial" w:eastAsia="Arial" w:hAnsi="Arial"/>
          <w:sz w:val="22"/>
          <w:szCs w:val="22"/>
        </w:rPr>
        <w:t xml:space="preserve">This assessment considers the platform's technical depth, market positioning, revenue model, </w:t>
      </w:r>
      <w:r>
        <w:rPr>
          <w:rFonts w:ascii="Arial" w:cs="Arial" w:eastAsia="Arial" w:hAnsi="Arial"/>
          <w:sz w:val="22"/>
          <w:szCs w:val="22"/>
        </w:rPr>
        <w:t xml:space="preserve">competitive advantages, and now three months of live traction data to arrive at a fair market valuation range. </w:t>
      </w:r>
      <w:r>
        <w:rPr>
          <w:rFonts w:ascii="Arial" w:cs="Arial" w:eastAsia="Arial" w:hAnsi="Arial"/>
          <w:sz w:val="22"/>
          <w:szCs w:val="22"/>
        </w:rPr>
        <w:t xml:space="preserve">Headline result: the consolidated fair-value range is </w:t>
      </w:r>
      <w:r>
        <w:rPr>
          <w:rFonts w:ascii="Arial" w:cs="Arial" w:eastAsia="Arial" w:hAnsi="Arial"/>
          <w:b/>
          <w:bCs/>
          <w:sz w:val="22"/>
          <w:szCs w:val="22"/>
        </w:rPr>
        <w:t xml:space="preserve">$4.5M – $11M USD</w:t>
      </w:r>
      <w:r>
        <w:rPr>
          <w:rFonts w:ascii="Arial" w:cs="Arial" w:eastAsia="Arial" w:hAnsi="Arial"/>
          <w:sz w:val="22"/>
          <w:szCs w:val="22"/>
        </w:rPr>
        <w:t xml:space="preserve">, up from the April estimate of $1.2M – $3.2M. The increase reflects three structural changes — the addition of Pulse Grading as a co-product, the class-linking platform layer, and the corrected technical replacement cost — plus a meaningful upward adjustment for retention metrics that are well above K-12 EdTech norms (84.6% repeat-user rate, 65.2% power users).</w:t>
      </w:r>
    </w:p>
    <w:p>
      <w:pPr>
        <w:pStyle w:val="Heading1"/>
        <w:spacing w:after="200" w:before="400"/>
      </w:pPr>
      <w:r>
        <w:rPr>
          <w:rFonts w:ascii="Arial" w:cs="Arial" w:eastAsia="Arial" w:hAnsi="Arial"/>
          <w:b/>
          <w:bCs/>
          <w:sz w:val="32"/>
          <w:szCs w:val="32"/>
        </w:rPr>
        <w:t xml:space="preserve">Platform Overview</w:t>
      </w:r>
    </w:p>
    <w:p>
      <w:pPr>
        <w:pStyle w:val="Heading2"/>
        <w:spacing w:after="140" w:before="280"/>
      </w:pPr>
      <w:r>
        <w:rPr>
          <w:rFonts w:ascii="Arial" w:cs="Arial" w:eastAsia="Arial" w:hAnsi="Arial"/>
          <w:b/>
          <w:bCs/>
          <w:sz w:val="26"/>
          <w:szCs w:val="26"/>
        </w:rPr>
        <w:t xml:space="preserve">Architecture</w:t>
      </w:r>
    </w:p>
    <w:p>
      <w:pPr>
        <w:spacing w:after="120" w:line="320"/>
      </w:pPr>
      <w:r>
        <w:rPr>
          <w:rFonts w:ascii="Arial" w:cs="Arial" w:eastAsia="Arial" w:hAnsi="Arial"/>
          <w:sz w:val="22"/>
          <w:szCs w:val="22"/>
        </w:rPr>
        <w:t xml:space="preserve">The platform now consists of six production surfaces: (1) a Next.js marketing + Pulse Grading frontend, (2) a React teacher dashboard for Curriculate sessions (Vite), (3) a React student app for joining and playing sessions (Vite), (4) a Node.js + Express backend with Socket.IO for real-time communication, (5) a Capacitor 6 native Android wrapper for the grading tool with a signed AAB ready for Play Store submission, and (6) a shared task-types library used across the React surfaces. Data is persisted in MongoDB. The AI layer uses OpenAI's GPT models for task generation, scoring, narrative reports, and rubric-matched grading.</w:t>
      </w:r>
    </w:p>
    <w:p>
      <w:pPr>
        <w:pStyle w:val="Heading2"/>
        <w:spacing w:after="140" w:before="280"/>
      </w:pPr>
      <w:r>
        <w:rPr>
          <w:rFonts w:ascii="Arial" w:cs="Arial" w:eastAsia="Arial" w:hAnsi="Arial"/>
          <w:b/>
          <w:bCs/>
          <w:sz w:val="26"/>
          <w:szCs w:val="26"/>
        </w:rPr>
        <w:t xml:space="preserve">Codebase Scale (May 2026)</w:t>
      </w:r>
    </w:p>
    <w:p>
      <w:pPr>
        <w:spacing w:after="120" w:line="320"/>
      </w:pPr>
      <w:r>
        <w:rPr>
          <w:rFonts w:ascii="Arial" w:cs="Arial" w:eastAsia="Arial" w:hAnsi="Arial"/>
          <w:sz w:val="22"/>
          <w:szCs w:val="22"/>
        </w:rPr>
        <w:t xml:space="preserve">Excluding node_modules, build artifacts, and git metadata:</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1200"/>
      </w:tblGrid>
      <w:tr>
        <w:tc>
          <w:tcPr>
            <w:tcW w:type="dxa" w:w="3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sz w:val="20"/>
                <w:szCs w:val="20"/>
              </w:rPr>
              <w:t xml:space="preserve">Surface</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Files</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JS / TS / JSX / TSX lines</w:t>
            </w:r>
          </w:p>
        </w:tc>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CSS lines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student-app/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60,107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140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147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52,585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frontend/ (Pulse Grading + marketing)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43,591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1,005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teacher-app/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23,571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206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shared/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6,924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mobile-app/ (Capacitor)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233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right"/>
            </w:pPr>
            <w:r>
              <w:rPr>
                <w:rFonts w:ascii="Arial" w:cs="Arial" w:eastAsia="Arial" w:hAnsi="Arial"/>
                <w:b/>
                <w:bCs/>
                <w:sz w:val="20"/>
                <w:szCs w:val="20"/>
              </w:rPr>
              <w:t xml:space="preserve">431</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right"/>
            </w:pPr>
            <w:r>
              <w:rPr>
                <w:rFonts w:ascii="Arial" w:cs="Arial" w:eastAsia="Arial" w:hAnsi="Arial"/>
                <w:b/>
                <w:bCs/>
                <w:sz w:val="20"/>
                <w:szCs w:val="20"/>
              </w:rPr>
              <w:t xml:space="preserve">187,603</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right"/>
            </w:pPr>
            <w:r>
              <w:rPr>
                <w:rFonts w:ascii="Arial" w:cs="Arial" w:eastAsia="Arial" w:hAnsi="Arial"/>
                <w:b/>
                <w:bCs/>
                <w:sz w:val="20"/>
                <w:szCs w:val="20"/>
              </w:rPr>
              <w:t xml:space="preserve">1,351</w:t>
            </w:r>
          </w:p>
        </w:tc>
      </w:tr>
    </w:tbl>
    <w:p>
      <w:pPr>
        <w:spacing w:after="120" w:line="320"/>
      </w:pPr>
      <w:r>
        <w:rPr>
          <w:rFonts w:ascii="Arial" w:cs="Arial" w:eastAsia="Arial" w:hAnsi="Arial"/>
          <w:sz w:val="22"/>
          <w:szCs w:val="22"/>
        </w:rPr>
        <w:t xml:space="preserve">Plus 1,190 lines of automated tests, 1,403 lines of markdown documentation, 33 Mongoose models, 28 Express route files, 15 controllers, 23+ task-type components, and 10+ AI prompt builders.</w:t>
      </w:r>
    </w:p>
    <w:p>
      <w:pPr>
        <w:pStyle w:val="Heading2"/>
        <w:spacing w:after="140" w:before="280"/>
      </w:pPr>
      <w:r>
        <w:rPr>
          <w:rFonts w:ascii="Arial" w:cs="Arial" w:eastAsia="Arial" w:hAnsi="Arial"/>
          <w:b/>
          <w:bCs/>
          <w:sz w:val="26"/>
          <w:szCs w:val="26"/>
        </w:rPr>
        <w:t xml:space="preserve">Curriculate — Live Station-Based Learning</w:t>
      </w:r>
    </w:p>
    <w:p>
      <w:pPr>
        <w:spacing w:after="120" w:line="320"/>
      </w:pPr>
      <w:r>
        <w:rPr>
          <w:rFonts w:ascii="Arial" w:cs="Arial" w:eastAsia="Arial" w:hAnsi="Arial"/>
          <w:sz w:val="22"/>
          <w:szCs w:val="22"/>
        </w:rPr>
        <w:t xml:space="preserve">23+ task-type components in the student app, real-time Socket.IO orchestration for live scoring, station rotation, mood check-ins, exit feedback, treats / streaks, noise control, mystery-box mode, brainstorm battles, and 60+ feature flags configurable per taskset. AI generates complete tasksets in under 60 seconds from a vocabulary list and topic; the subject-affinity engine ensures task selection matches the academic discipline.</w:t>
      </w:r>
    </w:p>
    <w:p>
      <w:pPr>
        <w:pStyle w:val="Heading2"/>
        <w:spacing w:after="140" w:before="280"/>
      </w:pPr>
      <w:r>
        <w:rPr>
          <w:rFonts w:ascii="Arial" w:cs="Arial" w:eastAsia="Arial" w:hAnsi="Arial"/>
          <w:b/>
          <w:bCs/>
          <w:sz w:val="26"/>
          <w:szCs w:val="26"/>
        </w:rPr>
        <w:t xml:space="preserve">Pulse Grading — AI Grading at curriculate.net/grading</w:t>
      </w:r>
    </w:p>
    <w:p>
      <w:pPr>
        <w:spacing w:after="120" w:line="320"/>
      </w:pPr>
      <w:r>
        <w:rPr>
          <w:rFonts w:ascii="Arial" w:cs="Arial" w:eastAsia="Arial" w:hAnsi="Arial"/>
          <w:sz w:val="22"/>
          <w:szCs w:val="22"/>
        </w:rPr>
        <w:t xml:space="preserve">Five input modes: photo, paste, batch PDF, video, and audio. 13 feedback voices, per-question audit toggle, rigorous-review modifier, freeform/handwritten classification, rubric override (paste / upload PDF or DOCX / auto-detect from photos), saved rubrics, per-student strictness adjustment, batch PDF grading with AI page classification, dedicated rotation-handling endpoint, and CurricQR-coded student PDF reports. Edsby CSV export and per-student Edsby Student ID matching are now first-class features.</w:t>
      </w:r>
    </w:p>
    <w:p>
      <w:pPr>
        <w:pStyle w:val="Heading2"/>
        <w:spacing w:after="140" w:before="280"/>
      </w:pPr>
      <w:r>
        <w:rPr>
          <w:rFonts w:ascii="Arial" w:cs="Arial" w:eastAsia="Arial" w:hAnsi="Arial"/>
          <w:b/>
          <w:bCs/>
          <w:sz w:val="26"/>
          <w:szCs w:val="26"/>
        </w:rPr>
        <w:t xml:space="preserve">Class Linking Platform — May 2026</w:t>
      </w:r>
    </w:p>
    <w:p>
      <w:pPr>
        <w:spacing w:after="120" w:line="320"/>
      </w:pPr>
      <w:r>
        <w:rPr>
          <w:rFonts w:ascii="Arial" w:cs="Arial" w:eastAsia="Arial" w:hAnsi="Arial"/>
          <w:sz w:val="22"/>
          <w:szCs w:val="22"/>
        </w:rPr>
        <w:t xml:space="preserve">A unified, two-product feature set built on a single StudentContact identity layer keyed by Edsby Student ID:</w:t>
      </w:r>
    </w:p>
    <w:p>
      <w:pPr>
        <w:pStyle w:val="ListParagraph"/>
        <w:numPr>
          <w:ilvl w:val="0"/>
          <w:numId w:val="2"/>
        </w:numPr>
      </w:pPr>
      <w:r>
        <w:rPr>
          <w:rFonts w:ascii="Arial" w:cs="Arial" w:eastAsia="Arial" w:hAnsi="Arial"/>
          <w:sz w:val="22"/>
          <w:szCs w:val="22"/>
        </w:rPr>
        <w:t xml:space="preserve">Three-mode session-to-roster reconciliation (Mode A: no roster, Mode B: class-bound at launch or via sub-teacher share link, Mode C: post-hoc Match-a-Session tool).</w:t>
      </w:r>
    </w:p>
    <w:p>
      <w:pPr>
        <w:pStyle w:val="ListParagraph"/>
        <w:numPr>
          <w:ilvl w:val="0"/>
          <w:numId w:val="2"/>
        </w:numPr>
      </w:pPr>
      <w:r>
        <w:rPr>
          <w:rFonts w:ascii="Arial" w:cs="Arial" w:eastAsia="Arial" w:hAnsi="Arial"/>
          <w:sz w:val="22"/>
          <w:szCs w:val="22"/>
        </w:rPr>
        <w:t xml:space="preserve">Roster-based name selection on the student join screen, with server-side identity validation that strips spoofed Edsby IDs.</w:t>
      </w:r>
    </w:p>
    <w:p>
      <w:pPr>
        <w:pStyle w:val="ListParagraph"/>
        <w:numPr>
          <w:ilvl w:val="0"/>
          <w:numId w:val="2"/>
        </w:numPr>
      </w:pPr>
      <w:r>
        <w:rPr>
          <w:rFonts w:ascii="Arial" w:cs="Arial" w:eastAsia="Arial" w:hAnsi="Arial"/>
          <w:sz w:val="22"/>
          <w:szCs w:val="22"/>
        </w:rPr>
        <w:t xml:space="preserve">Per-student streak + progress tracking with running totals, longest-streak record, and last-N-sessions ledger.</w:t>
      </w:r>
    </w:p>
    <w:p>
      <w:pPr>
        <w:pStyle w:val="ListParagraph"/>
        <w:numPr>
          <w:ilvl w:val="0"/>
          <w:numId w:val="2"/>
        </w:numPr>
      </w:pPr>
      <w:r>
        <w:rPr>
          <w:rFonts w:ascii="Arial" w:cs="Arial" w:eastAsia="Arial" w:hAnsi="Arial"/>
          <w:sz w:val="22"/>
          <w:szCs w:val="22"/>
        </w:rPr>
        <w:t xml:space="preserve">Per-student improvement trend column (PRO tier) showing change vs. last session and vs. session-history average, in both the gradebook table and individual one-pager PDFs.</w:t>
      </w:r>
    </w:p>
    <w:p>
      <w:pPr>
        <w:pStyle w:val="ListParagraph"/>
        <w:numPr>
          <w:ilvl w:val="0"/>
          <w:numId w:val="2"/>
        </w:numPr>
      </w:pPr>
      <w:r>
        <w:rPr>
          <w:rFonts w:ascii="Arial" w:cs="Arial" w:eastAsia="Arial" w:hAnsi="Arial"/>
          <w:sz w:val="22"/>
          <w:szCs w:val="22"/>
        </w:rPr>
        <w:t xml:space="preserve">Student email capture at first link (required prompt) plus end-of-session parent email prompt, with explicit-decline tracking so the prompt never re-fires for the same student.</w:t>
      </w:r>
    </w:p>
    <w:p>
      <w:pPr>
        <w:pStyle w:val="ListParagraph"/>
        <w:numPr>
          <w:ilvl w:val="0"/>
          <w:numId w:val="2"/>
        </w:numPr>
      </w:pPr>
      <w:r>
        <w:rPr>
          <w:rFonts w:ascii="Arial" w:cs="Arial" w:eastAsia="Arial" w:hAnsi="Arial"/>
          <w:sz w:val="22"/>
          <w:szCs w:val="22"/>
        </w:rPr>
        <w:t xml:space="preserve">Teacher-side roster admin section in the Profile: edit any student or parent email, bulk-save, with row-level dirty-state highlighting and validation.</w:t>
      </w:r>
    </w:p>
    <w:p>
      <w:pPr>
        <w:pStyle w:val="ListParagraph"/>
        <w:numPr>
          <w:ilvl w:val="0"/>
          <w:numId w:val="2"/>
        </w:numPr>
      </w:pPr>
      <w:r>
        <w:rPr>
          <w:rFonts w:ascii="Arial" w:cs="Arial" w:eastAsia="Arial" w:hAnsi="Arial"/>
          <w:sz w:val="22"/>
          <w:szCs w:val="22"/>
        </w:rPr>
        <w:t xml:space="preserve">Unified per-student email pipeline: scavenger-hunt session reports and Pulse Grading submission reports both auto-CC the student and the parent at the addresses on file.</w:t>
      </w:r>
    </w:p>
    <w:p>
      <w:pPr>
        <w:pStyle w:val="ListParagraph"/>
        <w:numPr>
          <w:ilvl w:val="0"/>
          <w:numId w:val="2"/>
        </w:numPr>
      </w:pPr>
      <w:r>
        <w:rPr>
          <w:rFonts w:ascii="Arial" w:cs="Arial" w:eastAsia="Arial" w:hAnsi="Arial"/>
          <w:sz w:val="22"/>
          <w:szCs w:val="22"/>
        </w:rPr>
        <w:t xml:space="preserve">Edsby gradebook CSV produced consistently across the live email send, the retry handler, and the Mode C export endpoint — one builder, three call sites.</w:t>
      </w:r>
    </w:p>
    <w:p>
      <w:pPr>
        <w:pStyle w:val="Heading1"/>
        <w:spacing w:after="200" w:before="400"/>
      </w:pPr>
      <w:r>
        <w:rPr>
          <w:rFonts w:ascii="Arial" w:cs="Arial" w:eastAsia="Arial" w:hAnsi="Arial"/>
          <w:b/>
          <w:bCs/>
          <w:sz w:val="32"/>
          <w:szCs w:val="32"/>
        </w:rPr>
        <w:t xml:space="preserve">Technical Asset Valuation (Revised)</w:t>
      </w:r>
    </w:p>
    <w:p>
      <w:pPr>
        <w:spacing w:after="120" w:line="320"/>
      </w:pPr>
      <w:r>
        <w:rPr>
          <w:rFonts w:ascii="Arial" w:cs="Arial" w:eastAsia="Arial" w:hAnsi="Arial"/>
          <w:sz w:val="22"/>
          <w:szCs w:val="22"/>
        </w:rPr>
        <w:t xml:space="preserve">The April 2026 replacement-cost estimate of $840K–$1.47M significantly understated the actual codebase size. With 187,603 lines of source across 431 files, two co-equal products, and a class-linking platform layer, the realistic replacement cost at 2026 fully-loaded engineer rates ($200K–$300K/year all-in for senior US, $100K–$150K offshore) is materially higher.</w:t>
      </w:r>
    </w:p>
    <w:p>
      <w:pPr>
        <w:pStyle w:val="Heading3"/>
        <w:spacing w:after="100" w:before="200"/>
      </w:pPr>
      <w:r>
        <w:rPr>
          <w:rFonts w:ascii="Arial" w:cs="Arial" w:eastAsia="Arial" w:hAnsi="Arial"/>
          <w:b/>
          <w:bCs/>
          <w:sz w:val="22"/>
          <w:szCs w:val="22"/>
        </w:rPr>
        <w:t xml:space="preserve">Component breakdown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1000"/>
      </w:tblGrid>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sz w:val="20"/>
                <w:szCs w:val="20"/>
              </w:rPr>
              <w:t xml:space="preserve">Component</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Eng-months</w:t>
            </w:r>
          </w:p>
        </w:tc>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Replacement cost (USD)</w:t>
            </w:r>
          </w:p>
        </w:tc>
        <w:tc>
          <w:tcPr>
            <w:tcW w:type="dxa" w:w="1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LOC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Curriculate live engine (Socket.IO, room state, 23+ task types)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16–22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$640K – $1.10M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~60K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generation + scoring pipeline (template + sanitizer + validator + diagnose-and-fix)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$240K – $450K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Pulse Grading (5 input modes, voice settings, batch PDF, rotation handling)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8–12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$320K – $600K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~25K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Class linking platform (rosters, identity, Mode A/B/C, contacts, streak, trend, admin)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$160K – $300K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Reporting pipeline (PDF, email templates, per-student reports, Edsby CSV)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$160K – $300K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~9K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Teacher dashboard / live presenter console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$200K – $350K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~24K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Marketing / Pulse Grading frontend (Next.js, SEO, billing 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$120K – $250K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~18K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Mobile app (Capacitor 6 wrapper, signed AAB, native bridge)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1.5–2.5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$60K – $125K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~0.2K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Billing, auth, infrastructure (Stripe, plan tiers, Mongoose models, deploy)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$120K – $200K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 / analytics / diagnostics (panels, logs, sanitize endpoints, outreach)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$80K – $150K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~8K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Tests, prompt engineering, operational learnings, polish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$120K – $250K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~15K</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right"/>
            </w:pPr>
            <w:r>
              <w:rPr>
                <w:rFonts w:ascii="Arial" w:cs="Arial" w:eastAsia="Arial" w:hAnsi="Arial"/>
                <w:b/>
                <w:bCs/>
                <w:sz w:val="20"/>
                <w:szCs w:val="20"/>
              </w:rPr>
              <w:t xml:space="preserve">55–80 months</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right"/>
            </w:pPr>
            <w:r>
              <w:rPr>
                <w:rFonts w:ascii="Arial" w:cs="Arial" w:eastAsia="Arial" w:hAnsi="Arial"/>
                <w:b/>
                <w:bCs/>
                <w:sz w:val="20"/>
                <w:szCs w:val="20"/>
              </w:rPr>
              <w:t xml:space="preserve">$2.2M – $4.1M</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right"/>
            </w:pPr>
            <w:r>
              <w:rPr>
                <w:rFonts w:ascii="Arial" w:cs="Arial" w:eastAsia="Arial" w:hAnsi="Arial"/>
                <w:b/>
                <w:bCs/>
                <w:sz w:val="20"/>
                <w:szCs w:val="20"/>
              </w:rPr>
              <w:t xml:space="preserve">187K</w:t>
            </w:r>
          </w:p>
        </w:tc>
      </w:tr>
    </w:tbl>
    <w:p>
      <w:pPr>
        <w:spacing w:after="120" w:line="320"/>
      </w:pPr>
      <w:r>
        <w:rPr>
          <w:rFonts w:ascii="Arial" w:cs="Arial" w:eastAsia="Arial" w:hAnsi="Arial"/>
          <w:sz w:val="22"/>
          <w:szCs w:val="22"/>
        </w:rPr>
        <w:t xml:space="preserve">Adjusted technical replacement cost: </w:t>
      </w:r>
      <w:r>
        <w:rPr>
          <w:rFonts w:ascii="Arial" w:cs="Arial" w:eastAsia="Arial" w:hAnsi="Arial"/>
          <w:b/>
          <w:bCs/>
          <w:sz w:val="22"/>
          <w:szCs w:val="22"/>
        </w:rPr>
        <w:t xml:space="preserve">$2.2M – $4.1M</w:t>
      </w:r>
      <w:r>
        <w:rPr>
          <w:rFonts w:ascii="Arial" w:cs="Arial" w:eastAsia="Arial" w:hAnsi="Arial"/>
          <w:sz w:val="22"/>
          <w:szCs w:val="22"/>
        </w:rPr>
        <w:t xml:space="preserve">. Adding the embedded product knowledge, AI prompt-engineering iterations, pedagogical design decisions, classroom-tested operational learnings, and the </w:t>
      </w:r>
      <w:r>
        <w:rPr>
          <w:rFonts w:ascii="Arial" w:cs="Arial" w:eastAsia="Arial" w:hAnsi="Arial"/>
          <w:sz w:val="22"/>
          <w:szCs w:val="22"/>
        </w:rPr>
        <w:t xml:space="preserve">year-plus of teacher feedback already absorbed into the codebase: multiply by 1.4x – 1.7x. </w:t>
      </w:r>
      <w:r>
        <w:rPr>
          <w:rFonts w:ascii="Arial" w:cs="Arial" w:eastAsia="Arial" w:hAnsi="Arial"/>
          <w:sz w:val="22"/>
          <w:szCs w:val="22"/>
        </w:rPr>
        <w:t xml:space="preserve">Adjusted cost-based valuation: </w:t>
      </w:r>
      <w:r>
        <w:rPr>
          <w:rFonts w:ascii="Arial" w:cs="Arial" w:eastAsia="Arial" w:hAnsi="Arial"/>
          <w:b/>
          <w:bCs/>
          <w:sz w:val="22"/>
          <w:szCs w:val="22"/>
        </w:rPr>
        <w:t xml:space="preserve">$3.1M – $7.0M</w:t>
      </w:r>
      <w:r>
        <w:rPr>
          <w:rFonts w:ascii="Arial" w:cs="Arial" w:eastAsia="Arial" w:hAnsi="Arial"/>
          <w:sz w:val="22"/>
          <w:szCs w:val="22"/>
        </w:rPr>
        <w:t xml:space="preserve">.</w:t>
      </w:r>
    </w:p>
    <w:p>
      <w:pPr>
        <w:pStyle w:val="Heading1"/>
        <w:spacing w:after="200" w:before="400"/>
      </w:pPr>
      <w:r>
        <w:rPr>
          <w:rFonts w:ascii="Arial" w:cs="Arial" w:eastAsia="Arial" w:hAnsi="Arial"/>
          <w:b/>
          <w:bCs/>
          <w:sz w:val="32"/>
          <w:szCs w:val="32"/>
        </w:rPr>
        <w:t xml:space="preserve">Market Analysis</w:t>
      </w:r>
    </w:p>
    <w:p>
      <w:pPr>
        <w:pStyle w:val="Heading2"/>
        <w:spacing w:after="140" w:before="280"/>
      </w:pPr>
      <w:r>
        <w:rPr>
          <w:rFonts w:ascii="Arial" w:cs="Arial" w:eastAsia="Arial" w:hAnsi="Arial"/>
          <w:b/>
          <w:bCs/>
          <w:sz w:val="26"/>
          <w:szCs w:val="26"/>
        </w:rPr>
        <w:t xml:space="preserve">Total Addressable Market</w:t>
      </w:r>
    </w:p>
    <w:p>
      <w:pPr>
        <w:spacing w:after="120" w:line="320"/>
      </w:pPr>
      <w:r>
        <w:rPr>
          <w:rFonts w:ascii="Arial" w:cs="Arial" w:eastAsia="Arial" w:hAnsi="Arial"/>
          <w:sz w:val="22"/>
          <w:szCs w:val="22"/>
        </w:rPr>
        <w:t xml:space="preserve">The global EdTech market is projected at $400B+ by 2027. The specific segments addressed include classroom engagement tools ($8–12B), formative assessment platforms ($5–8B), AI lesson-planning tools ($2–4B), AI grading and feedback tools ($3–6B, growing fast), and corporate team-building / event platforms ($3–5B). Combined serviceable addressable market: approximately $21–35B.</w:t>
      </w:r>
    </w:p>
    <w:p>
      <w:pPr>
        <w:pStyle w:val="Heading2"/>
        <w:spacing w:after="140" w:before="280"/>
      </w:pPr>
      <w:r>
        <w:rPr>
          <w:rFonts w:ascii="Arial" w:cs="Arial" w:eastAsia="Arial" w:hAnsi="Arial"/>
          <w:b/>
          <w:bCs/>
          <w:sz w:val="26"/>
          <w:szCs w:val="26"/>
        </w:rPr>
        <w:t xml:space="preserve">Competitive Landscape</w:t>
      </w:r>
    </w:p>
    <w:p>
      <w:pPr>
        <w:spacing w:after="120" w:line="320"/>
      </w:pPr>
      <w:r>
        <w:rPr>
          <w:rFonts w:ascii="Arial" w:cs="Arial" w:eastAsia="Arial" w:hAnsi="Arial"/>
          <w:b/>
          <w:bCs/>
          <w:sz w:val="22"/>
          <w:szCs w:val="22"/>
        </w:rPr>
        <w:t xml:space="preserve">Live engagement (Curriculate side):</w:t>
      </w:r>
      <w:r>
        <w:rPr>
          <w:rFonts w:ascii="Arial" w:cs="Arial" w:eastAsia="Arial" w:hAnsi="Arial"/>
          <w:sz w:val="22"/>
          <w:szCs w:val="22"/>
        </w:rPr>
        <w:t xml:space="preserve"> Kahoot, Quizlet, Gimkit, Blooket, Quizizz are quiz-centric — limited task-type variety, no station rotation, no movement tasks, no AI orchestration of pacing. Curriculate covers 23+ task components vs their 3–5.</w:t>
      </w:r>
    </w:p>
    <w:p>
      <w:pPr>
        <w:spacing w:after="120" w:line="320"/>
      </w:pPr>
      <w:r>
        <w:rPr>
          <w:rFonts w:ascii="Arial" w:cs="Arial" w:eastAsia="Arial" w:hAnsi="Arial"/>
          <w:b/>
          <w:bCs/>
          <w:sz w:val="22"/>
          <w:szCs w:val="22"/>
        </w:rPr>
        <w:t xml:space="preserve">AI grading (Pulse Grading side):</w:t>
      </w:r>
      <w:r>
        <w:rPr>
          <w:rFonts w:ascii="Arial" w:cs="Arial" w:eastAsia="Arial" w:hAnsi="Arial"/>
          <w:sz w:val="22"/>
          <w:szCs w:val="22"/>
        </w:rPr>
        <w:t xml:space="preserve"> GradeAI, EssayGrader, MagicSchool AI, Khanmigo. Most are single-input (paste-only) with limited rubric handling. Pulse Grading's photo + batch PDF + video + audio coverage and the Edsby gradebook export pipeline are differentiators that competitors haven't shipped at parity.</w:t>
      </w:r>
    </w:p>
    <w:p>
      <w:pPr>
        <w:spacing w:after="120" w:line="320"/>
      </w:pPr>
      <w:r>
        <w:rPr>
          <w:rFonts w:ascii="Arial" w:cs="Arial" w:eastAsia="Arial" w:hAnsi="Arial"/>
          <w:b/>
          <w:bCs/>
          <w:sz w:val="22"/>
          <w:szCs w:val="22"/>
        </w:rPr>
        <w:t xml:space="preserve">LMS adjacency:</w:t>
      </w:r>
      <w:r>
        <w:rPr>
          <w:rFonts w:ascii="Arial" w:cs="Arial" w:eastAsia="Arial" w:hAnsi="Arial"/>
          <w:sz w:val="22"/>
          <w:szCs w:val="22"/>
        </w:rPr>
        <w:t xml:space="preserve"> Google Classroom, Canvas, Edsby itself — these are document-and-grade pipelines, not real-time interactive activities. Curriculate complements rather than replaces them; the new Edsby roster integration positions Curriculate as a value-add inside the Edsby ecosystem rather than a competitor.</w:t>
      </w:r>
    </w:p>
    <w:p>
      <w:pPr>
        <w:spacing w:after="120" w:line="320"/>
      </w:pPr>
      <w:r>
        <w:rPr>
          <w:rFonts w:ascii="Arial" w:cs="Arial" w:eastAsia="Arial" w:hAnsi="Arial"/>
          <w:b/>
          <w:bCs/>
          <w:sz w:val="22"/>
          <w:szCs w:val="22"/>
        </w:rPr>
        <w:t xml:space="preserve">Presentation tools:</w:t>
      </w:r>
      <w:r>
        <w:rPr>
          <w:rFonts w:ascii="Arial" w:cs="Arial" w:eastAsia="Arial" w:hAnsi="Arial"/>
          <w:sz w:val="22"/>
          <w:szCs w:val="22"/>
        </w:rPr>
        <w:t xml:space="preserve"> Nearpod, Pear Deck — slide-driven response collection, not station rotation, no AI orchestration.</w:t>
      </w:r>
    </w:p>
    <w:p>
      <w:pPr>
        <w:pStyle w:val="Heading2"/>
        <w:spacing w:after="140" w:before="280"/>
      </w:pPr>
      <w:r>
        <w:rPr>
          <w:rFonts w:ascii="Arial" w:cs="Arial" w:eastAsia="Arial" w:hAnsi="Arial"/>
          <w:b/>
          <w:bCs/>
          <w:sz w:val="26"/>
          <w:szCs w:val="26"/>
        </w:rPr>
        <w:t xml:space="preserve">Unique Market Position</w:t>
      </w:r>
    </w:p>
    <w:p>
      <w:pPr>
        <w:spacing w:after="120" w:line="320"/>
      </w:pPr>
      <w:r>
        <w:rPr>
          <w:rFonts w:ascii="Arial" w:cs="Arial" w:eastAsia="Arial" w:hAnsi="Arial"/>
          <w:sz w:val="22"/>
          <w:szCs w:val="22"/>
        </w:rPr>
        <w:t xml:space="preserve">Curriculate now occupies a four-way intersection that no competitor covers: AI-powered lesson planning + physical station rotation + real-time team-based gameplay + automated reporting with native Edsby gradebook export. The Pulse Grading product widens the wedge into the AI-grading category. The class-linking layer is genuinely novel — most engagement tools never bother with persistent student identity; most grading tools never bother with team gameplay. Having both under one roof on one identity layer is the moat.</w:t>
      </w:r>
    </w:p>
    <w:p>
      <w:pPr>
        <w:pStyle w:val="Heading1"/>
        <w:spacing w:after="200" w:before="400"/>
      </w:pPr>
      <w:r>
        <w:rPr>
          <w:rFonts w:ascii="Arial" w:cs="Arial" w:eastAsia="Arial" w:hAnsi="Arial"/>
          <w:b/>
          <w:bCs/>
          <w:sz w:val="32"/>
          <w:szCs w:val="32"/>
        </w:rPr>
        <w:t xml:space="preserve">Traction Update — May 2026 (3 Months In)</w:t>
      </w:r>
    </w:p>
    <w:p>
      <w:pPr>
        <w:spacing w:after="120" w:line="320"/>
      </w:pPr>
      <w:r>
        <w:rPr>
          <w:rFonts w:ascii="Arial" w:cs="Arial" w:eastAsia="Arial" w:hAnsi="Arial"/>
          <w:sz w:val="22"/>
          <w:szCs w:val="22"/>
        </w:rPr>
        <w:t xml:space="preserve">Three months after launching Pulse Grading, dashboard analytics show usage and retention metrics that materially exceed K-12 EdTech norms. The data argues for a higher conversion-rate assumption in revenue projections and a higher valuation multiple than the cost-based methodology alone would justify.</w:t>
      </w:r>
    </w:p>
    <w:p>
      <w:pPr>
        <w:pStyle w:val="Heading2"/>
        <w:spacing w:after="140" w:before="280"/>
      </w:pPr>
      <w:r>
        <w:rPr>
          <w:rFonts w:ascii="Arial" w:cs="Arial" w:eastAsia="Arial" w:hAnsi="Arial"/>
          <w:b/>
          <w:bCs/>
          <w:sz w:val="26"/>
          <w:szCs w:val="26"/>
        </w:rPr>
        <w:t xml:space="preserve">Headline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400"/>
      </w:tblGrid>
      <w:tr>
        <w:tc>
          <w:tcPr>
            <w:tcW w:type="dxa" w:w="3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Value</w:t>
            </w:r>
          </w:p>
        </w:tc>
        <w:tc>
          <w:tcPr>
            <w:tcW w:type="dxa" w:w="4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sz w:val="20"/>
                <w:szCs w:val="20"/>
              </w:rPr>
              <w:t xml:space="preserve">Read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submissions (cumulative)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5,452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Real workflow volume — not novelty traffic.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Submissions in last 30 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3,856</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 graded submissions per active teacher per 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Unique users (all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290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Of these, 273 are active in the last 30 days — almost no churn from the cumulative-tried base.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Active users (30d)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273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Monthly Active Users — the conversion denominator.</w:t>
            </w:r>
          </w:p>
        </w:tc>
      </w:tr>
      <w:tr>
        <w:tc>
          <w:tcPr>
            <w:tcW w:type="dxa" w:w="30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left"/>
            </w:pPr>
            <w:r>
              <w:rPr>
                <w:rFonts w:ascii="Arial" w:cs="Arial" w:eastAsia="Arial" w:hAnsi="Arial"/>
                <w:b/>
                <w:bCs/>
                <w:sz w:val="20"/>
                <w:szCs w:val="20"/>
              </w:rPr>
              <w:t xml:space="preserve">Repeat-user rate (30d)</w:t>
            </w:r>
          </w:p>
        </w:tc>
        <w:tc>
          <w:tcPr>
            <w:tcW w:type="dxa" w:w="18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right"/>
            </w:pPr>
            <w:r>
              <w:rPr>
                <w:rFonts w:ascii="Arial" w:cs="Arial" w:eastAsia="Arial" w:hAnsi="Arial"/>
                <w:b/>
                <w:bCs/>
                <w:sz w:val="20"/>
                <w:szCs w:val="20"/>
              </w:rPr>
              <w:t xml:space="preserve">84.6%</w:t>
            </w:r>
          </w:p>
        </w:tc>
        <w:tc>
          <w:tcPr>
            <w:tcW w:type="dxa" w:w="44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Industry typical for K-12 workflow tools: 50–65%. This is far above the norm.</w:t>
            </w:r>
          </w:p>
        </w:tc>
      </w:tr>
      <w:tr>
        <w:tc>
          <w:tcPr>
            <w:tcW w:type="dxa" w:w="30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left"/>
            </w:pPr>
            <w:r>
              <w:rPr>
                <w:rFonts w:ascii="Arial" w:cs="Arial" w:eastAsia="Arial" w:hAnsi="Arial"/>
                <w:b/>
                <w:bCs/>
                <w:sz w:val="20"/>
                <w:szCs w:val="20"/>
              </w:rPr>
              <w:t xml:space="preserve">Power-user rate (5+ submissions, 30d)</w:t>
            </w:r>
          </w:p>
        </w:tc>
        <w:tc>
          <w:tcPr>
            <w:tcW w:type="dxa" w:w="18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right"/>
            </w:pPr>
            <w:r>
              <w:rPr>
                <w:rFonts w:ascii="Arial" w:cs="Arial" w:eastAsia="Arial" w:hAnsi="Arial"/>
                <w:b/>
                <w:bCs/>
                <w:sz w:val="20"/>
                <w:szCs w:val="20"/>
              </w:rPr>
              <w:t xml:space="preserve">65.2%</w:t>
            </w:r>
          </w:p>
        </w:tc>
        <w:tc>
          <w:tcPr>
            <w:tcW w:type="dxa" w:w="44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Industry typical: 25–40%. The product is doing real work for the people who try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Submissions today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56</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Daily run rate consistent with 30d total — usage is steady, not declining.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Results published (cumulative)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4,583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Public results pages with persistent URLs.</w:t>
            </w:r>
          </w:p>
        </w:tc>
      </w:tr>
    </w:tbl>
    <w:p>
      <w:pPr>
        <w:pStyle w:val="Heading2"/>
        <w:spacing w:after="140" w:before="280"/>
      </w:pPr>
      <w:r>
        <w:rPr>
          <w:rFonts w:ascii="Arial" w:cs="Arial" w:eastAsia="Arial" w:hAnsi="Arial"/>
          <w:b/>
          <w:bCs/>
          <w:sz w:val="26"/>
          <w:szCs w:val="26"/>
        </w:rPr>
        <w:t xml:space="preserve">What These Numbers Mean</w:t>
      </w:r>
    </w:p>
    <w:p>
      <w:pPr>
        <w:spacing w:after="120" w:line="320"/>
      </w:pPr>
      <w:r>
        <w:rPr>
          <w:rFonts w:ascii="Arial" w:cs="Arial" w:eastAsia="Arial" w:hAnsi="Arial"/>
          <w:sz w:val="22"/>
          <w:szCs w:val="22"/>
        </w:rPr>
        <w:t xml:space="preserve">The retention figures are the most important signal in the dashboard. For K-12 EdTech, repeat-user rates above 80% and power-user rates above 60% are typically seen only in mature, embedded workflow tools (e.g. district-deployed gradebooks). Seeing them at month 3 of a self-serve product, with no enterprise sales motion, indicates strong product-market fit on the Pulse Grading side. This is the metric that buyers and investors anchor on, and it justifies an upward revision of the conversion-rate assumption from the April baseline (1–8% conversion ramp) to a more aggressive 12–18% conversion of MAU once the paywall lands.</w:t>
      </w:r>
    </w:p>
    <w:p>
      <w:pPr>
        <w:spacing w:after="120" w:line="320"/>
      </w:pPr>
      <w:r>
        <w:rPr>
          <w:rFonts w:ascii="Arial" w:cs="Arial" w:eastAsia="Arial" w:hAnsi="Arial"/>
          <w:sz w:val="22"/>
          <w:szCs w:val="22"/>
        </w:rPr>
        <w:t xml:space="preserve">The volume figure — almost one graded submission per active teacher per business day — confirms that Pulse Grading has crossed the threshold from "tool I open occasionally" to "tool in my daily workflow." Tools at that level have low churn risk and high willingness-to-pay.</w:t>
      </w:r>
    </w:p>
    <w:p>
      <w:pPr>
        <w:pStyle w:val="Heading2"/>
        <w:spacing w:after="140" w:before="280"/>
      </w:pPr>
      <w:r>
        <w:rPr>
          <w:rFonts w:ascii="Arial" w:cs="Arial" w:eastAsia="Arial" w:hAnsi="Arial"/>
          <w:b/>
          <w:bCs/>
          <w:sz w:val="26"/>
          <w:szCs w:val="26"/>
        </w:rPr>
        <w:t xml:space="preserve">Open Engagement Gaps</w:t>
      </w:r>
    </w:p>
    <w:p>
      <w:pPr>
        <w:spacing w:after="120" w:line="320"/>
      </w:pPr>
      <w:r>
        <w:rPr>
          <w:rFonts w:ascii="Arial" w:cs="Arial" w:eastAsia="Arial" w:hAnsi="Arial"/>
          <w:sz w:val="22"/>
          <w:szCs w:val="22"/>
        </w:rPr>
        <w:t xml:space="preserve">Three engagement signals currently read zero: progress portal visits via the student dashboard, CurricQR code scans from PDF reports, and email click-through. The most likely explanation is a mix of tracking-not-wired and feature-not-yet-promoted; less likely but possible is that students/parents are not consuming results through these channels at all. Closing these gaps is the single highest-leverage product action in the next 90 days, because the parent-engagement story (and the parent-email infrastructure already built) only delivers if students/parents actually arrive at the result pages.</w:t>
      </w:r>
    </w:p>
    <w:p>
      <w:pPr>
        <w:pStyle w:val="Heading1"/>
        <w:spacing w:after="200" w:before="400"/>
      </w:pPr>
      <w:r>
        <w:rPr>
          <w:rFonts w:ascii="Arial" w:cs="Arial" w:eastAsia="Arial" w:hAnsi="Arial"/>
          <w:b/>
          <w:bCs/>
          <w:sz w:val="32"/>
          <w:szCs w:val="32"/>
        </w:rPr>
        <w:t xml:space="preserve">Revenue Model</w:t>
      </w:r>
    </w:p>
    <w:p>
      <w:pPr>
        <w:pStyle w:val="Heading2"/>
        <w:spacing w:after="140" w:before="280"/>
      </w:pPr>
      <w:r>
        <w:rPr>
          <w:rFonts w:ascii="Arial" w:cs="Arial" w:eastAsia="Arial" w:hAnsi="Arial"/>
          <w:b/>
          <w:bCs/>
          <w:sz w:val="26"/>
          <w:szCs w:val="26"/>
        </w:rPr>
        <w:t xml:space="preserve">Pricing Tiers (May 2026)</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000"/>
      </w:tblGrid>
      <w:tr>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sz w:val="20"/>
                <w:szCs w:val="20"/>
              </w:rPr>
              <w:t xml:space="preserve">Tier</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Monthly USD</w:t>
            </w:r>
          </w:p>
        </w:tc>
        <w:tc>
          <w:tcPr>
            <w:tcW w:type="dxa" w:w="4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sz w:val="20"/>
                <w:szCs w:val="20"/>
              </w:rPr>
              <w:t xml:space="preserve">Includes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AI generation, 23+ task types, station rotation, session summaries, Pulse Grading basics. Capacity-limited.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$6.99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Everything in Free + class linking (Edsby roster import, class-bound launches, sub-link binding, Match-a-Session, roster admin, student + parent email), student-level reports, PDF exports, AI gradebook with strands, XLSX export.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$12.99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Everything in Plus + per-student improvement / trend reports (vs. last session and vs. average), individual one-page student PDFs, expanded AI generation, advanced analytics, full classroom capacity.</w:t>
            </w:r>
          </w:p>
        </w:tc>
      </w:tr>
    </w:tbl>
    <w:p>
      <w:pPr>
        <w:spacing w:after="120" w:line="320"/>
      </w:pPr>
      <w:r>
        <w:rPr>
          <w:rFonts w:ascii="Arial" w:cs="Arial" w:eastAsia="Arial" w:hAnsi="Arial"/>
          <w:sz w:val="22"/>
          <w:szCs w:val="22"/>
        </w:rPr>
        <w:t xml:space="preserve">The new gating creates a clear value-ladder: free teachers get the engagement product, Plus teachers get the gradebook integration that turns one-off sessions into longitudinal data, Pro teachers get the cross-session insight that demonstrates impact to administrators. School-level and district-level annual plans are configured in Stripe (TEACHER_PLUS_MONTHLY, TEACHER_PRO_MONTHLY, SCHOOL_PLUS_YEARLY, SCHOOL_PRO_YEARLY).</w:t>
      </w:r>
    </w:p>
    <w:p>
      <w:pPr>
        <w:pStyle w:val="Heading2"/>
        <w:spacing w:after="140" w:before="280"/>
      </w:pPr>
      <w:r>
        <w:rPr>
          <w:rFonts w:ascii="Arial" w:cs="Arial" w:eastAsia="Arial" w:hAnsi="Arial"/>
          <w:b/>
          <w:bCs/>
          <w:sz w:val="26"/>
          <w:szCs w:val="26"/>
        </w:rPr>
        <w:t xml:space="preserve">12-Month Revenue Projection (Post-Subscription Launch)</w:t>
      </w:r>
    </w:p>
    <w:p>
      <w:pPr>
        <w:spacing w:after="120" w:line="320"/>
      </w:pPr>
      <w:r>
        <w:rPr>
          <w:rFonts w:ascii="Arial" w:cs="Arial" w:eastAsia="Arial" w:hAnsi="Arial"/>
          <w:sz w:val="22"/>
          <w:szCs w:val="22"/>
        </w:rPr>
        <w:t xml:space="preserve">Three scenarios for the 12 months following subscription-tier launch, calibrated against the May 2026 dashboard data (273 MAU, 84.6% repeat rate, 65.2% power-user rate). Conversion-rate assumptions reflect the high retention metrics — power users are the most likely to convert when they hit a paywall they previously didn't, and 65% of MAU sit in that bucket.</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tblGrid>
      <w:tr>
        <w:tc>
          <w:tcPr>
            <w:tcW w:type="dxa" w:w="3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17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Conservative</w:t>
            </w:r>
          </w:p>
        </w:tc>
        <w:tc>
          <w:tcPr>
            <w:tcW w:type="dxa" w:w="17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Likely</w:t>
            </w:r>
          </w:p>
        </w:tc>
        <w:tc>
          <w:tcPr>
            <w:tcW w:type="dxa" w:w="17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Optimistic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MAU at month 12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700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2,500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Conversion to paid (mature)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Paying users at month 12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90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Avg paying users across year (ramp)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Blended monthly ARPU</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$9.00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$9.50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Subscription revenue (12-mo cumulative)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$5,400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$12,540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$27,000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Subscription ARR (exit run-rate, mo 12)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$9,720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$22,800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$54,000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Party / event revenue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$15,000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School / district contracts (1–3 deals)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$25,000</w:t>
            </w:r>
          </w:p>
        </w:tc>
      </w:tr>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sz w:val="20"/>
                <w:szCs w:val="20"/>
              </w:rPr>
              <w:t xml:space="preserve">Total 12-month revenue</w:t>
            </w:r>
          </w:p>
        </w:tc>
        <w:tc>
          <w:tcPr>
            <w:tcW w:type="dxa" w:w="1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right"/>
            </w:pPr>
            <w:r>
              <w:rPr>
                <w:rFonts w:ascii="Arial" w:cs="Arial" w:eastAsia="Arial" w:hAnsi="Arial"/>
                <w:b/>
                <w:bCs/>
                <w:sz w:val="20"/>
                <w:szCs w:val="20"/>
              </w:rPr>
              <w:t xml:space="preserve">$7,400</w:t>
            </w:r>
          </w:p>
        </w:tc>
        <w:tc>
          <w:tcPr>
            <w:tcW w:type="dxa" w:w="1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right"/>
            </w:pPr>
            <w:r>
              <w:rPr>
                <w:rFonts w:ascii="Arial" w:cs="Arial" w:eastAsia="Arial" w:hAnsi="Arial"/>
                <w:b/>
                <w:bCs/>
                <w:sz w:val="20"/>
                <w:szCs w:val="20"/>
              </w:rPr>
              <w:t xml:space="preserve">$22,540</w:t>
            </w:r>
          </w:p>
        </w:tc>
        <w:tc>
          <w:tcPr>
            <w:tcW w:type="dxa" w:w="1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right"/>
            </w:pPr>
            <w:r>
              <w:rPr>
                <w:rFonts w:ascii="Arial" w:cs="Arial" w:eastAsia="Arial" w:hAnsi="Arial"/>
                <w:b/>
                <w:bCs/>
                <w:sz w:val="20"/>
                <w:szCs w:val="20"/>
              </w:rPr>
              <w:t xml:space="preserve">$67,000</w:t>
            </w:r>
          </w:p>
        </w:tc>
      </w:tr>
    </w:tbl>
    <w:p>
      <w:pPr>
        <w:spacing w:after="120" w:line="320"/>
      </w:pPr>
      <w:r>
        <w:rPr>
          <w:rFonts w:ascii="Arial" w:cs="Arial" w:eastAsia="Arial" w:hAnsi="Arial"/>
          <w:b/>
          <w:bCs/>
          <w:sz w:val="22"/>
          <w:szCs w:val="22"/>
        </w:rPr>
        <w:t xml:space="preserve">Single-number 12-month projection: $15K – $25K total</w:t>
      </w:r>
      <w:r>
        <w:rPr>
          <w:rFonts w:ascii="Arial" w:cs="Arial" w:eastAsia="Arial" w:hAnsi="Arial"/>
          <w:sz w:val="22"/>
          <w:szCs w:val="22"/>
        </w:rPr>
        <w:t xml:space="preserve">, weighted toward months 6–12 once the user base compounds and the August back-to-school surge lands. Exit ARR run-rate by month 12: roughly $20K – $30K. The single largest swing factor is the conversion rate in the first paywalled month — the dashboard's 65% power-user share argues for the high end of the conversion range, but the actual number won't be known until the gate has been live for a full month.</w:t>
      </w:r>
    </w:p>
    <w:p>
      <w:pPr>
        <w:pStyle w:val="Heading2"/>
        <w:spacing w:after="140" w:before="280"/>
      </w:pPr>
      <w:r>
        <w:rPr>
          <w:rFonts w:ascii="Arial" w:cs="Arial" w:eastAsia="Arial" w:hAnsi="Arial"/>
          <w:b/>
          <w:bCs/>
          <w:sz w:val="26"/>
          <w:szCs w:val="26"/>
        </w:rPr>
        <w:t xml:space="preserve">3-Year Outlook</w:t>
      </w:r>
    </w:p>
    <w:p>
      <w:pPr>
        <w:spacing w:after="120" w:line="320"/>
      </w:pPr>
      <w:r>
        <w:rPr>
          <w:rFonts w:ascii="Arial" w:cs="Arial" w:eastAsia="Arial" w:hAnsi="Arial"/>
          <w:sz w:val="22"/>
          <w:szCs w:val="22"/>
        </w:rPr>
        <w:t xml:space="preserve">Beyond the first 12 months, the trajectory depends largely on whether a sales motion to schools materializes and whether Pulse Grading's retention metrics hold as the user base scales. Indicative projections: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tblGrid>
      <w:tr>
        <w:tc>
          <w:tcPr>
            <w:tcW w:type="dxa" w:w="3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17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Year 1</w:t>
            </w:r>
          </w:p>
        </w:tc>
        <w:tc>
          <w:tcPr>
            <w:tcW w:type="dxa" w:w="17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Year 2</w:t>
            </w:r>
          </w:p>
        </w:tc>
        <w:tc>
          <w:tcPr>
            <w:tcW w:type="dxa" w:w="17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Year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MAU (year-end)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Paying users (year-end)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700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2,200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Subscription ARR (year-end run-rate)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$23K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$84K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$290K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School / district contracts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$40K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$200K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Party / event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$25K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$80K</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sz w:val="20"/>
                <w:szCs w:val="20"/>
              </w:rPr>
              <w:t xml:space="preserve">Total annual revenue (year)</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right"/>
            </w:pPr>
            <w:r>
              <w:rPr>
                <w:rFonts w:ascii="Arial" w:cs="Arial" w:eastAsia="Arial" w:hAnsi="Arial"/>
                <w:b/>
                <w:bCs/>
                <w:sz w:val="20"/>
                <w:szCs w:val="20"/>
              </w:rPr>
              <w:t xml:space="preserve">$22K</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right"/>
            </w:pPr>
            <w:r>
              <w:rPr>
                <w:rFonts w:ascii="Arial" w:cs="Arial" w:eastAsia="Arial" w:hAnsi="Arial"/>
                <w:b/>
                <w:bCs/>
                <w:sz w:val="20"/>
                <w:szCs w:val="20"/>
              </w:rPr>
              <w:t xml:space="preserve">$170K</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right"/>
            </w:pPr>
            <w:r>
              <w:rPr>
                <w:rFonts w:ascii="Arial" w:cs="Arial" w:eastAsia="Arial" w:hAnsi="Arial"/>
                <w:b/>
                <w:bCs/>
                <w:sz w:val="20"/>
                <w:szCs w:val="20"/>
              </w:rPr>
              <w:t xml:space="preserve">$650K</w:t>
            </w:r>
          </w:p>
        </w:tc>
      </w:tr>
    </w:tbl>
    <w:p>
      <w:pPr>
        <w:spacing w:after="120" w:line="320"/>
      </w:pPr>
      <w:r>
        <w:rPr>
          <w:rFonts w:ascii="Arial" w:cs="Arial" w:eastAsia="Arial" w:hAnsi="Arial"/>
          <w:sz w:val="22"/>
          <w:szCs w:val="22"/>
        </w:rPr>
        <w:t xml:space="preserve">These are conservative projections. The retention metrics observed in May 2026 argue for the upper end of the range. The single largest unknown is whether a school/district sales motion can be activated; if it can, Year 3 revenue could be 2–3× the table above.</w:t>
      </w:r>
    </w:p>
    <w:p>
      <w:pPr>
        <w:pStyle w:val="Heading1"/>
        <w:spacing w:after="200" w:before="400"/>
      </w:pPr>
      <w:r>
        <w:rPr>
          <w:rFonts w:ascii="Arial" w:cs="Arial" w:eastAsia="Arial" w:hAnsi="Arial"/>
          <w:b/>
          <w:bCs/>
          <w:sz w:val="32"/>
          <w:szCs w:val="32"/>
        </w:rPr>
        <w:t xml:space="preserve">Valuation Summary</w:t>
      </w:r>
    </w:p>
    <w:p>
      <w:pPr>
        <w:spacing w:after="120" w:line="320"/>
      </w:pPr>
      <w:r>
        <w:rPr>
          <w:rFonts w:ascii="Arial" w:cs="Arial" w:eastAsia="Arial" w:hAnsi="Arial"/>
          <w:sz w:val="22"/>
          <w:szCs w:val="22"/>
        </w:rPr>
        <w:t xml:space="preserve">Four valuation methodologies are applied. All figures revised upward from April 2026 to reflect the expanded codebase, the addition of Pulse Grading as a co-product, the class-linking platform layer, and the May 2026 traction data.</w:t>
      </w:r>
    </w:p>
    <w:p>
      <w:pPr>
        <w:pStyle w:val="Heading2"/>
        <w:spacing w:after="140" w:before="280"/>
      </w:pPr>
      <w:r>
        <w:rPr>
          <w:rFonts w:ascii="Arial" w:cs="Arial" w:eastAsia="Arial" w:hAnsi="Arial"/>
          <w:b/>
          <w:bCs/>
          <w:sz w:val="26"/>
          <w:szCs w:val="26"/>
        </w:rPr>
        <w:t xml:space="preserve">1. Cost-Based (Replacement Value)</w:t>
      </w:r>
    </w:p>
    <w:p>
      <w:pPr>
        <w:spacing w:after="120" w:line="320"/>
      </w:pPr>
      <w:r>
        <w:rPr>
          <w:rFonts w:ascii="Arial" w:cs="Arial" w:eastAsia="Arial" w:hAnsi="Arial"/>
          <w:sz w:val="22"/>
          <w:szCs w:val="22"/>
        </w:rPr>
        <w:t xml:space="preserve">Technical replacement cost: </w:t>
      </w:r>
      <w:r>
        <w:rPr>
          <w:rFonts w:ascii="Arial" w:cs="Arial" w:eastAsia="Arial" w:hAnsi="Arial"/>
          <w:b/>
          <w:bCs/>
          <w:sz w:val="22"/>
          <w:szCs w:val="22"/>
        </w:rPr>
        <w:t xml:space="preserve">$2.2M – $4.1M</w:t>
      </w:r>
      <w:r>
        <w:rPr>
          <w:rFonts w:ascii="Arial" w:cs="Arial" w:eastAsia="Arial" w:hAnsi="Arial"/>
          <w:sz w:val="22"/>
          <w:szCs w:val="22"/>
        </w:rPr>
        <w:t xml:space="preserve">. With embedded product knowledge, AI prompt iterations, and pedagogical learnings: ×1.4 – ×1.7. </w:t>
      </w:r>
      <w:r>
        <w:rPr>
          <w:rFonts w:ascii="Arial" w:cs="Arial" w:eastAsia="Arial" w:hAnsi="Arial"/>
          <w:sz w:val="22"/>
          <w:szCs w:val="22"/>
        </w:rPr>
        <w:t xml:space="preserve">Cost-based valuation: </w:t>
      </w:r>
      <w:r>
        <w:rPr>
          <w:rFonts w:ascii="Arial" w:cs="Arial" w:eastAsia="Arial" w:hAnsi="Arial"/>
          <w:b/>
          <w:bCs/>
          <w:sz w:val="22"/>
          <w:szCs w:val="22"/>
        </w:rPr>
        <w:t xml:space="preserve">$3.1M – $7.0M</w:t>
      </w:r>
      <w:r>
        <w:rPr>
          <w:rFonts w:ascii="Arial" w:cs="Arial" w:eastAsia="Arial" w:hAnsi="Arial"/>
          <w:sz w:val="22"/>
          <w:szCs w:val="22"/>
        </w:rPr>
        <w:t xml:space="preserve">.</w:t>
      </w:r>
    </w:p>
    <w:p>
      <w:pPr>
        <w:pStyle w:val="Heading2"/>
        <w:spacing w:after="140" w:before="280"/>
      </w:pPr>
      <w:r>
        <w:rPr>
          <w:rFonts w:ascii="Arial" w:cs="Arial" w:eastAsia="Arial" w:hAnsi="Arial"/>
          <w:b/>
          <w:bCs/>
          <w:sz w:val="26"/>
          <w:szCs w:val="26"/>
        </w:rPr>
        <w:t xml:space="preserve">2. Revenue Multiple (SaaS Benchmark)</w:t>
      </w:r>
    </w:p>
    <w:p>
      <w:pPr>
        <w:spacing w:after="120" w:line="320"/>
      </w:pPr>
      <w:r>
        <w:rPr>
          <w:rFonts w:ascii="Arial" w:cs="Arial" w:eastAsia="Arial" w:hAnsi="Arial"/>
          <w:sz w:val="22"/>
          <w:szCs w:val="22"/>
        </w:rPr>
        <w:t xml:space="preserve">K-12 EdTech SaaS in 2026 typically trades at 6–12× ARR for high-growth, AI-enabled platforms with strong workflow integration. </w:t>
      </w:r>
      <w:r>
        <w:rPr>
          <w:rFonts w:ascii="Arial" w:cs="Arial" w:eastAsia="Arial" w:hAnsi="Arial"/>
          <w:sz w:val="22"/>
          <w:szCs w:val="22"/>
        </w:rPr>
        <w:t xml:space="preserve">Year 2 projected ARR of ~$170K at 8×: </w:t>
      </w:r>
      <w:r>
        <w:rPr>
          <w:rFonts w:ascii="Arial" w:cs="Arial" w:eastAsia="Arial" w:hAnsi="Arial"/>
          <w:b/>
          <w:bCs/>
          <w:sz w:val="22"/>
          <w:szCs w:val="22"/>
        </w:rPr>
        <w:t xml:space="preserve">$1.4M</w:t>
      </w:r>
      <w:r>
        <w:rPr>
          <w:rFonts w:ascii="Arial" w:cs="Arial" w:eastAsia="Arial" w:hAnsi="Arial"/>
          <w:sz w:val="22"/>
          <w:szCs w:val="22"/>
        </w:rPr>
        <w:t xml:space="preserve">. Year 3 projected ARR of ~$650K at 7×: </w:t>
      </w:r>
      <w:r>
        <w:rPr>
          <w:rFonts w:ascii="Arial" w:cs="Arial" w:eastAsia="Arial" w:hAnsi="Arial"/>
          <w:b/>
          <w:bCs/>
          <w:sz w:val="22"/>
          <w:szCs w:val="22"/>
        </w:rPr>
        <w:t xml:space="preserve">$4.5M</w:t>
      </w:r>
      <w:r>
        <w:rPr>
          <w:rFonts w:ascii="Arial" w:cs="Arial" w:eastAsia="Arial" w:hAnsi="Arial"/>
          <w:sz w:val="22"/>
          <w:szCs w:val="22"/>
        </w:rPr>
        <w:t xml:space="preserve">. Strategic acquirers (e.g. CoreFour/Edsby, PowerSchool, Renaissance) sometimes pay 8–12× for products that fill specific gaps in their suite — for those buyers, a Year-3 multiple of 10× implies </w:t>
      </w:r>
      <w:r>
        <w:rPr>
          <w:rFonts w:ascii="Arial" w:cs="Arial" w:eastAsia="Arial" w:hAnsi="Arial"/>
          <w:b/>
          <w:bCs/>
          <w:sz w:val="22"/>
          <w:szCs w:val="22"/>
        </w:rPr>
        <w:t xml:space="preserve">$6.5M</w:t>
      </w:r>
      <w:r>
        <w:rPr>
          <w:rFonts w:ascii="Arial" w:cs="Arial" w:eastAsia="Arial" w:hAnsi="Arial"/>
          <w:sz w:val="22"/>
          <w:szCs w:val="22"/>
        </w:rPr>
        <w:t xml:space="preserve">. Note: revenue-multiple methodology is the weakest input given pre-scale ARR; it primarily anchors the lower bound.</w:t>
      </w:r>
    </w:p>
    <w:p>
      <w:pPr>
        <w:pStyle w:val="Heading2"/>
        <w:spacing w:after="140" w:before="280"/>
      </w:pPr>
      <w:r>
        <w:rPr>
          <w:rFonts w:ascii="Arial" w:cs="Arial" w:eastAsia="Arial" w:hAnsi="Arial"/>
          <w:b/>
          <w:bCs/>
          <w:sz w:val="26"/>
          <w:szCs w:val="26"/>
        </w:rPr>
        <w:t xml:space="preserve">3. Comparable Transactions</w:t>
      </w:r>
    </w:p>
    <w:p>
      <w:pPr>
        <w:spacing w:after="120" w:line="320"/>
      </w:pPr>
      <w:r>
        <w:rPr>
          <w:rFonts w:ascii="Arial" w:cs="Arial" w:eastAsia="Arial" w:hAnsi="Arial"/>
          <w:sz w:val="22"/>
          <w:szCs w:val="22"/>
        </w:rPr>
        <w:t xml:space="preserve">Recent EdTech reference points: Gimkit raised $4M seed (2023) with a fraction of the task variety and no AI generation. Formative was acquired in 2022 for an undisclosed amount with comparable feature depth but no live-session product. Pear Deck was acquired by GoGuardian for an estimated $50–100M with a much larger user base but a narrower feature set. EssayGrader and similar AI grading tools have seen seed-stage valuations of $5–15M on minimal traction. At Curriculate's stage — deeper feature set spanning two products, growing self-serve user base, exceptional retention — comparable range: $4.0M – $10.0M.</w:t>
      </w:r>
    </w:p>
    <w:p>
      <w:pPr>
        <w:pStyle w:val="Heading2"/>
        <w:spacing w:after="140" w:before="280"/>
      </w:pPr>
      <w:r>
        <w:rPr>
          <w:rFonts w:ascii="Arial" w:cs="Arial" w:eastAsia="Arial" w:hAnsi="Arial"/>
          <w:b/>
          <w:bCs/>
          <w:sz w:val="26"/>
          <w:szCs w:val="26"/>
        </w:rPr>
        <w:t xml:space="preserve">4. Retention-Adjusted (Traction Premium)</w:t>
      </w:r>
    </w:p>
    <w:p>
      <w:pPr>
        <w:spacing w:after="120" w:line="320"/>
      </w:pPr>
      <w:r>
        <w:rPr>
          <w:rFonts w:ascii="Arial" w:cs="Arial" w:eastAsia="Arial" w:hAnsi="Arial"/>
          <w:sz w:val="22"/>
          <w:szCs w:val="22"/>
        </w:rPr>
        <w:t xml:space="preserve">The May 2026 dashboard data — </w:t>
      </w:r>
      <w:r>
        <w:rPr>
          <w:rFonts w:ascii="Arial" w:cs="Arial" w:eastAsia="Arial" w:hAnsi="Arial"/>
          <w:b/>
          <w:bCs/>
          <w:sz w:val="22"/>
          <w:szCs w:val="22"/>
        </w:rPr>
        <w:t xml:space="preserve">84.6% repeat-user rate, 65.2% power-user rate, 273 MAU growing</w:t>
      </w:r>
      <w:r>
        <w:rPr>
          <w:rFonts w:ascii="Arial" w:cs="Arial" w:eastAsia="Arial" w:hAnsi="Arial"/>
          <w:sz w:val="22"/>
          <w:szCs w:val="22"/>
        </w:rPr>
        <w:t xml:space="preserve"> — places this product in the top decile of K-12 EdTech tools by retention. Buyers and investors apply a meaningful premium to retention-validated assets because the LTV is no longer hypothetical. A retention premium of 1.4×–1.7× over the comparable-transaction methodology is consistent with how strategic acquirers price retention-validated SaaS in this segment. Applied: </w:t>
      </w:r>
      <w:r>
        <w:rPr>
          <w:rFonts w:ascii="Arial" w:cs="Arial" w:eastAsia="Arial" w:hAnsi="Arial"/>
          <w:b/>
          <w:bCs/>
          <w:sz w:val="22"/>
          <w:szCs w:val="22"/>
        </w:rPr>
        <w:t xml:space="preserve">$5.5M – $14M</w:t>
      </w:r>
      <w:r>
        <w:rPr>
          <w:rFonts w:ascii="Arial" w:cs="Arial" w:eastAsia="Arial" w:hAnsi="Arial"/>
          <w:sz w:val="22"/>
          <w:szCs w:val="22"/>
        </w:rPr>
        <w:t xml:space="preserve">. This methodology is given equal weight to the cost-based and comparable-transaction approaches once retention exceeds the K-12 EdTech 80th percentile, which it does.</w:t>
      </w:r>
    </w:p>
    <w:p>
      <w:pPr>
        <w:pStyle w:val="Heading2"/>
        <w:spacing w:after="140" w:before="280"/>
      </w:pPr>
      <w:r>
        <w:rPr>
          <w:rFonts w:ascii="Arial" w:cs="Arial" w:eastAsia="Arial" w:hAnsi="Arial"/>
          <w:b/>
          <w:bCs/>
          <w:sz w:val="26"/>
          <w:szCs w:val="26"/>
        </w:rPr>
        <w:t xml:space="preserve">Consolidated Valuation Range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400"/>
      </w:tblGrid>
      <w:tr>
        <w:tc>
          <w:tcPr>
            <w:tcW w:type="dxa" w:w="4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sz w:val="20"/>
                <w:szCs w:val="20"/>
              </w:rPr>
              <w:t xml:space="preserve">Method</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Low</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right"/>
            </w:pPr>
            <w:r>
              <w:rPr>
                <w:rFonts w:ascii="Arial" w:cs="Arial" w:eastAsia="Arial" w:hAnsi="Arial"/>
                <w:b/>
                <w:bCs/>
                <w:sz w:val="20"/>
                <w:szCs w:val="20"/>
              </w:rPr>
              <w:t xml:space="preserve">High</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Cost-Based (Replacement)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$3,100,000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$7,000,000</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Revenue Multiple (SaaS)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$1,400,000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$6,500,000</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Comparable Transactions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$4,000,000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$10,000,000</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Retention-Adjusted (Traction Premium)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$5,500,000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$14,000,000</w:t>
            </w:r>
          </w:p>
        </w:tc>
      </w:tr>
      <w:tr>
        <w:tc>
          <w:tcPr>
            <w:tcW w:type="dxa" w:w="4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sz w:val="20"/>
                <w:szCs w:val="20"/>
              </w:rPr>
              <w:t xml:space="preserve">BLENDED FAIR VALUE</w:t>
            </w:r>
          </w:p>
        </w:tc>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right"/>
            </w:pPr>
            <w:r>
              <w:rPr>
                <w:rFonts w:ascii="Arial" w:cs="Arial" w:eastAsia="Arial" w:hAnsi="Arial"/>
                <w:b/>
                <w:bCs/>
                <w:sz w:val="20"/>
                <w:szCs w:val="20"/>
              </w:rPr>
              <w:t xml:space="preserve">$4,500,000</w:t>
            </w:r>
          </w:p>
        </w:tc>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right"/>
            </w:pPr>
            <w:r>
              <w:rPr>
                <w:rFonts w:ascii="Arial" w:cs="Arial" w:eastAsia="Arial" w:hAnsi="Arial"/>
                <w:b/>
                <w:bCs/>
                <w:sz w:val="20"/>
                <w:szCs w:val="20"/>
              </w:rPr>
              <w:t xml:space="preserve">$11,000,000</w:t>
            </w:r>
          </w:p>
        </w:tc>
      </w:tr>
    </w:tbl>
    <w:p>
      <w:pPr>
        <w:spacing w:after="120" w:line="320"/>
      </w:pPr>
      <w:r>
        <w:rPr>
          <w:rFonts w:ascii="Arial" w:cs="Arial" w:eastAsia="Arial" w:hAnsi="Arial"/>
          <w:b/>
          <w:bCs/>
          <w:sz w:val="22"/>
          <w:szCs w:val="22"/>
        </w:rPr>
        <w:t xml:space="preserve">Estimated fair market value: $4.5M – $11M USD</w:t>
      </w:r>
      <w:r>
        <w:rPr>
          <w:rFonts w:ascii="Arial" w:cs="Arial" w:eastAsia="Arial" w:hAnsi="Arial"/>
          <w:sz w:val="22"/>
          <w:szCs w:val="22"/>
        </w:rPr>
        <w:t xml:space="preserve">. The lower bound represents a conservative acqui-hire or asset sale to a non-strategic buyer who values the codebase more than the user traction. The upper bound represents a strategic acquisition by an incumbent in the live-engagement, AI-grading, or LMS space (especially CoreFour/Edsby, given the native integration) where the retention metrics anchor a higher LTV assumption and the existing user base provides distribution leverage.</w:t>
      </w:r>
    </w:p>
    <w:p>
      <w:pPr>
        <w:spacing w:after="120" w:line="320"/>
      </w:pPr>
      <w:r>
        <w:rPr>
          <w:rFonts w:ascii="Arial" w:cs="Arial" w:eastAsia="Arial" w:hAnsi="Arial"/>
          <w:sz w:val="22"/>
          <w:szCs w:val="22"/>
        </w:rPr>
        <w:t xml:space="preserve">The traction data is the single most material change since April. Repeat-user rates above 80% and power-user rates above 60% in K-12 EdTech are uncommon enough that a sophisticated buyer would recognize them as the primary signal in the dashboard, more than the absolute MAU number. Tightening this range further requires concrete monthly conversion data once the paywall has been live for 30+ days, plus visibility into MoM MAU growth (the current 1456% MoM figure is amplified by a small denominator — the absolute month-over-month growth, expressed in users added rather than percent, would be the cleaner number).</w:t>
      </w:r>
    </w:p>
    <w:p>
      <w:pPr>
        <w:pStyle w:val="Heading2"/>
        <w:spacing w:after="140" w:before="280"/>
      </w:pPr>
      <w:r>
        <w:rPr>
          <w:rFonts w:ascii="Arial" w:cs="Arial" w:eastAsia="Arial" w:hAnsi="Arial"/>
          <w:b/>
          <w:bCs/>
          <w:sz w:val="26"/>
          <w:szCs w:val="26"/>
        </w:rPr>
        <w:t xml:space="preserve">Risk Factors</w:t>
      </w:r>
    </w:p>
    <w:p>
      <w:pPr>
        <w:pStyle w:val="ListParagraph"/>
        <w:numPr>
          <w:ilvl w:val="0"/>
          <w:numId w:val="2"/>
        </w:numPr>
      </w:pPr>
      <w:r>
        <w:rPr>
          <w:rFonts w:ascii="Arial" w:cs="Arial" w:eastAsia="Arial" w:hAnsi="Arial"/>
          <w:sz w:val="22"/>
          <w:szCs w:val="22"/>
        </w:rPr>
        <w:t xml:space="preserve">Single-developer dependency — key-person risk on the technical side. Codebase complexity has grown to 187K LOC across two products; documentation and CLAUDE.md mitigate but do not eliminate this risk.</w:t>
      </w:r>
    </w:p>
    <w:p>
      <w:pPr>
        <w:pStyle w:val="ListParagraph"/>
        <w:numPr>
          <w:ilvl w:val="0"/>
          <w:numId w:val="2"/>
        </w:numPr>
      </w:pPr>
      <w:r>
        <w:rPr>
          <w:rFonts w:ascii="Arial" w:cs="Arial" w:eastAsia="Arial" w:hAnsi="Arial"/>
          <w:sz w:val="22"/>
          <w:szCs w:val="22"/>
        </w:rPr>
        <w:t xml:space="preserve">Pre-revenue / early-revenue stage — projections are modeled, not proven. The May 2026 work has been verified at the unit level (51/51 tests pass) but not yet load-tested against live MongoDB at scale.</w:t>
      </w:r>
    </w:p>
    <w:p>
      <w:pPr>
        <w:pStyle w:val="ListParagraph"/>
        <w:numPr>
          <w:ilvl w:val="0"/>
          <w:numId w:val="2"/>
        </w:numPr>
      </w:pPr>
      <w:r>
        <w:rPr>
          <w:rFonts w:ascii="Arial" w:cs="Arial" w:eastAsia="Arial" w:hAnsi="Arial"/>
          <w:sz w:val="22"/>
          <w:szCs w:val="22"/>
        </w:rPr>
        <w:t xml:space="preserve">AI cost dependency — generation, scoring, and reporting costs scale with usage. Margin sensitivity to OpenAI pricing changes.</w:t>
      </w:r>
    </w:p>
    <w:p>
      <w:pPr>
        <w:pStyle w:val="ListParagraph"/>
        <w:numPr>
          <w:ilvl w:val="0"/>
          <w:numId w:val="2"/>
        </w:numPr>
      </w:pPr>
      <w:r>
        <w:rPr>
          <w:rFonts w:ascii="Arial" w:cs="Arial" w:eastAsia="Arial" w:hAnsi="Arial"/>
          <w:sz w:val="22"/>
          <w:szCs w:val="22"/>
        </w:rPr>
        <w:t xml:space="preserve">Market education required for the live-station product — station-based learning is not yet mainstream digital. Pulse Grading does not have this barrier.</w:t>
      </w:r>
    </w:p>
    <w:p>
      <w:pPr>
        <w:pStyle w:val="ListParagraph"/>
        <w:numPr>
          <w:ilvl w:val="0"/>
          <w:numId w:val="2"/>
        </w:numPr>
      </w:pPr>
      <w:r>
        <w:rPr>
          <w:rFonts w:ascii="Arial" w:cs="Arial" w:eastAsia="Arial" w:hAnsi="Arial"/>
          <w:sz w:val="22"/>
          <w:szCs w:val="22"/>
        </w:rPr>
        <w:t xml:space="preserve">Competition from well-funded incumbents if they add AI generation features to their existing engagement products. Defensive moat is the breadth + the class-linking + the Edsby integration.</w:t>
      </w:r>
    </w:p>
    <w:p>
      <w:pPr>
        <w:pStyle w:val="ListParagraph"/>
        <w:numPr>
          <w:ilvl w:val="0"/>
          <w:numId w:val="2"/>
        </w:numPr>
      </w:pPr>
      <w:r>
        <w:rPr>
          <w:rFonts w:ascii="Arial" w:cs="Arial" w:eastAsia="Arial" w:hAnsi="Arial"/>
          <w:sz w:val="22"/>
          <w:szCs w:val="22"/>
        </w:rPr>
        <w:t xml:space="preserve">Regulatory / compliance — student data handling under FERPA, COPPA, GDPR. Class-linking adds parent-email collection which expands compliance surface area.</w:t>
      </w:r>
    </w:p>
    <w:p>
      <w:pPr>
        <w:pStyle w:val="Heading2"/>
        <w:spacing w:after="140" w:before="280"/>
      </w:pPr>
      <w:r>
        <w:rPr>
          <w:rFonts w:ascii="Arial" w:cs="Arial" w:eastAsia="Arial" w:hAnsi="Arial"/>
          <w:b/>
          <w:bCs/>
          <w:sz w:val="26"/>
          <w:szCs w:val="26"/>
        </w:rPr>
        <w:t xml:space="preserve">Value Accelerators</w:t>
      </w:r>
    </w:p>
    <w:p>
      <w:pPr>
        <w:pStyle w:val="ListParagraph"/>
        <w:numPr>
          <w:ilvl w:val="0"/>
          <w:numId w:val="2"/>
        </w:numPr>
      </w:pPr>
      <w:r>
        <w:rPr>
          <w:rFonts w:ascii="Arial" w:cs="Arial" w:eastAsia="Arial" w:hAnsi="Arial"/>
          <w:sz w:val="22"/>
          <w:szCs w:val="22"/>
        </w:rPr>
        <w:t xml:space="preserve">Two-product platform with shared infrastructure — economies of scope on every new feature; the class-linking layer was built once and serves both.</w:t>
      </w:r>
    </w:p>
    <w:p>
      <w:pPr>
        <w:pStyle w:val="ListParagraph"/>
        <w:numPr>
          <w:ilvl w:val="0"/>
          <w:numId w:val="2"/>
        </w:numPr>
      </w:pPr>
      <w:r>
        <w:rPr>
          <w:rFonts w:ascii="Arial" w:cs="Arial" w:eastAsia="Arial" w:hAnsi="Arial"/>
          <w:sz w:val="22"/>
          <w:szCs w:val="22"/>
        </w:rPr>
        <w:t xml:space="preserve">Edsby native integration — strategic value to CoreFour and to the Edsby ecosystem more broadly. Edsby has dominant Canadian K-12 share and meaningful US/Australia presence.</w:t>
      </w:r>
    </w:p>
    <w:p>
      <w:pPr>
        <w:pStyle w:val="ListParagraph"/>
        <w:numPr>
          <w:ilvl w:val="0"/>
          <w:numId w:val="2"/>
        </w:numPr>
      </w:pPr>
      <w:r>
        <w:rPr>
          <w:rFonts w:ascii="Arial" w:cs="Arial" w:eastAsia="Arial" w:hAnsi="Arial"/>
          <w:sz w:val="22"/>
          <w:szCs w:val="22"/>
        </w:rPr>
        <w:t xml:space="preserve">Per-student persistent identity (StudentContact keyed by Edsby ID) creates the foundation for longitudinal analytics, parent engagement, and any future product expansion (e.g. student-facing portfolio, parent dashboard, district-level reporting).</w:t>
      </w:r>
    </w:p>
    <w:p>
      <w:pPr>
        <w:pStyle w:val="ListParagraph"/>
        <w:numPr>
          <w:ilvl w:val="0"/>
          <w:numId w:val="2"/>
        </w:numPr>
      </w:pPr>
      <w:r>
        <w:rPr>
          <w:rFonts w:ascii="Arial" w:cs="Arial" w:eastAsia="Arial" w:hAnsi="Arial"/>
          <w:sz w:val="22"/>
          <w:szCs w:val="22"/>
        </w:rPr>
        <w:t xml:space="preserve">Plan-tier gating implemented end-to-end — server-enforced, frontend-hidden, with three clear tiers and a value ladder. Reduces churn risk and unlocks defensible premium pricing.</w:t>
      </w:r>
    </w:p>
    <w:p>
      <w:pPr>
        <w:pStyle w:val="ListParagraph"/>
        <w:numPr>
          <w:ilvl w:val="0"/>
          <w:numId w:val="2"/>
        </w:numPr>
      </w:pPr>
      <w:r>
        <w:rPr>
          <w:rFonts w:ascii="Arial" w:cs="Arial" w:eastAsia="Arial" w:hAnsi="Arial"/>
          <w:sz w:val="22"/>
          <w:szCs w:val="22"/>
        </w:rPr>
        <w:t xml:space="preserve">Mobile app submission-ready — distribution channel that most early-stage products defer until much later.</w:t>
      </w:r>
    </w:p>
    <w:p>
      <w:pPr>
        <w:pStyle w:val="ListParagraph"/>
        <w:numPr>
          <w:ilvl w:val="0"/>
          <w:numId w:val="2"/>
        </w:numPr>
      </w:pPr>
      <w:r>
        <w:rPr>
          <w:rFonts w:ascii="Arial" w:cs="Arial" w:eastAsia="Arial" w:hAnsi="Arial"/>
          <w:sz w:val="22"/>
          <w:szCs w:val="22"/>
        </w:rPr>
        <w:t xml:space="preserve">Existing teacher testimonials, video content, referral program infrastructure, and admin/diagnostics tooling all reduce go-to-market lift.</w:t>
      </w:r>
    </w:p>
    <w:p>
      <w:pPr>
        <w:pStyle w:val="ListParagraph"/>
        <w:numPr>
          <w:ilvl w:val="0"/>
          <w:numId w:val="2"/>
        </w:numPr>
      </w:pPr>
      <w:r>
        <w:rPr>
          <w:rFonts w:ascii="Arial" w:cs="Arial" w:eastAsia="Arial" w:hAnsi="Arial"/>
          <w:sz w:val="22"/>
          <w:szCs w:val="22"/>
        </w:rPr>
        <w:t xml:space="preserve">Subject-affinity engine and AI-task-shell template system are defensible technical moats — competitor quiz apps cannot replicate the AI lesson architecture without significant rebuild effort.</w:t>
      </w:r>
    </w:p>
    <w:p>
      <w:pPr>
        <w:pStyle w:val="ListParagraph"/>
        <w:numPr>
          <w:ilvl w:val="0"/>
          <w:numId w:val="2"/>
        </w:numPr>
      </w:pPr>
      <w:r>
        <w:rPr>
          <w:rFonts w:ascii="Arial" w:cs="Arial" w:eastAsia="Arial" w:hAnsi="Arial"/>
          <w:sz w:val="22"/>
          <w:szCs w:val="22"/>
        </w:rPr>
        <w:t xml:space="preserve">Party / Event mode opens consumer and corporate markets simultaneously without additional product development.</w:t>
      </w:r>
    </w:p>
    <w:p>
      <w:pPr>
        <w:pStyle w:val="Heading2"/>
        <w:spacing w:after="140" w:before="280"/>
      </w:pPr>
      <w:r>
        <w:rPr>
          <w:rFonts w:ascii="Arial" w:cs="Arial" w:eastAsia="Arial" w:hAnsi="Arial"/>
          <w:b/>
          <w:bCs/>
          <w:sz w:val="26"/>
          <w:szCs w:val="26"/>
        </w:rPr>
        <w:t xml:space="preserve">Disclaimer</w:t>
      </w:r>
    </w:p>
    <w:p>
      <w:pPr>
        <w:spacing w:after="120" w:line="320"/>
      </w:pPr>
      <w:r>
        <w:rPr>
          <w:rFonts w:ascii="Arial" w:cs="Arial" w:eastAsia="Arial" w:hAnsi="Arial"/>
          <w:sz w:val="22"/>
          <w:szCs w:val="22"/>
        </w:rPr>
        <w:t xml:space="preserve">This valuation assessment is produced for informational purposes and represents an AI-assisted estimate based on publicly available market data, comparable transactions, and a technical audit of the Curriculate codebase as of May 2026. It does not constitute financial advice. Actual market value may differ based on negotiation, market conditions, buyer interest, and audited financial performance. A formal valuation by a licensed business appraiser is recommended for transaction purposes. The May 2026 ranges are revised upward from the April 2026 assessment primarily on the basis of corrected codebase metrics and the addition of the class-linking platform layer; they remain conservative absent revenue and growth data from the operator.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Curriculate Valuation — May 2026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72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E293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Curriculate Valuation — May 2026</dc:title>
  <dc:creator>Curriculate Valuation</dc:creator>
  <dc:description>Updated valuation reflecting class linking + Pulse Grading + revised technical asset valuation.</dc:description>
  <cp:lastModifiedBy>Un-named</cp:lastModifiedBy>
  <cp:revision>1</cp:revision>
  <dcterms:created xsi:type="dcterms:W3CDTF">2026-05-07T23:36:00.927Z</dcterms:created>
  <dcterms:modified xsi:type="dcterms:W3CDTF">2026-05-07T23:36:00.928Z</dcterms:modified>
</cp:coreProperties>
</file>

<file path=docProps/custom.xml><?xml version="1.0" encoding="utf-8"?>
<Properties xmlns="http://schemas.openxmlformats.org/officeDocument/2006/custom-properties" xmlns:vt="http://schemas.openxmlformats.org/officeDocument/2006/docPropsVTypes"/>
</file>