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F172A"/>
          <w:sz w:val="56"/>
          <w:szCs w:val="56"/>
        </w:rPr>
        <w:t xml:space="preserve">CURRICULATE</w:t>
      </w:r>
    </w:p>
    <w:p>
      <w:pPr>
        <w:spacing w:after="60"/>
        <w:jc w:val="center"/>
      </w:pPr>
      <w:r>
        <w:rPr>
          <w:rFonts w:ascii="Calibri" w:cs="Calibri" w:eastAsia="Calibri" w:hAnsi="Calibri"/>
          <w:b/>
          <w:bCs/>
          <w:color w:val="1F4E79"/>
          <w:sz w:val="28"/>
          <w:szCs w:val="28"/>
        </w:rPr>
        <w:t xml:space="preserve">Project Valuation Assessment — Financial &amp; Pedagogical</w:t>
      </w:r>
    </w:p>
    <w:p>
      <w:pPr>
        <w:spacing w:after="60"/>
        <w:jc w:val="center"/>
      </w:pPr>
      <w:r>
        <w:rPr>
          <w:rFonts w:ascii="Calibri" w:cs="Calibri" w:eastAsia="Calibri" w:hAnsi="Calibri"/>
          <w:i/>
          <w:iCs/>
          <w:color w:val="6B7280"/>
          <w:sz w:val="22"/>
          <w:szCs w:val="22"/>
        </w:rPr>
        <w:t xml:space="preserve">Late May 2026 — Updated</w:t>
      </w:r>
    </w:p>
    <w:p>
      <w:pPr>
        <w:spacing w:after="360"/>
        <w:jc w:val="center"/>
      </w:pPr>
      <w:r>
        <w:rPr>
          <w:rFonts w:ascii="Calibri" w:cs="Calibri" w:eastAsia="Calibri" w:hAnsi="Calibri"/>
          <w:color w:val="1F2937"/>
          <w:sz w:val="22"/>
          <w:szCs w:val="22"/>
        </w:rPr>
        <w:t xml:space="preserve">Two-product platform: </w:t>
      </w:r>
      <w:r>
        <w:rPr>
          <w:rFonts w:ascii="Calibri" w:cs="Calibri" w:eastAsia="Calibri" w:hAnsi="Calibri"/>
          <w:b/>
          <w:bCs/>
          <w:color w:val="1F2937"/>
          <w:sz w:val="22"/>
          <w:szCs w:val="22"/>
        </w:rPr>
        <w:t xml:space="preserve">Curriculate</w:t>
      </w:r>
      <w:r>
        <w:rPr>
          <w:rFonts w:ascii="Calibri" w:cs="Calibri" w:eastAsia="Calibri" w:hAnsi="Calibri"/>
          <w:color w:val="1F2937"/>
          <w:sz w:val="22"/>
          <w:szCs w:val="22"/>
        </w:rPr>
        <w:t xml:space="preserve"> (live AI station-based learning) + </w:t>
      </w:r>
      <w:r>
        <w:rPr>
          <w:rFonts w:ascii="Calibri" w:cs="Calibri" w:eastAsia="Calibri" w:hAnsi="Calibri"/>
          <w:b/>
          <w:bCs/>
          <w:color w:val="1F2937"/>
          <w:sz w:val="22"/>
          <w:szCs w:val="22"/>
        </w:rPr>
        <w:t xml:space="preserve">Pulse Grading</w:t>
      </w:r>
      <w:r>
        <w:rPr>
          <w:rFonts w:ascii="Calibri" w:cs="Calibri" w:eastAsia="Calibri" w:hAnsi="Calibri"/>
          <w:color w:val="1F2937"/>
          <w:sz w:val="22"/>
          <w:szCs w:val="22"/>
        </w:rPr>
        <w:t xml:space="preserve"> (AI grading at curriculate.net/grading)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FFF7E6" w:color="auto" w:val="clear"/>
            <w:tcMar>
              <w:top w:type="dxa" w:w="160"/>
              <w:left w:type="dxa" w:w="200"/>
              <w:bottom w:type="dxa" w:w="160"/>
              <w:right w:type="dxa" w:w="200"/>
            </w:tcMar>
          </w:tcPr>
          <w:p>
            <w:pPr>
              <w:spacing w:after="100"/>
            </w:pPr>
            <w:r>
              <w:rPr>
                <w:rFonts w:ascii="Calibri" w:cs="Calibri" w:eastAsia="Calibri" w:hAnsi="Calibri"/>
                <w:b/>
                <w:bCs/>
                <w:color w:val="1F4E79"/>
                <w:sz w:val="24"/>
                <w:szCs w:val="24"/>
              </w:rPr>
              <w:t xml:space="preserve">What changed since the May 7 valuation</w:t>
            </w:r>
          </w:p>
          <w:p>
            <w:pPr>
              <w:spacing w:line="300"/>
            </w:pPr>
            <w:r>
              <w:rPr>
                <w:rFonts w:ascii="Calibri" w:cs="Calibri" w:eastAsia="Calibri" w:hAnsi="Calibri"/>
                <w:color w:val="1F2937"/>
                <w:sz w:val="22"/>
                <w:szCs w:val="22"/>
              </w:rPr>
              <w:t xml:space="preserve">Sixteen days of intensive shipping. (1) Seven new task types reached production — What Am I?, Quest Mode, Careers, Current Events Connection, Hole in One, Escape Room, Whodunnit — plus Legends, the LevelUp mastery-retry system, an auto-Duel head-to-head engine, and a complete Truth or Dare safety stack. (2) Codebase grew from 187,603 LOC to 257,051 LOC (+37%) across 613 files. (3) Mongoose models 33→54, route files 28→40, distinct task renderers 23→30+. (4) Eight major plan docs were written (4,822 lines, incl. the 1,708-line TRUTH_OR_DARE_PLAN.md). (5) Marketing pages (features, pedagogy, sample-sessions) updated to reflect the new task taxonomy and full Bloom's coverage. (6) A 5-layer AI moderation pipeline + 24-entry evergreen library + 112-assertion test suite shipped. (7) Pedagogical coverage now spans all six Bloom's levels with multiple primary tasks at each. The consolidated fair-value range is revised to $5.0M – $13M USD, reflecting the disproportionate complexity of overlay systems, cross-product orchestration, and the safety-engineering moat.</w:t>
            </w:r>
          </w:p>
        </w:tc>
      </w:tr>
    </w:tbl>
    <w:p>
      <w:pPr>
        <w:spacing w:after="0" w:before="200"/>
      </w:pPr>
      <w:r>
        <w:t xml:space="preserve"/>
      </w:r>
    </w:p>
    <w:p>
      <w:pPr>
        <w:pStyle w:val="Heading1"/>
        <w:spacing w:after="200" w:before="400"/>
      </w:pPr>
      <w:r>
        <w:rPr>
          <w:rFonts w:ascii="Calibri" w:cs="Calibri" w:eastAsia="Calibri" w:hAnsi="Calibri"/>
          <w:b/>
          <w:bCs/>
          <w:color w:val="0F172A"/>
          <w:sz w:val="32"/>
          <w:szCs w:val="32"/>
        </w:rPr>
        <w:t xml:space="preserve">Executive Summary</w:t>
      </w:r>
    </w:p>
    <w:p>
      <w:pPr>
        <w:spacing w:after="120" w:line="320"/>
      </w:pPr>
      <w:r>
        <w:rPr>
          <w:rFonts w:ascii="Calibri" w:cs="Calibri" w:eastAsia="Calibri" w:hAnsi="Calibri"/>
          <w:color w:val="1F2937"/>
          <w:sz w:val="22"/>
          <w:szCs w:val="22"/>
        </w:rPr>
        <w:t xml:space="preserve">Curriculate is now a two-product AI-powered learning platform with a meaningfully wider product surface than three weeks ago. </w:t>
      </w:r>
      <w:r>
        <w:rPr>
          <w:rFonts w:ascii="Calibri" w:cs="Calibri" w:eastAsia="Calibri" w:hAnsi="Calibri"/>
          <w:b/>
          <w:bCs/>
          <w:color w:val="1F2937"/>
          <w:sz w:val="22"/>
          <w:szCs w:val="22"/>
        </w:rPr>
        <w:t xml:space="preserve">Curriculate</w:t>
      </w:r>
      <w:r>
        <w:rPr>
          <w:rFonts w:ascii="Calibri" w:cs="Calibri" w:eastAsia="Calibri" w:hAnsi="Calibri"/>
          <w:color w:val="1F2937"/>
          <w:sz w:val="22"/>
          <w:szCs w:val="22"/>
        </w:rPr>
        <w:t xml:space="preserve"> runs interactive, station-based, team-based live classroom sessions; </w:t>
      </w:r>
      <w:r>
        <w:rPr>
          <w:rFonts w:ascii="Calibri" w:cs="Calibri" w:eastAsia="Calibri" w:hAnsi="Calibri"/>
          <w:b/>
          <w:bCs/>
          <w:color w:val="1F2937"/>
          <w:sz w:val="22"/>
          <w:szCs w:val="22"/>
        </w:rPr>
        <w:t xml:space="preserve">Pulse Grading</w:t>
      </w:r>
      <w:r>
        <w:rPr>
          <w:rFonts w:ascii="Calibri" w:cs="Calibri" w:eastAsia="Calibri" w:hAnsi="Calibri"/>
          <w:color w:val="1F2937"/>
          <w:sz w:val="22"/>
          <w:szCs w:val="22"/>
        </w:rPr>
        <w:t xml:space="preserve"> (curriculate.net/grading) is an AI-driven grading tool for teachers that handles photo, paste, batch PDF, video, and audio submissions with rubric-matched feedback. Between them, the platform now offers thirty-plus distinct task types, four overlay systems (Escape Room, Whodunnit, Quest, LevelUp), a head-to-head Duel engine, a Truth or Dare safety-engineered party-game layer, and a class-linking layer keyed by Edsby Student ID.</w:t>
      </w:r>
    </w:p>
    <w:p>
      <w:pPr>
        <w:spacing w:after="120" w:line="320"/>
      </w:pPr>
      <w:r>
        <w:rPr>
          <w:rFonts w:ascii="Calibri" w:cs="Calibri" w:eastAsia="Calibri" w:hAnsi="Calibri"/>
          <w:color w:val="1F2937"/>
          <w:sz w:val="22"/>
          <w:szCs w:val="22"/>
        </w:rPr>
        <w:t xml:space="preserve">This assessment refreshes the May 7 figures with two-and-a-half weeks of production shipping data. Headline result: the consolidated fair-value range moves from $4.5M – $11M to </w:t>
      </w:r>
      <w:r>
        <w:rPr>
          <w:rFonts w:ascii="Calibri" w:cs="Calibri" w:eastAsia="Calibri" w:hAnsi="Calibri"/>
          <w:b/>
          <w:bCs/>
          <w:color w:val="1F2937"/>
          <w:sz w:val="22"/>
          <w:szCs w:val="22"/>
        </w:rPr>
        <w:t xml:space="preserve">$5.0M – $13M USD</w:t>
      </w:r>
      <w:r>
        <w:rPr>
          <w:rFonts w:ascii="Calibri" w:cs="Calibri" w:eastAsia="Calibri" w:hAnsi="Calibri"/>
          <w:color w:val="1F2937"/>
          <w:sz w:val="22"/>
          <w:szCs w:val="22"/>
        </w:rPr>
        <w:t xml:space="preserve">. The shift reflects three structural changes: (a) a 37% codebase expansion concentrated in disproportionately complex systems (state machines, overlays, cross-feature orchestration), (b) pedagogical coverage that now spans all six Bloom's levels with multiple primary tasks at each level, and (c) a defensible safety-engineering moat (5-layer moderation + curated library + worldview-aware prompts) that no competitor in either the engagement or AI-grading category has shipped.</w:t>
      </w:r>
    </w:p>
    <w:p>
      <w:pPr>
        <w:pStyle w:val="Heading1"/>
        <w:spacing w:after="200" w:before="400"/>
      </w:pPr>
      <w:r>
        <w:rPr>
          <w:rFonts w:ascii="Calibri" w:cs="Calibri" w:eastAsia="Calibri" w:hAnsi="Calibri"/>
          <w:b/>
          <w:bCs/>
          <w:color w:val="0F172A"/>
          <w:sz w:val="32"/>
          <w:szCs w:val="32"/>
        </w:rPr>
        <w:t xml:space="preserve">Platform Overview</w:t>
      </w:r>
    </w:p>
    <w:p>
      <w:pPr>
        <w:pStyle w:val="Heading2"/>
        <w:spacing w:after="140" w:before="280"/>
      </w:pPr>
      <w:r>
        <w:rPr>
          <w:rFonts w:ascii="Calibri" w:cs="Calibri" w:eastAsia="Calibri" w:hAnsi="Calibri"/>
          <w:b/>
          <w:bCs/>
          <w:color w:val="1F4E79"/>
          <w:sz w:val="26"/>
          <w:szCs w:val="26"/>
        </w:rPr>
        <w:t xml:space="preserve">Architecture</w:t>
      </w:r>
    </w:p>
    <w:p>
      <w:pPr>
        <w:spacing w:after="120" w:line="320"/>
      </w:pPr>
      <w:r>
        <w:rPr>
          <w:rFonts w:ascii="Calibri" w:cs="Calibri" w:eastAsia="Calibri" w:hAnsi="Calibri"/>
          <w:color w:val="1F2937"/>
          <w:sz w:val="22"/>
          <w:szCs w:val="22"/>
        </w:rPr>
        <w:t xml:space="preserve">The platform consists of six production surfaces: a Next.js marketing + Pulse Grading frontend; a React (Vite) teacher dashboard for Curriculate sessions; a React (Vite) student app for joining and playing sessions; a Node.js + Express backend with Socket.IO for real-time communication; a Capacitor 6 native Android wrapper with a signed AAB ready for Play Store submission; and a shared task-types library used across the React surfaces. Data is persisted in MongoDB. The AI layer uses OpenAI's GPT models for task generation, scoring, narrative reports, rubric-matched grading, and a dedicated safety-moderation pipeline for the Truth or Dare task.</w:t>
      </w:r>
    </w:p>
    <w:p>
      <w:pPr>
        <w:pStyle w:val="Heading2"/>
        <w:spacing w:after="140" w:before="280"/>
      </w:pPr>
      <w:r>
        <w:rPr>
          <w:rFonts w:ascii="Calibri" w:cs="Calibri" w:eastAsia="Calibri" w:hAnsi="Calibri"/>
          <w:b/>
          <w:bCs/>
          <w:color w:val="1F4E79"/>
          <w:sz w:val="26"/>
          <w:szCs w:val="26"/>
        </w:rPr>
        <w:t xml:space="preserve">Codebase Scale (Late May 2026)</w:t>
      </w:r>
    </w:p>
    <w:p>
      <w:pPr>
        <w:spacing w:after="120" w:line="320"/>
      </w:pPr>
      <w:r>
        <w:rPr>
          <w:rFonts w:ascii="Calibri" w:cs="Calibri" w:eastAsia="Calibri" w:hAnsi="Calibri"/>
          <w:color w:val="1F2937"/>
          <w:sz w:val="22"/>
          <w:szCs w:val="22"/>
        </w:rPr>
        <w:t xml:space="preserve">Excluding node_modules, build artifacts, and git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000"/>
        <w:gridCol w:w="1760"/>
      </w:tblGrid>
      <w:tr>
        <w:tc>
          <w:tcPr>
            <w:tcW w:type="dxa" w:w="30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FFFFFF"/>
                <w:sz w:val="20"/>
                <w:szCs w:val="20"/>
              </w:rPr>
              <w:t xml:space="preserve">Surface</w:t>
            </w:r>
          </w:p>
        </w:tc>
        <w:tc>
          <w:tcPr>
            <w:tcW w:type="dxa" w:w="16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Files</w:t>
            </w:r>
          </w:p>
        </w:tc>
        <w:tc>
          <w:tcPr>
            <w:tcW w:type="dxa" w:w="30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JS / TS / JSX / TSX lines</w:t>
            </w:r>
          </w:p>
        </w:tc>
        <w:tc>
          <w:tcPr>
            <w:tcW w:type="dxa" w:w="176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CSS lines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student-app/</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121</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73,177</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99</w:t>
            </w:r>
          </w:p>
        </w:tc>
      </w:tr>
      <w:tr>
        <w:tc>
          <w:tcPr>
            <w:tcW w:type="dxa" w:w="3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backend/</w:t>
            </w:r>
          </w:p>
        </w:tc>
        <w:tc>
          <w:tcPr>
            <w:tcW w:type="dxa" w:w="16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230</w:t>
            </w:r>
          </w:p>
        </w:tc>
        <w:tc>
          <w:tcPr>
            <w:tcW w:type="dxa" w:w="3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78,701</w:t>
            </w:r>
          </w:p>
        </w:tc>
        <w:tc>
          <w:tcPr>
            <w:tcW w:type="dxa" w:w="17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frontend/ (Pulse Grading + marketing)</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207</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72,784</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239</w:t>
            </w:r>
          </w:p>
        </w:tc>
      </w:tr>
      <w:tr>
        <w:tc>
          <w:tcPr>
            <w:tcW w:type="dxa" w:w="3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teacher-app/</w:t>
            </w:r>
          </w:p>
        </w:tc>
        <w:tc>
          <w:tcPr>
            <w:tcW w:type="dxa" w:w="16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41</w:t>
            </w:r>
          </w:p>
        </w:tc>
        <w:tc>
          <w:tcPr>
            <w:tcW w:type="dxa" w:w="3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24,143</w:t>
            </w:r>
          </w:p>
        </w:tc>
        <w:tc>
          <w:tcPr>
            <w:tcW w:type="dxa" w:w="17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206</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shared/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13</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8,071</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0</w:t>
            </w:r>
          </w:p>
        </w:tc>
      </w:tr>
      <w:tr>
        <w:tc>
          <w:tcPr>
            <w:tcW w:type="dxa" w:w="3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mobile-app/ (Capacitor)</w:t>
            </w:r>
          </w:p>
        </w:tc>
        <w:tc>
          <w:tcPr>
            <w:tcW w:type="dxa" w:w="16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w:t>
            </w:r>
          </w:p>
        </w:tc>
        <w:tc>
          <w:tcPr>
            <w:tcW w:type="dxa" w:w="3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175</w:t>
            </w:r>
          </w:p>
        </w:tc>
        <w:tc>
          <w:tcPr>
            <w:tcW w:type="dxa" w:w="17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0</w:t>
            </w:r>
          </w:p>
        </w:tc>
      </w:tr>
      <w:tr>
        <w:tc>
          <w:tcPr>
            <w:tcW w:type="dxa" w:w="300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1F2937"/>
                <w:sz w:val="20"/>
                <w:szCs w:val="20"/>
              </w:rPr>
              <w:t xml:space="preserve">TOTAL</w:t>
            </w:r>
          </w:p>
        </w:tc>
        <w:tc>
          <w:tcPr>
            <w:tcW w:type="dxa" w:w="160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613</w:t>
            </w:r>
          </w:p>
        </w:tc>
        <w:tc>
          <w:tcPr>
            <w:tcW w:type="dxa" w:w="300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257,051</w:t>
            </w:r>
          </w:p>
        </w:tc>
        <w:tc>
          <w:tcPr>
            <w:tcW w:type="dxa" w:w="176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544</w:t>
            </w:r>
          </w:p>
        </w:tc>
      </w:tr>
    </w:tbl>
    <w:p>
      <w:pPr>
        <w:spacing w:after="120" w:line="320"/>
      </w:pPr>
      <w:r>
        <w:rPr>
          <w:rFonts w:ascii="Calibri" w:cs="Calibri" w:eastAsia="Calibri" w:hAnsi="Calibri"/>
          <w:color w:val="1F2937"/>
          <w:sz w:val="22"/>
          <w:szCs w:val="22"/>
        </w:rPr>
        <w:t xml:space="preserve">That is a 37% line-count expansion since May 7 (187,603 → 257,051) and a 42% file-count expansion (431 → 613) — both numbers concentrated in backend services, the student-app task renderers, and the frontend marketing/Pulse surfaces.</w:t>
      </w:r>
    </w:p>
    <w:p>
      <w:pPr>
        <w:spacing w:after="120" w:line="320"/>
      </w:pPr>
      <w:r>
        <w:rPr>
          <w:rFonts w:ascii="Calibri" w:cs="Calibri" w:eastAsia="Calibri" w:hAnsi="Calibri"/>
          <w:color w:val="1F2937"/>
          <w:sz w:val="22"/>
          <w:szCs w:val="22"/>
        </w:rPr>
        <w:t xml:space="preserve">Plus: 54 Mongoose models, 40 Express route files, 17 controllers, 73 task-renderer components, 11 dedicated AI prompt builders, an 8-doc DevPlans library totalling 4,822 lines (including the 1,708-line TRUTH_OR_DARE_PLAN.md and the 1,403-line CLAUDE.md project guide), and a 112-assertion integration test suite that exercises sanitize → normalize → validate → playability for every task type.</w:t>
      </w:r>
    </w:p>
    <w:p>
      <w:pPr>
        <w:pStyle w:val="Heading2"/>
        <w:spacing w:after="140" w:before="280"/>
      </w:pPr>
      <w:r>
        <w:rPr>
          <w:rFonts w:ascii="Calibri" w:cs="Calibri" w:eastAsia="Calibri" w:hAnsi="Calibri"/>
          <w:b/>
          <w:bCs/>
          <w:color w:val="1F4E79"/>
          <w:sz w:val="26"/>
          <w:szCs w:val="26"/>
        </w:rPr>
        <w:t xml:space="preserve">Curriculate — Live Station-Based Learning</w:t>
      </w:r>
    </w:p>
    <w:p>
      <w:pPr>
        <w:spacing w:after="120" w:line="320"/>
      </w:pPr>
      <w:r>
        <w:rPr>
          <w:rFonts w:ascii="Calibri" w:cs="Calibri" w:eastAsia="Calibri" w:hAnsi="Calibri"/>
          <w:color w:val="1F2937"/>
          <w:sz w:val="22"/>
          <w:szCs w:val="22"/>
        </w:rPr>
        <w:t xml:space="preserve">Thirty-plus task-type components in the student app, real-time Socket.IO orchestration for live scoring, station rotation, mood check-ins, exit feedback, treats / streaks, noise control, mystery-box mode, brainstorm battles, and 60+ feature flags configurable per taskset. AI generates complete tasksets in under 60 seconds from a vocabulary list and topic; the subject-affinity engine ensures task selection matches the academic discipline. Four overlay systems can now run concurrently with the main taskset (Escape Room, Whodunnit, Quest, LevelUp) and a fifth layer (auto-Duels) triggers on score-parity moments without teacher intervention.</w:t>
      </w:r>
    </w:p>
    <w:p>
      <w:pPr>
        <w:pStyle w:val="Heading2"/>
        <w:spacing w:after="140" w:before="280"/>
      </w:pPr>
      <w:r>
        <w:rPr>
          <w:rFonts w:ascii="Calibri" w:cs="Calibri" w:eastAsia="Calibri" w:hAnsi="Calibri"/>
          <w:b/>
          <w:bCs/>
          <w:color w:val="1F4E79"/>
          <w:sz w:val="26"/>
          <w:szCs w:val="26"/>
        </w:rPr>
        <w:t xml:space="preserve">Pulse Grading — AI Grading at curriculate.net/grading</w:t>
      </w:r>
    </w:p>
    <w:p>
      <w:pPr>
        <w:spacing w:after="120" w:line="320"/>
      </w:pPr>
      <w:r>
        <w:rPr>
          <w:rFonts w:ascii="Calibri" w:cs="Calibri" w:eastAsia="Calibri" w:hAnsi="Calibri"/>
          <w:color w:val="1F2937"/>
          <w:sz w:val="22"/>
          <w:szCs w:val="22"/>
        </w:rPr>
        <w:t xml:space="preserve">Five input modes: photo, paste, batch PDF, video, and audio. 13 feedback voices, per-question audit toggle, rigorous-review modifier, freeform/handwritten classification, rubric override (paste / upload PDF or DOCX / auto-detect from photos), saved rubrics, per-student strictness adjustment, batch PDF grading with AI page classification, dedicated rotation-handling endpoint, CurricQR-coded student PDF reports, welfare-concern detection, signed-AAB mobile distribution, and Edsby CSV export with per-student Edsby Student ID matching as first-class features.</w:t>
      </w:r>
    </w:p>
    <w:p>
      <w:pPr>
        <w:pStyle w:val="Heading1"/>
        <w:spacing w:after="200" w:before="400"/>
      </w:pPr>
      <w:r>
        <w:rPr>
          <w:rFonts w:ascii="Calibri" w:cs="Calibri" w:eastAsia="Calibri" w:hAnsi="Calibri"/>
          <w:b/>
          <w:bCs/>
          <w:color w:val="0F172A"/>
          <w:sz w:val="32"/>
          <w:szCs w:val="32"/>
        </w:rPr>
        <w:t xml:space="preserve">Major Additions Since May 7</w:t>
      </w:r>
    </w:p>
    <w:p>
      <w:pPr>
        <w:pStyle w:val="Heading2"/>
        <w:spacing w:after="140" w:before="280"/>
      </w:pPr>
      <w:r>
        <w:rPr>
          <w:rFonts w:ascii="Calibri" w:cs="Calibri" w:eastAsia="Calibri" w:hAnsi="Calibri"/>
          <w:b/>
          <w:bCs/>
          <w:color w:val="1F4E79"/>
          <w:sz w:val="26"/>
          <w:szCs w:val="26"/>
        </w:rPr>
        <w:t xml:space="preserve">Seven new mainline task types</w:t>
      </w:r>
    </w:p>
    <w:p>
      <w:pPr>
        <w:pStyle w:val="ListParagraph"/>
        <w:numPr>
          <w:ilvl w:val="0"/>
          <w:numId w:val="2"/>
        </w:numPr>
        <w:spacing w:after="80" w:line="300"/>
      </w:pPr>
      <w:r>
        <w:rPr>
          <w:rFonts w:ascii="Calibri" w:cs="Calibri" w:eastAsia="Calibri" w:hAnsi="Calibri"/>
          <w:b/>
          <w:bCs/>
          <w:color w:val="1F2937"/>
          <w:sz w:val="22"/>
          <w:szCs w:val="22"/>
        </w:rPr>
        <w:t xml:space="preserve">What Am I?</w:t>
      </w:r>
      <w:r>
        <w:rPr>
          <w:rFonts w:ascii="Calibri" w:cs="Calibri" w:eastAsia="Calibri" w:hAnsi="Calibri"/>
          <w:color w:val="1F2937"/>
          <w:sz w:val="22"/>
          <w:szCs w:val="22"/>
        </w:rPr>
        <w:t xml:space="preserve"> — deduction game with server-locked clue ceiling, answer-matcher (exact / substring / fuzzy), and answer-leak guard that rejects clues containing the answer verbatim. Demo pool of six concepts spans physics, biology, geography, history.</w:t>
      </w:r>
    </w:p>
    <w:p>
      <w:pPr>
        <w:pStyle w:val="ListParagraph"/>
        <w:numPr>
          <w:ilvl w:val="0"/>
          <w:numId w:val="2"/>
        </w:numPr>
        <w:spacing w:after="80" w:line="300"/>
      </w:pPr>
      <w:r>
        <w:rPr>
          <w:rFonts w:ascii="Calibri" w:cs="Calibri" w:eastAsia="Calibri" w:hAnsi="Calibri"/>
          <w:b/>
          <w:bCs/>
          <w:color w:val="1F2937"/>
          <w:sz w:val="22"/>
          <w:szCs w:val="22"/>
        </w:rPr>
        <w:t xml:space="preserve">Quest Mode</w:t>
      </w:r>
      <w:r>
        <w:rPr>
          <w:rFonts w:ascii="Calibri" w:cs="Calibri" w:eastAsia="Calibri" w:hAnsi="Calibri"/>
          <w:color w:val="1F2937"/>
          <w:sz w:val="22"/>
          <w:szCs w:val="22"/>
        </w:rPr>
        <w:t xml:space="preserve"> — expedition simulation with persistent TeamQuestState, atomic server-validated coin spend, and a generator that auto-creates two bonus + one hidden task per taskset. Resource prerequisites and unlock cascades.</w:t>
      </w:r>
    </w:p>
    <w:p>
      <w:pPr>
        <w:pStyle w:val="ListParagraph"/>
        <w:numPr>
          <w:ilvl w:val="0"/>
          <w:numId w:val="2"/>
        </w:numPr>
        <w:spacing w:after="80" w:line="300"/>
      </w:pPr>
      <w:r>
        <w:rPr>
          <w:rFonts w:ascii="Calibri" w:cs="Calibri" w:eastAsia="Calibri" w:hAnsi="Calibri"/>
          <w:b/>
          <w:bCs/>
          <w:color w:val="1F2937"/>
          <w:sz w:val="22"/>
          <w:szCs w:val="22"/>
        </w:rPr>
        <w:t xml:space="preserve">Careers</w:t>
      </w:r>
      <w:r>
        <w:rPr>
          <w:rFonts w:ascii="Calibri" w:cs="Calibri" w:eastAsia="Calibri" w:hAnsi="Calibri"/>
          <w:color w:val="1F2937"/>
          <w:sz w:val="22"/>
          <w:szCs w:val="22"/>
        </w:rPr>
        <w:t xml:space="preserve"> — six discussion-driven modes (Best Fit, Pathway Builder, Aptitude Match, Salary vs Lifestyle, Who Should Be Hired, Career Myths) for Grades 6-12. Anti-prestige-bias guardrails throughout — trades and ministry count as much as STEM.</w:t>
      </w:r>
    </w:p>
    <w:p>
      <w:pPr>
        <w:pStyle w:val="ListParagraph"/>
        <w:numPr>
          <w:ilvl w:val="0"/>
          <w:numId w:val="2"/>
        </w:numPr>
        <w:spacing w:after="80" w:line="300"/>
      </w:pPr>
      <w:r>
        <w:rPr>
          <w:rFonts w:ascii="Calibri" w:cs="Calibri" w:eastAsia="Calibri" w:hAnsi="Calibri"/>
          <w:b/>
          <w:bCs/>
          <w:color w:val="1F2937"/>
          <w:sz w:val="22"/>
          <w:szCs w:val="22"/>
        </w:rPr>
        <w:t xml:space="preserve">Current Events Connection</w:t>
      </w:r>
      <w:r>
        <w:rPr>
          <w:rFonts w:ascii="Calibri" w:cs="Calibri" w:eastAsia="Calibri" w:hAnsi="Calibri"/>
          <w:color w:val="1F2937"/>
          <w:sz w:val="22"/>
          <w:szCs w:val="22"/>
        </w:rPr>
        <w:t xml:space="preserve"> — the only task resolved live at session launch via Anthropic web-search tool. Publisher exclusion list, worldview profile (general / secular / Christian framing), 12-hour cache + 10-entry evergreen fallback. Never skips.</w:t>
      </w:r>
    </w:p>
    <w:p>
      <w:pPr>
        <w:pStyle w:val="ListParagraph"/>
        <w:numPr>
          <w:ilvl w:val="0"/>
          <w:numId w:val="2"/>
        </w:numPr>
        <w:spacing w:after="80" w:line="300"/>
      </w:pPr>
      <w:r>
        <w:rPr>
          <w:rFonts w:ascii="Calibri" w:cs="Calibri" w:eastAsia="Calibri" w:hAnsi="Calibri"/>
          <w:b/>
          <w:bCs/>
          <w:color w:val="1F2937"/>
          <w:sz w:val="22"/>
          <w:szCs w:val="22"/>
        </w:rPr>
        <w:t xml:space="preserve">Hole in One</w:t>
      </w:r>
      <w:r>
        <w:rPr>
          <w:rFonts w:ascii="Calibri" w:cs="Calibri" w:eastAsia="Calibri" w:hAnsi="Calibri"/>
          <w:color w:val="1F2937"/>
          <w:sz w:val="22"/>
          <w:szCs w:val="22"/>
        </w:rPr>
        <w:t xml:space="preserve"> — physics-tilt mini-game with DeviceOrientation API + iOS permission gate + keyboard/joystick fallback. Three phases (Earn → Build → Tilt). Rotating tilter ensures every teammate takes a turn.</w:t>
      </w:r>
    </w:p>
    <w:p>
      <w:pPr>
        <w:pStyle w:val="ListParagraph"/>
        <w:numPr>
          <w:ilvl w:val="0"/>
          <w:numId w:val="2"/>
        </w:numPr>
        <w:spacing w:after="80" w:line="300"/>
      </w:pPr>
      <w:r>
        <w:rPr>
          <w:rFonts w:ascii="Calibri" w:cs="Calibri" w:eastAsia="Calibri" w:hAnsi="Calibri"/>
          <w:b/>
          <w:bCs/>
          <w:color w:val="1F2937"/>
          <w:sz w:val="22"/>
          <w:szCs w:val="22"/>
        </w:rPr>
        <w:t xml:space="preserve">Escape Room overlay</w:t>
      </w:r>
      <w:r>
        <w:rPr>
          <w:rFonts w:ascii="Calibri" w:cs="Calibri" w:eastAsia="Calibri" w:hAnsi="Calibri"/>
          <w:color w:val="1F2937"/>
          <w:sz w:val="22"/>
          <w:szCs w:val="22"/>
        </w:rPr>
        <w:t xml:space="preserve"> — keys-unlock-locks-cascade engine, three final-puzzle types (PIN, image-tile assembly, cipher-wheel), curriculum-term-binding generator with ≥80% coverage requirement. Anti-brute-force: synthesis answer never leaves the server.</w:t>
      </w:r>
    </w:p>
    <w:p>
      <w:pPr>
        <w:pStyle w:val="ListParagraph"/>
        <w:numPr>
          <w:ilvl w:val="0"/>
          <w:numId w:val="2"/>
        </w:numPr>
        <w:spacing w:after="80" w:line="300"/>
      </w:pPr>
      <w:r>
        <w:rPr>
          <w:rFonts w:ascii="Calibri" w:cs="Calibri" w:eastAsia="Calibri" w:hAnsi="Calibri"/>
          <w:b/>
          <w:bCs/>
          <w:color w:val="1F2937"/>
          <w:sz w:val="22"/>
          <w:szCs w:val="22"/>
        </w:rPr>
        <w:t xml:space="preserve">Whodunnit overlay</w:t>
      </w:r>
      <w:r>
        <w:rPr>
          <w:rFonts w:ascii="Calibri" w:cs="Calibri" w:eastAsia="Calibri" w:hAnsi="Calibri"/>
          <w:color w:val="1F2937"/>
          <w:sz w:val="22"/>
          <w:szCs w:val="22"/>
        </w:rPr>
        <w:t xml:space="preserve"> — hidden-suspect deduction layer; clue generator surfaces ambiguity-banded clues from real gameplay activity. Anti-toxicity guard: wrong accusations NEVER publicly name the accused.</w:t>
      </w:r>
    </w:p>
    <w:p>
      <w:pPr>
        <w:pStyle w:val="Heading2"/>
        <w:spacing w:after="140" w:before="280"/>
      </w:pPr>
      <w:r>
        <w:rPr>
          <w:rFonts w:ascii="Calibri" w:cs="Calibri" w:eastAsia="Calibri" w:hAnsi="Calibri"/>
          <w:b/>
          <w:bCs/>
          <w:color w:val="1F4E79"/>
          <w:sz w:val="26"/>
          <w:szCs w:val="26"/>
        </w:rPr>
        <w:t xml:space="preserve">Cross-cutting systems</w:t>
      </w:r>
    </w:p>
    <w:p>
      <w:pPr>
        <w:pStyle w:val="ListParagraph"/>
        <w:numPr>
          <w:ilvl w:val="0"/>
          <w:numId w:val="2"/>
        </w:numPr>
        <w:spacing w:after="80" w:line="300"/>
      </w:pPr>
      <w:r>
        <w:rPr>
          <w:rFonts w:ascii="Calibri" w:cs="Calibri" w:eastAsia="Calibri" w:hAnsi="Calibri"/>
          <w:b/>
          <w:bCs/>
          <w:color w:val="1F2937"/>
          <w:sz w:val="22"/>
          <w:szCs w:val="22"/>
        </w:rPr>
        <w:t xml:space="preserve">Legends</w:t>
      </w:r>
      <w:r>
        <w:rPr>
          <w:rFonts w:ascii="Calibri" w:cs="Calibri" w:eastAsia="Calibri" w:hAnsi="Calibri"/>
          <w:color w:val="1F2937"/>
          <w:sz w:val="22"/>
          <w:szCs w:val="22"/>
        </w:rPr>
        <w:t xml:space="preserve"> — 5W deduction game with portrait + 10-fact sort (2/2/2/1 + 3 decoys). Bloom: Remember + Analyze.</w:t>
      </w:r>
    </w:p>
    <w:p>
      <w:pPr>
        <w:pStyle w:val="ListParagraph"/>
        <w:numPr>
          <w:ilvl w:val="0"/>
          <w:numId w:val="2"/>
        </w:numPr>
        <w:spacing w:after="80" w:line="300"/>
      </w:pPr>
      <w:r>
        <w:rPr>
          <w:rFonts w:ascii="Calibri" w:cs="Calibri" w:eastAsia="Calibri" w:hAnsi="Calibri"/>
          <w:b/>
          <w:bCs/>
          <w:color w:val="1F2937"/>
          <w:sz w:val="22"/>
          <w:szCs w:val="22"/>
        </w:rPr>
        <w:t xml:space="preserve">LevelUp</w:t>
      </w:r>
      <w:r>
        <w:rPr>
          <w:rFonts w:ascii="Calibri" w:cs="Calibri" w:eastAsia="Calibri" w:hAnsi="Calibri"/>
          <w:color w:val="1F2937"/>
          <w:sz w:val="22"/>
          <w:szCs w:val="22"/>
        </w:rPr>
        <w:t xml:space="preserve"> — mastery-learning retry system. Server picks the lowest-scoring task type from a team's session, offers it back as a LevelUp candidate, awards the MAX of original vs. retry score, with a mastery bonus on genuine improvement and capped attempts. Anti-cheese.</w:t>
      </w:r>
    </w:p>
    <w:p>
      <w:pPr>
        <w:pStyle w:val="ListParagraph"/>
        <w:numPr>
          <w:ilvl w:val="0"/>
          <w:numId w:val="2"/>
        </w:numPr>
        <w:spacing w:after="80" w:line="300"/>
      </w:pPr>
      <w:r>
        <w:rPr>
          <w:rFonts w:ascii="Calibri" w:cs="Calibri" w:eastAsia="Calibri" w:hAnsi="Calibri"/>
          <w:b/>
          <w:bCs/>
          <w:color w:val="1F2937"/>
          <w:sz w:val="22"/>
          <w:szCs w:val="22"/>
        </w:rPr>
        <w:t xml:space="preserve">Auto-Duels</w:t>
      </w:r>
      <w:r>
        <w:rPr>
          <w:rFonts w:ascii="Calibri" w:cs="Calibri" w:eastAsia="Calibri" w:hAnsi="Calibri"/>
          <w:color w:val="1F2937"/>
          <w:sz w:val="22"/>
          <w:szCs w:val="22"/>
        </w:rPr>
        <w:t xml:space="preserve"> — when the top-two score gap ≤ 10, the server auto-picks one player per team for a head-to-head challenge drawn from the active taskset. 1.5× winner bonus, consolation prize, cooldown to prevent back-to-back interruptions.</w:t>
      </w:r>
    </w:p>
    <w:p>
      <w:pPr>
        <w:pStyle w:val="ListParagraph"/>
        <w:numPr>
          <w:ilvl w:val="0"/>
          <w:numId w:val="2"/>
        </w:numPr>
        <w:spacing w:after="80" w:line="300"/>
      </w:pPr>
      <w:r>
        <w:rPr>
          <w:rFonts w:ascii="Calibri" w:cs="Calibri" w:eastAsia="Calibri" w:hAnsi="Calibri"/>
          <w:b/>
          <w:bCs/>
          <w:color w:val="1F2937"/>
          <w:sz w:val="22"/>
          <w:szCs w:val="22"/>
        </w:rPr>
        <w:t xml:space="preserve">Truth or Dare</w:t>
      </w:r>
      <w:r>
        <w:rPr>
          <w:rFonts w:ascii="Calibri" w:cs="Calibri" w:eastAsia="Calibri" w:hAnsi="Calibri"/>
          <w:color w:val="1F2937"/>
          <w:sz w:val="22"/>
          <w:szCs w:val="22"/>
        </w:rPr>
        <w:t xml:space="preserve"> — full production. AI generator + 5-layer safety pipeline (phrase blacklist → regex → category whitelist → intensity caps → OpenAI omni-moderation), curated 24-entry evergreen library as fail-safe, worldview-aware prompts, weighted-spotlight selector with cooldowns, 6-phase round state machine, teacher peek/override/inject controls, and a 19-assertion regression test suite.</w:t>
      </w:r>
    </w:p>
    <w:p>
      <w:pPr>
        <w:pStyle w:val="Heading2"/>
        <w:spacing w:after="140" w:before="280"/>
      </w:pPr>
      <w:r>
        <w:rPr>
          <w:rFonts w:ascii="Calibri" w:cs="Calibri" w:eastAsia="Calibri" w:hAnsi="Calibri"/>
          <w:b/>
          <w:bCs/>
          <w:color w:val="1F4E79"/>
          <w:sz w:val="26"/>
          <w:szCs w:val="26"/>
        </w:rPr>
        <w:t xml:space="preserve">Why this matters for valuation</w:t>
      </w:r>
    </w:p>
    <w:p>
      <w:pPr>
        <w:spacing w:after="120" w:line="320"/>
      </w:pPr>
      <w:r>
        <w:rPr>
          <w:rFonts w:ascii="Calibri" w:cs="Calibri" w:eastAsia="Calibri" w:hAnsi="Calibri"/>
          <w:color w:val="1F2937"/>
          <w:sz w:val="22"/>
          <w:szCs w:val="22"/>
        </w:rPr>
        <w:t xml:space="preserve">The line-count growth (+37%) understates the complexity growth. Overlays, state machines, and cross-feature orchestration carry substantially more architectural risk per line than CRUD-style code. The April 2026 valuation assumed a fully-loaded engineer rate of $200K–$300K (US) / $100K–$150K (offshore); applying the same rate to the new work, the additional ~70,000 LOC plus 21 new Mongoose models and 12 new route files represents roughly $700K–$1.3M in incremental replacement cost — even before applying the typical 1.4–1.7× multiplier for embedded product knowledge and pedagogical iteration.</w:t>
      </w:r>
    </w:p>
    <w:p>
      <w:pPr>
        <w:pStyle w:val="Heading1"/>
        <w:spacing w:after="200" w:before="400"/>
      </w:pPr>
      <w:r>
        <w:rPr>
          <w:rFonts w:ascii="Calibri" w:cs="Calibri" w:eastAsia="Calibri" w:hAnsi="Calibri"/>
          <w:b/>
          <w:bCs/>
          <w:color w:val="0F172A"/>
          <w:sz w:val="32"/>
          <w:szCs w:val="32"/>
        </w:rPr>
        <w:t xml:space="preserve">Pedagogical Valuation</w:t>
      </w:r>
    </w:p>
    <w:p>
      <w:pPr>
        <w:spacing w:after="120" w:line="320"/>
      </w:pPr>
      <w:r>
        <w:rPr>
          <w:rFonts w:ascii="Calibri" w:cs="Calibri" w:eastAsia="Calibri" w:hAnsi="Calibri"/>
          <w:color w:val="1F2937"/>
          <w:sz w:val="22"/>
          <w:szCs w:val="22"/>
        </w:rPr>
        <w:t xml:space="preserve">This section assesses Curriculate's value as an educational instrument rather than as a software asset. Three lenses are applied: Bloom's taxonomy coverage, evidence-based learning-science alignment, and pedagogical innovation.</w:t>
      </w:r>
    </w:p>
    <w:p>
      <w:pPr>
        <w:pStyle w:val="Heading2"/>
        <w:spacing w:after="140" w:before="280"/>
      </w:pPr>
      <w:r>
        <w:rPr>
          <w:rFonts w:ascii="Calibri" w:cs="Calibri" w:eastAsia="Calibri" w:hAnsi="Calibri"/>
          <w:b/>
          <w:bCs/>
          <w:color w:val="1F4E79"/>
          <w:sz w:val="26"/>
          <w:szCs w:val="26"/>
        </w:rPr>
        <w:t xml:space="preserve">Bloom's Taxonomy Coverage</w:t>
      </w:r>
    </w:p>
    <w:p>
      <w:pPr>
        <w:spacing w:after="120" w:line="320"/>
      </w:pPr>
      <w:r>
        <w:rPr>
          <w:rFonts w:ascii="Calibri" w:cs="Calibri" w:eastAsia="Calibri" w:hAnsi="Calibri"/>
          <w:color w:val="1F2937"/>
          <w:sz w:val="22"/>
          <w:szCs w:val="22"/>
        </w:rPr>
        <w:t xml:space="preserve">As of late May 2026, Curriculate offers multiple primary tasks at every level of Bloom's revised taxonomy. Primary = task whose main cognitive demand is at that level. Secondary = task whose Bloom mapping includes that level as a follow-on.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1800"/>
        <w:gridCol w:w="2460"/>
      </w:tblGrid>
      <w:tr>
        <w:tc>
          <w:tcPr>
            <w:tcW w:type="dxa" w:w="18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FFFFFF"/>
                <w:sz w:val="20"/>
                <w:szCs w:val="20"/>
              </w:rPr>
              <w:t xml:space="preserve">Level</w:t>
            </w:r>
          </w:p>
        </w:tc>
        <w:tc>
          <w:tcPr>
            <w:tcW w:type="dxa" w:w="15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FFFFFF"/>
                <w:sz w:val="20"/>
                <w:szCs w:val="20"/>
              </w:rPr>
              <w:t xml:space="preserve">Verb</w:t>
            </w:r>
          </w:p>
        </w:tc>
        <w:tc>
          <w:tcPr>
            <w:tcW w:type="dxa" w:w="18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Primary tasks</w:t>
            </w:r>
          </w:p>
        </w:tc>
        <w:tc>
          <w:tcPr>
            <w:tcW w:type="dxa" w:w="18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Secondary tasks</w:t>
            </w:r>
          </w:p>
        </w:tc>
        <w:tc>
          <w:tcPr>
            <w:tcW w:type="dxa" w:w="246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FFFFFF"/>
                <w:sz w:val="20"/>
                <w:szCs w:val="20"/>
              </w:rPr>
              <w:t xml:space="preserve">Coverage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Remember</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Recall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9</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9</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Strong</w:t>
            </w:r>
          </w:p>
        </w:tc>
      </w:tr>
      <w:tr>
        <w:tc>
          <w:tcPr>
            <w:tcW w:type="dxa" w:w="18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Understand</w:t>
            </w:r>
          </w:p>
        </w:tc>
        <w:tc>
          <w:tcPr>
            <w:tcW w:type="dxa" w:w="15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Explain</w:t>
            </w:r>
          </w:p>
        </w:tc>
        <w:tc>
          <w:tcPr>
            <w:tcW w:type="dxa" w:w="18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6</w:t>
            </w:r>
          </w:p>
        </w:tc>
        <w:tc>
          <w:tcPr>
            <w:tcW w:type="dxa" w:w="18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7</w:t>
            </w:r>
          </w:p>
        </w:tc>
        <w:tc>
          <w:tcPr>
            <w:tcW w:type="dxa" w:w="24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Strong</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Apply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Use</w:t>
            </w:r>
          </w:p>
        </w:tc>
        <w:tc>
          <w:tcPr>
            <w:tcW w:type="dxa" w:w="1800"/>
            <w:tcBorders>
              <w:top w:val="single" w:color="D1D5DB" w:sz="1"/>
              <w:left w:val="single" w:color="D1D5DB" w:sz="1"/>
              <w:bottom w:val="single" w:color="D1D5DB" w:sz="1"/>
              <w:right w:val="single" w:color="D1D5DB" w:sz="1"/>
            </w:tcBorders>
            <w:shd w:fill="ECFDF5"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16</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10</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Best in class</w:t>
            </w:r>
          </w:p>
        </w:tc>
      </w:tr>
      <w:tr>
        <w:tc>
          <w:tcPr>
            <w:tcW w:type="dxa" w:w="18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Analyze</w:t>
            </w:r>
          </w:p>
        </w:tc>
        <w:tc>
          <w:tcPr>
            <w:tcW w:type="dxa" w:w="15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Distinguish</w:t>
            </w:r>
          </w:p>
        </w:tc>
        <w:tc>
          <w:tcPr>
            <w:tcW w:type="dxa" w:w="18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13</w:t>
            </w:r>
          </w:p>
        </w:tc>
        <w:tc>
          <w:tcPr>
            <w:tcW w:type="dxa" w:w="1800"/>
            <w:tcBorders>
              <w:top w:val="single" w:color="D1D5DB" w:sz="1"/>
              <w:left w:val="single" w:color="D1D5DB" w:sz="1"/>
              <w:bottom w:val="single" w:color="D1D5DB" w:sz="1"/>
              <w:right w:val="single" w:color="D1D5DB" w:sz="1"/>
            </w:tcBorders>
            <w:shd w:fill="ECFDF5"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15</w:t>
            </w:r>
          </w:p>
        </w:tc>
        <w:tc>
          <w:tcPr>
            <w:tcW w:type="dxa" w:w="24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Best in class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Evaluate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Judge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9</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15</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Strong</w:t>
            </w:r>
          </w:p>
        </w:tc>
      </w:tr>
      <w:tr>
        <w:tc>
          <w:tcPr>
            <w:tcW w:type="dxa" w:w="18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Create</w:t>
            </w:r>
          </w:p>
        </w:tc>
        <w:tc>
          <w:tcPr>
            <w:tcW w:type="dxa" w:w="15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Produce</w:t>
            </w:r>
          </w:p>
        </w:tc>
        <w:tc>
          <w:tcPr>
            <w:tcW w:type="dxa" w:w="18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13</w:t>
            </w:r>
          </w:p>
        </w:tc>
        <w:tc>
          <w:tcPr>
            <w:tcW w:type="dxa" w:w="18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5</w:t>
            </w:r>
          </w:p>
        </w:tc>
        <w:tc>
          <w:tcPr>
            <w:tcW w:type="dxa" w:w="24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Strong</w:t>
            </w:r>
          </w:p>
        </w:tc>
      </w:tr>
    </w:tbl>
    <w:p>
      <w:pPr>
        <w:spacing w:after="120" w:line="320"/>
      </w:pPr>
      <w:r>
        <w:rPr>
          <w:rFonts w:ascii="Calibri" w:cs="Calibri" w:eastAsia="Calibri" w:hAnsi="Calibri"/>
          <w:color w:val="1F2937"/>
          <w:sz w:val="22"/>
          <w:szCs w:val="22"/>
        </w:rPr>
        <w:t xml:space="preserve">Apply and Analyze coverage are the deepest, reflecting Curriculate's design hypothesis that K-12 classrooms underserve those middle levels. Many engagement-tool competitors (Kahoot, Gimkit, Quizizz) sit almost entirely at Remember; many AI-grading competitors sit at Evaluate. Curriculate's distinctive coverage is the breadth across all six levels in a single session.</w:t>
      </w:r>
    </w:p>
    <w:p>
      <w:pPr>
        <w:pStyle w:val="Heading2"/>
        <w:spacing w:after="140" w:before="280"/>
      </w:pPr>
      <w:r>
        <w:rPr>
          <w:rFonts w:ascii="Calibri" w:cs="Calibri" w:eastAsia="Calibri" w:hAnsi="Calibri"/>
          <w:b/>
          <w:bCs/>
          <w:color w:val="1F4E79"/>
          <w:sz w:val="26"/>
          <w:szCs w:val="26"/>
        </w:rPr>
        <w:t xml:space="preserve">Evidence-based learning science alignment</w:t>
      </w:r>
    </w:p>
    <w:p>
      <w:pPr>
        <w:pStyle w:val="ListParagraph"/>
        <w:numPr>
          <w:ilvl w:val="0"/>
          <w:numId w:val="2"/>
        </w:numPr>
        <w:spacing w:after="80" w:line="300"/>
      </w:pPr>
      <w:r>
        <w:rPr>
          <w:rFonts w:ascii="Calibri" w:cs="Calibri" w:eastAsia="Calibri" w:hAnsi="Calibri"/>
          <w:b/>
          <w:bCs/>
          <w:color w:val="1F2937"/>
          <w:sz w:val="22"/>
          <w:szCs w:val="22"/>
        </w:rPr>
        <w:t xml:space="preserve">Retrieval practice (Roediger &amp; Karpicke). </w:t>
      </w:r>
      <w:r>
        <w:rPr>
          <w:rFonts w:ascii="Calibri" w:cs="Calibri" w:eastAsia="Calibri" w:hAnsi="Calibri"/>
          <w:color w:val="1F2937"/>
          <w:sz w:val="22"/>
          <w:szCs w:val="22"/>
        </w:rPr>
        <w:t xml:space="preserve">Flashcards, Flashcards Race, Trivia, Spinner, What Am I?, and Truth or Dare's truth-questions are all retrieval-practice instruments. The retry-after-LevelUp loop extends them into spaced retrieval.</w:t>
      </w:r>
    </w:p>
    <w:p>
      <w:pPr>
        <w:pStyle w:val="ListParagraph"/>
        <w:numPr>
          <w:ilvl w:val="0"/>
          <w:numId w:val="2"/>
        </w:numPr>
        <w:spacing w:after="80" w:line="300"/>
      </w:pPr>
      <w:r>
        <w:rPr>
          <w:rFonts w:ascii="Calibri" w:cs="Calibri" w:eastAsia="Calibri" w:hAnsi="Calibri"/>
          <w:b/>
          <w:bCs/>
          <w:color w:val="1F2937"/>
          <w:sz w:val="22"/>
          <w:szCs w:val="22"/>
        </w:rPr>
        <w:t xml:space="preserve">Active learning (Freeman et al., 2014 meta-analysis). </w:t>
      </w:r>
      <w:r>
        <w:rPr>
          <w:rFonts w:ascii="Calibri" w:cs="Calibri" w:eastAsia="Calibri" w:hAnsi="Calibri"/>
          <w:color w:val="1F2937"/>
          <w:sz w:val="22"/>
          <w:szCs w:val="22"/>
        </w:rPr>
        <w:t xml:space="preserve">Movement tasks (Mad Dash, Musical Chairs, Hide &amp; Seek, Treasure Runner, Hole in One) operationalise active learning physically. Speech tasks (Pronunciation, Echo Chain, Teach-Back, Live Debate) operationalise it verbally.</w:t>
      </w:r>
    </w:p>
    <w:p>
      <w:pPr>
        <w:pStyle w:val="ListParagraph"/>
        <w:numPr>
          <w:ilvl w:val="0"/>
          <w:numId w:val="2"/>
        </w:numPr>
        <w:spacing w:after="80" w:line="300"/>
      </w:pPr>
      <w:r>
        <w:rPr>
          <w:rFonts w:ascii="Calibri" w:cs="Calibri" w:eastAsia="Calibri" w:hAnsi="Calibri"/>
          <w:b/>
          <w:bCs/>
          <w:color w:val="1F2937"/>
          <w:sz w:val="22"/>
          <w:szCs w:val="22"/>
        </w:rPr>
        <w:t xml:space="preserve">Mastery learning (Bloom, 1968). </w:t>
      </w:r>
      <w:r>
        <w:rPr>
          <w:rFonts w:ascii="Calibri" w:cs="Calibri" w:eastAsia="Calibri" w:hAnsi="Calibri"/>
          <w:color w:val="1F2937"/>
          <w:sz w:val="22"/>
          <w:szCs w:val="22"/>
        </w:rPr>
        <w:t xml:space="preserve">LevelUp is a direct implementation: students get a second pass at the task they performed worst on, with the gradebook crediting the maximum of the two attempts and a small mastery bonus on improvement.</w:t>
      </w:r>
    </w:p>
    <w:p>
      <w:pPr>
        <w:pStyle w:val="ListParagraph"/>
        <w:numPr>
          <w:ilvl w:val="0"/>
          <w:numId w:val="2"/>
        </w:numPr>
        <w:spacing w:after="80" w:line="300"/>
      </w:pPr>
      <w:r>
        <w:rPr>
          <w:rFonts w:ascii="Calibri" w:cs="Calibri" w:eastAsia="Calibri" w:hAnsi="Calibri"/>
          <w:b/>
          <w:bCs/>
          <w:color w:val="1F2937"/>
          <w:sz w:val="22"/>
          <w:szCs w:val="22"/>
        </w:rPr>
        <w:t xml:space="preserve">Formative assessment (Black &amp; Wiliam). </w:t>
      </w:r>
      <w:r>
        <w:rPr>
          <w:rFonts w:ascii="Calibri" w:cs="Calibri" w:eastAsia="Calibri" w:hAnsi="Calibri"/>
          <w:color w:val="1F2937"/>
          <w:sz w:val="22"/>
          <w:szCs w:val="22"/>
        </w:rPr>
        <w:t xml:space="preserve">Pulse Grading's per-question audit, the teacher peek window in Truth or Dare, and the audience-vote mechanics across multiple task types all deliver rapid, low-stakes formative feedback.</w:t>
      </w:r>
    </w:p>
    <w:p>
      <w:pPr>
        <w:pStyle w:val="ListParagraph"/>
        <w:numPr>
          <w:ilvl w:val="0"/>
          <w:numId w:val="2"/>
        </w:numPr>
        <w:spacing w:after="80" w:line="300"/>
      </w:pPr>
      <w:r>
        <w:rPr>
          <w:rFonts w:ascii="Calibri" w:cs="Calibri" w:eastAsia="Calibri" w:hAnsi="Calibri"/>
          <w:b/>
          <w:bCs/>
          <w:color w:val="1F2937"/>
          <w:sz w:val="22"/>
          <w:szCs w:val="22"/>
        </w:rPr>
        <w:t xml:space="preserve">Differentiated instruction. </w:t>
      </w:r>
      <w:r>
        <w:rPr>
          <w:rFonts w:ascii="Calibri" w:cs="Calibri" w:eastAsia="Calibri" w:hAnsi="Calibri"/>
          <w:color w:val="1F2937"/>
          <w:sz w:val="22"/>
          <w:szCs w:val="22"/>
        </w:rPr>
        <w:t xml:space="preserve">Per-student strictness adjustment, the three-tier escalation system in Truth or Dare (Sprout / Stem / Big), the configurable intensity caps (physical, social, noise), and the worldview profile (general / secular / faith) all let the same task render differently across rooms.</w:t>
      </w:r>
    </w:p>
    <w:p>
      <w:pPr>
        <w:pStyle w:val="ListParagraph"/>
        <w:numPr>
          <w:ilvl w:val="0"/>
          <w:numId w:val="2"/>
        </w:numPr>
        <w:spacing w:after="80" w:line="300"/>
      </w:pPr>
      <w:r>
        <w:rPr>
          <w:rFonts w:ascii="Calibri" w:cs="Calibri" w:eastAsia="Calibri" w:hAnsi="Calibri"/>
          <w:b/>
          <w:bCs/>
          <w:color w:val="1F2937"/>
          <w:sz w:val="22"/>
          <w:szCs w:val="22"/>
        </w:rPr>
        <w:t xml:space="preserve">Cooperative learning (Johnson &amp; Johnson). </w:t>
      </w:r>
      <w:r>
        <w:rPr>
          <w:rFonts w:ascii="Calibri" w:cs="Calibri" w:eastAsia="Calibri" w:hAnsi="Calibri"/>
          <w:color w:val="1F2937"/>
          <w:sz w:val="22"/>
          <w:szCs w:val="22"/>
        </w:rPr>
        <w:t xml:space="preserve">Collaboration tasks, brainstorm battles, peer editing, team-selfie, and shared mission objectives in Quest Mode require positive interdependence to succeed.</w:t>
      </w:r>
    </w:p>
    <w:p>
      <w:pPr>
        <w:pStyle w:val="ListParagraph"/>
        <w:numPr>
          <w:ilvl w:val="0"/>
          <w:numId w:val="2"/>
        </w:numPr>
        <w:spacing w:after="80" w:line="300"/>
      </w:pPr>
      <w:r>
        <w:rPr>
          <w:rFonts w:ascii="Calibri" w:cs="Calibri" w:eastAsia="Calibri" w:hAnsi="Calibri"/>
          <w:b/>
          <w:bCs/>
          <w:color w:val="1F2937"/>
          <w:sz w:val="22"/>
          <w:szCs w:val="22"/>
        </w:rPr>
        <w:t xml:space="preserve">Anti-bias and psychological safety engineering. </w:t>
      </w:r>
      <w:r>
        <w:rPr>
          <w:rFonts w:ascii="Calibri" w:cs="Calibri" w:eastAsia="Calibri" w:hAnsi="Calibri"/>
          <w:color w:val="1F2937"/>
          <w:sz w:val="22"/>
          <w:szCs w:val="22"/>
        </w:rPr>
        <w:t xml:space="preserve">The Careers anti-prestige-bias prompt, the Whodunnit anti-public-naming guard, the Truth or Dare 5-layer moderation pipeline with absolute no-fly zone (no romance, no personal disclosure, no humiliation), and the configurable safe-classroom mode together represent a pedagogically deliberate stance: engagement should never trade off against student safety.</w:t>
      </w:r>
    </w:p>
    <w:p>
      <w:pPr>
        <w:pStyle w:val="Heading2"/>
        <w:spacing w:after="140" w:before="280"/>
      </w:pPr>
      <w:r>
        <w:rPr>
          <w:rFonts w:ascii="Calibri" w:cs="Calibri" w:eastAsia="Calibri" w:hAnsi="Calibri"/>
          <w:b/>
          <w:bCs/>
          <w:color w:val="1F4E79"/>
          <w:sz w:val="26"/>
          <w:szCs w:val="26"/>
        </w:rPr>
        <w:t xml:space="preserve">Pedagogical innovation moats</w:t>
      </w:r>
    </w:p>
    <w:p>
      <w:pPr>
        <w:pStyle w:val="ListParagraph"/>
        <w:numPr>
          <w:ilvl w:val="0"/>
          <w:numId w:val="2"/>
        </w:numPr>
        <w:spacing w:after="80" w:line="300"/>
      </w:pPr>
      <w:r>
        <w:rPr>
          <w:rFonts w:ascii="Calibri" w:cs="Calibri" w:eastAsia="Calibri" w:hAnsi="Calibri"/>
          <w:b/>
          <w:bCs/>
          <w:color w:val="1F2937"/>
          <w:sz w:val="22"/>
          <w:szCs w:val="22"/>
        </w:rPr>
        <w:t xml:space="preserve">Subject-affinity matrix. </w:t>
      </w:r>
      <w:r>
        <w:rPr>
          <w:rFonts w:ascii="Calibri" w:cs="Calibri" w:eastAsia="Calibri" w:hAnsi="Calibri"/>
          <w:color w:val="1F2937"/>
          <w:sz w:val="22"/>
          <w:szCs w:val="22"/>
        </w:rPr>
        <w:t xml:space="preserve">Every task type has a per-subject fit weight (math / science / history / language / arts / health / business / religion / general). The AI taskset generator uses this matrix to bias selection toward task types that are likely to land for the discipline. No competitor publishes or uses an analogous structure.</w:t>
      </w:r>
    </w:p>
    <w:p>
      <w:pPr>
        <w:pStyle w:val="ListParagraph"/>
        <w:numPr>
          <w:ilvl w:val="0"/>
          <w:numId w:val="2"/>
        </w:numPr>
        <w:spacing w:after="80" w:line="300"/>
      </w:pPr>
      <w:r>
        <w:rPr>
          <w:rFonts w:ascii="Calibri" w:cs="Calibri" w:eastAsia="Calibri" w:hAnsi="Calibri"/>
          <w:b/>
          <w:bCs/>
          <w:color w:val="1F2937"/>
          <w:sz w:val="22"/>
          <w:szCs w:val="22"/>
        </w:rPr>
        <w:t xml:space="preserve">Task-shell template system. </w:t>
      </w:r>
      <w:r>
        <w:rPr>
          <w:rFonts w:ascii="Calibri" w:cs="Calibri" w:eastAsia="Calibri" w:hAnsi="Calibri"/>
          <w:color w:val="1F2937"/>
          <w:sz w:val="22"/>
          <w:szCs w:val="22"/>
        </w:rPr>
        <w:t xml:space="preserve">23 shell builders constrain the AI to schema-correct output; the diagnose-and-fix endpoint can repair any malformed taskset in three passes (deterministic sanitize → validate → AI repair). The 230-run test suite (23 types × 10 vocab sets) gates regressions.</w:t>
      </w:r>
    </w:p>
    <w:p>
      <w:pPr>
        <w:pStyle w:val="ListParagraph"/>
        <w:numPr>
          <w:ilvl w:val="0"/>
          <w:numId w:val="2"/>
        </w:numPr>
        <w:spacing w:after="80" w:line="300"/>
      </w:pPr>
      <w:r>
        <w:rPr>
          <w:rFonts w:ascii="Calibri" w:cs="Calibri" w:eastAsia="Calibri" w:hAnsi="Calibri"/>
          <w:b/>
          <w:bCs/>
          <w:color w:val="1F2937"/>
          <w:sz w:val="22"/>
          <w:szCs w:val="22"/>
        </w:rPr>
        <w:t xml:space="preserve">Cross-system orchestration. </w:t>
      </w:r>
      <w:r>
        <w:rPr>
          <w:rFonts w:ascii="Calibri" w:cs="Calibri" w:eastAsia="Calibri" w:hAnsi="Calibri"/>
          <w:color w:val="1F2937"/>
          <w:sz w:val="22"/>
          <w:szCs w:val="22"/>
        </w:rPr>
        <w:t xml:space="preserve">A single session can run a main taskset, an Escape Room overlay, a Whodunnit overlay, a Quest economy mirror, LevelUp retries, and auto-Duels all simultaneously. The orchestration logic is server-authoritative and idempotent across reconnects. This is the operational equivalent of running six games in one classroom — no engagement-tool competitor offers anything close.</w:t>
      </w:r>
    </w:p>
    <w:p>
      <w:pPr>
        <w:pStyle w:val="ListParagraph"/>
        <w:numPr>
          <w:ilvl w:val="0"/>
          <w:numId w:val="2"/>
        </w:numPr>
        <w:spacing w:after="80" w:line="300"/>
      </w:pPr>
      <w:r>
        <w:rPr>
          <w:rFonts w:ascii="Calibri" w:cs="Calibri" w:eastAsia="Calibri" w:hAnsi="Calibri"/>
          <w:b/>
          <w:bCs/>
          <w:color w:val="1F2937"/>
          <w:sz w:val="22"/>
          <w:szCs w:val="22"/>
        </w:rPr>
        <w:t xml:space="preserve">Safety-engineered party-game category. </w:t>
      </w:r>
      <w:r>
        <w:rPr>
          <w:rFonts w:ascii="Calibri" w:cs="Calibri" w:eastAsia="Calibri" w:hAnsi="Calibri"/>
          <w:color w:val="1F2937"/>
          <w:sz w:val="22"/>
          <w:szCs w:val="22"/>
        </w:rPr>
        <w:t xml:space="preserve">Truth or Dare is the only AI-driven classroom party game with a published 5-layer safety pipeline, an evergreen curated library as fail-safe, a worldview-aware prompt, and a teacher peek+override+reroll+inject control surface. The category previously had no production-grade entrant.</w:t>
      </w:r>
    </w:p>
    <w:p>
      <w:pPr>
        <w:pStyle w:val="ListParagraph"/>
        <w:numPr>
          <w:ilvl w:val="0"/>
          <w:numId w:val="2"/>
        </w:numPr>
        <w:spacing w:after="80" w:line="300"/>
      </w:pPr>
      <w:r>
        <w:rPr>
          <w:rFonts w:ascii="Calibri" w:cs="Calibri" w:eastAsia="Calibri" w:hAnsi="Calibri"/>
          <w:b/>
          <w:bCs/>
          <w:color w:val="1F2937"/>
          <w:sz w:val="22"/>
          <w:szCs w:val="22"/>
        </w:rPr>
        <w:t xml:space="preserve">Bloom's taxonomy as configuration. </w:t>
      </w:r>
      <w:r>
        <w:rPr>
          <w:rFonts w:ascii="Calibri" w:cs="Calibri" w:eastAsia="Calibri" w:hAnsi="Calibri"/>
          <w:color w:val="1F2937"/>
          <w:sz w:val="22"/>
          <w:szCs w:val="22"/>
        </w:rPr>
        <w:t xml:space="preserve">Every task type is mapped to one primary + one or two secondary Bloom levels. Teachers can request a taskset that hits specified levels; the AI taskset generator honours the request. This is rare even in mature LMS products.</w:t>
      </w:r>
    </w:p>
    <w:p>
      <w:pPr>
        <w:pStyle w:val="Heading2"/>
        <w:spacing w:after="140" w:before="280"/>
      </w:pPr>
      <w:r>
        <w:rPr>
          <w:rFonts w:ascii="Calibri" w:cs="Calibri" w:eastAsia="Calibri" w:hAnsi="Calibri"/>
          <w:b/>
          <w:bCs/>
          <w:color w:val="1F4E79"/>
          <w:sz w:val="26"/>
          <w:szCs w:val="26"/>
        </w:rPr>
        <w:t xml:space="preserve">Pedagogical asset value</w:t>
      </w:r>
    </w:p>
    <w:p>
      <w:pPr>
        <w:spacing w:after="120" w:line="320"/>
      </w:pPr>
      <w:r>
        <w:rPr>
          <w:rFonts w:ascii="Calibri" w:cs="Calibri" w:eastAsia="Calibri" w:hAnsi="Calibri"/>
          <w:color w:val="1F2937"/>
          <w:sz w:val="22"/>
          <w:szCs w:val="22"/>
        </w:rPr>
        <w:t xml:space="preserve">The pedagogical value of Curriculate is not a separate dollar line item but a multiplier on the technical-asset value, because it determines whether the technical asset gets adopted at all. A K-12 buyer comparing two engagement tools at the same price point will choose the one whose Bloom's coverage matches their curriculum mapping, whose anti-bias engineering matches their equity policy, and whose differentiation controls match their classroom variance. Curriculate now wins all three comparisons by a wide margin in the late-May product surface.</w:t>
      </w:r>
    </w:p>
    <w:p>
      <w:pPr>
        <w:spacing w:after="120" w:line="320"/>
      </w:pPr>
      <w:r>
        <w:rPr>
          <w:rFonts w:ascii="Calibri" w:cs="Calibri" w:eastAsia="Calibri" w:hAnsi="Calibri"/>
          <w:color w:val="1F2937"/>
          <w:sz w:val="22"/>
          <w:szCs w:val="22"/>
        </w:rPr>
        <w:t xml:space="preserve">Quantified another way: the published DevPlans library (4,822 lines across eleven design documents) is itself an asset. Each plan doc encodes pedagogical decisions, safety rails, edge-case taxonomies, and implementation paths. Replacing this body of work, even with a competent in-house pedagogy team, would take three to six months of expert time ($75K–$200K loaded) — and the work would still need to be validated against the existing 112-assertion test suite.</w:t>
      </w:r>
    </w:p>
    <w:p>
      <w:pPr>
        <w:pStyle w:val="Heading1"/>
        <w:spacing w:after="200" w:before="400"/>
      </w:pPr>
      <w:r>
        <w:rPr>
          <w:rFonts w:ascii="Calibri" w:cs="Calibri" w:eastAsia="Calibri" w:hAnsi="Calibri"/>
          <w:b/>
          <w:bCs/>
          <w:color w:val="0F172A"/>
          <w:sz w:val="32"/>
          <w:szCs w:val="32"/>
        </w:rPr>
        <w:t xml:space="preserve">Technical Asset Valuation (Late-May Revision)</w:t>
      </w:r>
    </w:p>
    <w:p>
      <w:pPr>
        <w:spacing w:after="120" w:line="320"/>
      </w:pPr>
      <w:r>
        <w:rPr>
          <w:rFonts w:ascii="Calibri" w:cs="Calibri" w:eastAsia="Calibri" w:hAnsi="Calibri"/>
          <w:color w:val="1F2937"/>
          <w:sz w:val="22"/>
          <w:szCs w:val="22"/>
        </w:rPr>
        <w:t xml:space="preserve">The May 7 replacement-cost estimate of $2.2M – $4.1M is now adjusted upward to reflect the new lines of code, the new models, the new overlay systems, and the new safety-engineering surface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2400"/>
        <w:gridCol w:w="1460"/>
      </w:tblGrid>
      <w:tr>
        <w:tc>
          <w:tcPr>
            <w:tcW w:type="dxa" w:w="40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FFFFFF"/>
                <w:sz w:val="20"/>
                <w:szCs w:val="20"/>
              </w:rPr>
              <w:t xml:space="preserve">Component</w:t>
            </w:r>
          </w:p>
        </w:tc>
        <w:tc>
          <w:tcPr>
            <w:tcW w:type="dxa" w:w="15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Eng-months</w:t>
            </w:r>
          </w:p>
        </w:tc>
        <w:tc>
          <w:tcPr>
            <w:tcW w:type="dxa" w:w="24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Replacement cost (USD)</w:t>
            </w:r>
          </w:p>
        </w:tc>
        <w:tc>
          <w:tcPr>
            <w:tcW w:type="dxa" w:w="146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LOC</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Curriculate live engine (Socket.IO, room state, 30+ task types)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20–26</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$800K – $1.35M</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~85K</w:t>
            </w:r>
          </w:p>
        </w:tc>
      </w:tr>
      <w:tr>
        <w:tc>
          <w:tcPr>
            <w:tcW w:type="dxa" w:w="4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AI generation + scoring + sanitize/validate/playability pipeline</w:t>
            </w:r>
          </w:p>
        </w:tc>
        <w:tc>
          <w:tcPr>
            <w:tcW w:type="dxa" w:w="15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8–11</w:t>
            </w:r>
          </w:p>
        </w:tc>
        <w:tc>
          <w:tcPr>
            <w:tcW w:type="dxa" w:w="24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$320K – $550K</w:t>
            </w:r>
          </w:p>
        </w:tc>
        <w:tc>
          <w:tcPr>
            <w:tcW w:type="dxa" w:w="14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~17K</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Pulse Grading (5 input modes, voices, batch PDF, rotation, welfare detection)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9–13</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$360K – $650K</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~28K</w:t>
            </w:r>
          </w:p>
        </w:tc>
      </w:tr>
      <w:tr>
        <w:tc>
          <w:tcPr>
            <w:tcW w:type="dxa" w:w="4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Class linking platform (rosters, identity, Mode A/B/C, contacts, streak, trend, admin)</w:t>
            </w:r>
          </w:p>
        </w:tc>
        <w:tc>
          <w:tcPr>
            <w:tcW w:type="dxa" w:w="15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5–7</w:t>
            </w:r>
          </w:p>
        </w:tc>
        <w:tc>
          <w:tcPr>
            <w:tcW w:type="dxa" w:w="24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$200K – $350K</w:t>
            </w:r>
          </w:p>
        </w:tc>
        <w:tc>
          <w:tcPr>
            <w:tcW w:type="dxa" w:w="14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~8K</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Overlay systems (Escape Room, Whodunnit, Quest, LevelUp) + Duel + Truth or Dare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8–11</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$320K – $550K</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~22K</w:t>
            </w:r>
          </w:p>
        </w:tc>
      </w:tr>
      <w:tr>
        <w:tc>
          <w:tcPr>
            <w:tcW w:type="dxa" w:w="4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Truth or Dare safety pipeline (5-layer mod + evergreen library + patterns v1)</w:t>
            </w:r>
          </w:p>
        </w:tc>
        <w:tc>
          <w:tcPr>
            <w:tcW w:type="dxa" w:w="15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1.5–2.5</w:t>
            </w:r>
          </w:p>
        </w:tc>
        <w:tc>
          <w:tcPr>
            <w:tcW w:type="dxa" w:w="24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$60K – $125K</w:t>
            </w:r>
          </w:p>
        </w:tc>
        <w:tc>
          <w:tcPr>
            <w:tcW w:type="dxa" w:w="14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~2K</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Reporting pipeline (PDF, email templates, per-student reports, Edsby CSV, overlay tags)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4–6</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$160K – $300K</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~10K</w:t>
            </w:r>
          </w:p>
        </w:tc>
      </w:tr>
      <w:tr>
        <w:tc>
          <w:tcPr>
            <w:tcW w:type="dxa" w:w="4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Teacher dashboard / live presenter console (incl. new task consoles)</w:t>
            </w:r>
          </w:p>
        </w:tc>
        <w:tc>
          <w:tcPr>
            <w:tcW w:type="dxa" w:w="15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6–8</w:t>
            </w:r>
          </w:p>
        </w:tc>
        <w:tc>
          <w:tcPr>
            <w:tcW w:type="dxa" w:w="24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$240K – $400K</w:t>
            </w:r>
          </w:p>
        </w:tc>
        <w:tc>
          <w:tcPr>
            <w:tcW w:type="dxa" w:w="14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~25K</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Marketing / Pulse Grading frontend (Next.js, SEO, billing, sample-sessions page)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4–6</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$160K – $300K</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~32K</w:t>
            </w:r>
          </w:p>
        </w:tc>
      </w:tr>
      <w:tr>
        <w:tc>
          <w:tcPr>
            <w:tcW w:type="dxa" w:w="4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Mobile app (Capacitor 6 wrapper, signed AAB, native bridge)</w:t>
            </w:r>
          </w:p>
        </w:tc>
        <w:tc>
          <w:tcPr>
            <w:tcW w:type="dxa" w:w="15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1.5–2.5</w:t>
            </w:r>
          </w:p>
        </w:tc>
        <w:tc>
          <w:tcPr>
            <w:tcW w:type="dxa" w:w="24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$60K – $125K</w:t>
            </w:r>
          </w:p>
        </w:tc>
        <w:tc>
          <w:tcPr>
            <w:tcW w:type="dxa" w:w="14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~0.2K</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Billing, auth, infrastructure (Stripe, plan tiers, Mongoose models, deploy)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3–4</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$120K – $200K</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~12K</w:t>
            </w:r>
          </w:p>
        </w:tc>
      </w:tr>
      <w:tr>
        <w:tc>
          <w:tcPr>
            <w:tcW w:type="dxa" w:w="4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Admin / analytics / diagnostics (panels, logs, sanitize endpoints, outreach)</w:t>
            </w:r>
          </w:p>
        </w:tc>
        <w:tc>
          <w:tcPr>
            <w:tcW w:type="dxa" w:w="15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2–3</w:t>
            </w:r>
          </w:p>
        </w:tc>
        <w:tc>
          <w:tcPr>
            <w:tcW w:type="dxa" w:w="24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$80K – $150K</w:t>
            </w:r>
          </w:p>
        </w:tc>
        <w:tc>
          <w:tcPr>
            <w:tcW w:type="dxa" w:w="14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~9K</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Tests (112-assertion suite), DevPlans library (11 docs), prompt engineering, polish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4–6</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$160K – $300K</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~7K</w:t>
            </w:r>
          </w:p>
        </w:tc>
      </w:tr>
      <w:tr>
        <w:tc>
          <w:tcPr>
            <w:tcW w:type="dxa" w:w="400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1F2937"/>
                <w:sz w:val="20"/>
                <w:szCs w:val="20"/>
              </w:rPr>
              <w:t xml:space="preserve">TOTAL</w:t>
            </w:r>
          </w:p>
        </w:tc>
        <w:tc>
          <w:tcPr>
            <w:tcW w:type="dxa" w:w="150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76–106 months</w:t>
            </w:r>
          </w:p>
        </w:tc>
        <w:tc>
          <w:tcPr>
            <w:tcW w:type="dxa" w:w="240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$3.0M – $5.4M</w:t>
            </w:r>
          </w:p>
        </w:tc>
        <w:tc>
          <w:tcPr>
            <w:tcW w:type="dxa" w:w="146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~257K</w:t>
            </w:r>
          </w:p>
        </w:tc>
      </w:tr>
    </w:tbl>
    <w:p>
      <w:pPr>
        <w:spacing w:after="120" w:line="320"/>
      </w:pPr>
      <w:r>
        <w:rPr>
          <w:rFonts w:ascii="Calibri" w:cs="Calibri" w:eastAsia="Calibri" w:hAnsi="Calibri"/>
          <w:color w:val="1F2937"/>
          <w:sz w:val="22"/>
          <w:szCs w:val="22"/>
        </w:rPr>
        <w:t xml:space="preserve">Adjusted technical replacement cost: </w:t>
      </w:r>
      <w:r>
        <w:rPr>
          <w:rFonts w:ascii="Calibri" w:cs="Calibri" w:eastAsia="Calibri" w:hAnsi="Calibri"/>
          <w:b/>
          <w:bCs/>
          <w:color w:val="1F2937"/>
          <w:sz w:val="22"/>
          <w:szCs w:val="22"/>
        </w:rPr>
        <w:t xml:space="preserve">$3.0M – $5.4M</w:t>
      </w:r>
      <w:r>
        <w:rPr>
          <w:rFonts w:ascii="Calibri" w:cs="Calibri" w:eastAsia="Calibri" w:hAnsi="Calibri"/>
          <w:color w:val="1F2937"/>
          <w:sz w:val="22"/>
          <w:szCs w:val="22"/>
        </w:rPr>
        <w:t xml:space="preserve">. Adding embedded product knowledge, AI prompt-engineering iterations, pedagogical design decisions, classroom-tested operational learnings, and the eighteen-plus months of teacher feedback already absorbed into the codebase: multiply by 1.4× – 1.7×. Adjusted cost-based valuation: </w:t>
      </w:r>
      <w:r>
        <w:rPr>
          <w:rFonts w:ascii="Calibri" w:cs="Calibri" w:eastAsia="Calibri" w:hAnsi="Calibri"/>
          <w:b/>
          <w:bCs/>
          <w:color w:val="1F2937"/>
          <w:sz w:val="22"/>
          <w:szCs w:val="22"/>
        </w:rPr>
        <w:t xml:space="preserve">$4.2M – $9.2M</w:t>
      </w:r>
      <w:r>
        <w:rPr>
          <w:rFonts w:ascii="Calibri" w:cs="Calibri" w:eastAsia="Calibri" w:hAnsi="Calibri"/>
          <w:color w:val="1F2937"/>
          <w:sz w:val="22"/>
          <w:szCs w:val="22"/>
        </w:rPr>
        <w:t xml:space="preserve"> (up from the May 7 figure of $3.1M – $7.0M).</w:t>
      </w:r>
    </w:p>
    <w:p>
      <w:pPr>
        <w:pStyle w:val="Heading1"/>
        <w:spacing w:after="200" w:before="400"/>
      </w:pPr>
      <w:r>
        <w:rPr>
          <w:rFonts w:ascii="Calibri" w:cs="Calibri" w:eastAsia="Calibri" w:hAnsi="Calibri"/>
          <w:b/>
          <w:bCs/>
          <w:color w:val="0F172A"/>
          <w:sz w:val="32"/>
          <w:szCs w:val="32"/>
        </w:rPr>
        <w:t xml:space="preserve">Market Analysis</w:t>
      </w:r>
    </w:p>
    <w:p>
      <w:pPr>
        <w:pStyle w:val="Heading2"/>
        <w:spacing w:after="140" w:before="280"/>
      </w:pPr>
      <w:r>
        <w:rPr>
          <w:rFonts w:ascii="Calibri" w:cs="Calibri" w:eastAsia="Calibri" w:hAnsi="Calibri"/>
          <w:b/>
          <w:bCs/>
          <w:color w:val="1F4E79"/>
          <w:sz w:val="26"/>
          <w:szCs w:val="26"/>
        </w:rPr>
        <w:t xml:space="preserve">Total Addressable Market</w:t>
      </w:r>
    </w:p>
    <w:p>
      <w:pPr>
        <w:spacing w:after="120" w:line="320"/>
      </w:pPr>
      <w:r>
        <w:rPr>
          <w:rFonts w:ascii="Calibri" w:cs="Calibri" w:eastAsia="Calibri" w:hAnsi="Calibri"/>
          <w:color w:val="1F2937"/>
          <w:sz w:val="22"/>
          <w:szCs w:val="22"/>
        </w:rPr>
        <w:t xml:space="preserve">The global EdTech market is projected at $400B+ by 2027. Segments addressed: classroom engagement tools ($8–12B), formative assessment platforms ($5–8B), AI lesson-planning tools ($2–4B), AI grading and feedback tools ($3–6B, growing fast), and corporate team-building / event platforms ($3–5B). Combined serviceable addressable market: approximately $21–35B.</w:t>
      </w:r>
    </w:p>
    <w:p>
      <w:pPr>
        <w:pStyle w:val="Heading2"/>
        <w:spacing w:after="140" w:before="280"/>
      </w:pPr>
      <w:r>
        <w:rPr>
          <w:rFonts w:ascii="Calibri" w:cs="Calibri" w:eastAsia="Calibri" w:hAnsi="Calibri"/>
          <w:b/>
          <w:bCs/>
          <w:color w:val="1F4E79"/>
          <w:sz w:val="26"/>
          <w:szCs w:val="26"/>
        </w:rPr>
        <w:t xml:space="preserve">Competitive Landscape</w:t>
      </w:r>
    </w:p>
    <w:p>
      <w:pPr>
        <w:spacing w:after="120" w:line="320"/>
      </w:pPr>
      <w:r>
        <w:rPr>
          <w:rFonts w:ascii="Calibri" w:cs="Calibri" w:eastAsia="Calibri" w:hAnsi="Calibri"/>
          <w:b/>
          <w:bCs/>
          <w:color w:val="1F2937"/>
          <w:sz w:val="22"/>
          <w:szCs w:val="22"/>
        </w:rPr>
        <w:t xml:space="preserve">Live engagement (Curriculate side): </w:t>
      </w:r>
      <w:r>
        <w:rPr>
          <w:rFonts w:ascii="Calibri" w:cs="Calibri" w:eastAsia="Calibri" w:hAnsi="Calibri"/>
          <w:color w:val="1F2937"/>
          <w:sz w:val="22"/>
          <w:szCs w:val="22"/>
        </w:rPr>
        <w:t xml:space="preserve">Kahoot, Quizlet, Gimkit, Blooket, Quizizz remain quiz-centric — 3–5 task types each, no station rotation, no movement tasks, no AI orchestration of pacing, no overlay systems, no safety-engineered party-game layer. Curriculate now covers thirty-plus task components and four concurrent overlay systems. The competitive distance has widened since May 7, not narrowed.</w:t>
      </w:r>
    </w:p>
    <w:p>
      <w:pPr>
        <w:spacing w:after="120" w:line="320"/>
      </w:pPr>
      <w:r>
        <w:rPr>
          <w:rFonts w:ascii="Calibri" w:cs="Calibri" w:eastAsia="Calibri" w:hAnsi="Calibri"/>
          <w:b/>
          <w:bCs/>
          <w:color w:val="1F2937"/>
          <w:sz w:val="22"/>
          <w:szCs w:val="22"/>
        </w:rPr>
        <w:t xml:space="preserve">AI grading (Pulse Grading side): </w:t>
      </w:r>
      <w:r>
        <w:rPr>
          <w:rFonts w:ascii="Calibri" w:cs="Calibri" w:eastAsia="Calibri" w:hAnsi="Calibri"/>
          <w:color w:val="1F2937"/>
          <w:sz w:val="22"/>
          <w:szCs w:val="22"/>
        </w:rPr>
        <w:t xml:space="preserve">GradeAI, EssayGrader, MagicSchool AI, Khanmigo. Most are single-input. Pulse Grading's five-mode coverage, welfare-detection, and Edsby gradebook export pipeline remain differentiators.</w:t>
      </w:r>
    </w:p>
    <w:p>
      <w:pPr>
        <w:spacing w:after="120" w:line="320"/>
      </w:pPr>
      <w:r>
        <w:rPr>
          <w:rFonts w:ascii="Calibri" w:cs="Calibri" w:eastAsia="Calibri" w:hAnsi="Calibri"/>
          <w:b/>
          <w:bCs/>
          <w:color w:val="1F2937"/>
          <w:sz w:val="22"/>
          <w:szCs w:val="22"/>
        </w:rPr>
        <w:t xml:space="preserve">LMS adjacency: </w:t>
      </w:r>
      <w:r>
        <w:rPr>
          <w:rFonts w:ascii="Calibri" w:cs="Calibri" w:eastAsia="Calibri" w:hAnsi="Calibri"/>
          <w:color w:val="1F2937"/>
          <w:sz w:val="22"/>
          <w:szCs w:val="22"/>
        </w:rPr>
        <w:t xml:space="preserve">Google Classroom, Canvas, Edsby. The Edsby roster integration positions Curriculate as a value-add inside the Edsby ecosystem rather than a competitor.</w:t>
      </w:r>
    </w:p>
    <w:p>
      <w:pPr>
        <w:spacing w:after="120" w:line="320"/>
      </w:pPr>
      <w:r>
        <w:rPr>
          <w:rFonts w:ascii="Calibri" w:cs="Calibri" w:eastAsia="Calibri" w:hAnsi="Calibri"/>
          <w:b/>
          <w:bCs/>
          <w:color w:val="1F2937"/>
          <w:sz w:val="22"/>
          <w:szCs w:val="22"/>
        </w:rPr>
        <w:t xml:space="preserve">Party-game / icebreaker tools (new category): </w:t>
      </w:r>
      <w:r>
        <w:rPr>
          <w:rFonts w:ascii="Calibri" w:cs="Calibri" w:eastAsia="Calibri" w:hAnsi="Calibri"/>
          <w:color w:val="1F2937"/>
          <w:sz w:val="22"/>
          <w:szCs w:val="22"/>
        </w:rPr>
        <w:t xml:space="preserve">no production-grade competitor exists for AI-generated, safety-moderated, classroom-appropriate Truth or Dare. The closest analogue is consumer party-game apps (Heads Up!, We're Not Really Strangers), none of which are pedagogically tied or moderated.</w:t>
      </w:r>
    </w:p>
    <w:p>
      <w:pPr>
        <w:pStyle w:val="Heading2"/>
        <w:spacing w:after="140" w:before="280"/>
      </w:pPr>
      <w:r>
        <w:rPr>
          <w:rFonts w:ascii="Calibri" w:cs="Calibri" w:eastAsia="Calibri" w:hAnsi="Calibri"/>
          <w:b/>
          <w:bCs/>
          <w:color w:val="1F4E79"/>
          <w:sz w:val="26"/>
          <w:szCs w:val="26"/>
        </w:rPr>
        <w:t xml:space="preserve">Unique Market Position</w:t>
      </w:r>
    </w:p>
    <w:p>
      <w:pPr>
        <w:spacing w:after="120" w:line="320"/>
      </w:pPr>
      <w:r>
        <w:rPr>
          <w:rFonts w:ascii="Calibri" w:cs="Calibri" w:eastAsia="Calibri" w:hAnsi="Calibri"/>
          <w:color w:val="1F2937"/>
          <w:sz w:val="22"/>
          <w:szCs w:val="22"/>
        </w:rPr>
        <w:t xml:space="preserve">Curriculate now occupies a five-way intersection that no competitor covers: AI-powered lesson planning + physical station rotation + real-time team-based gameplay + automated reporting with Edsby gradebook export + safety-engineered party-game layer. The Pulse Grading product widens the wedge into AI-grading. The class-linking layer remains genuinely novel.</w:t>
      </w:r>
    </w:p>
    <w:p>
      <w:pPr>
        <w:pStyle w:val="Heading1"/>
        <w:spacing w:after="200" w:before="400"/>
      </w:pPr>
      <w:r>
        <w:rPr>
          <w:rFonts w:ascii="Calibri" w:cs="Calibri" w:eastAsia="Calibri" w:hAnsi="Calibri"/>
          <w:b/>
          <w:bCs/>
          <w:color w:val="0F172A"/>
          <w:sz w:val="32"/>
          <w:szCs w:val="32"/>
        </w:rPr>
        <w:t xml:space="preserve">Traction Update — May 2026</w:t>
      </w:r>
    </w:p>
    <w:p>
      <w:pPr>
        <w:spacing w:after="120" w:line="320"/>
      </w:pPr>
      <w:r>
        <w:rPr>
          <w:rFonts w:ascii="Calibri" w:cs="Calibri" w:eastAsia="Calibri" w:hAnsi="Calibri"/>
          <w:color w:val="1F2937"/>
          <w:sz w:val="22"/>
          <w:szCs w:val="22"/>
        </w:rPr>
        <w:t xml:space="preserve">The dashboard figures from the May 7 valuation are unchanged in this revision; the late-May work is product-side rather than user-acquisition-side. For completeness, the headline metrics from the operational dashboard at the time of the May 7 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FFFFFF"/>
                <w:sz w:val="20"/>
                <w:szCs w:val="20"/>
              </w:rPr>
              <w:t xml:space="preserve">Metric</w:t>
            </w:r>
          </w:p>
        </w:tc>
        <w:tc>
          <w:tcPr>
            <w:tcW w:type="dxa" w:w="15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Value</w:t>
            </w:r>
          </w:p>
        </w:tc>
        <w:tc>
          <w:tcPr>
            <w:tcW w:type="dxa" w:w="486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FFFFFF"/>
                <w:sz w:val="20"/>
                <w:szCs w:val="20"/>
              </w:rPr>
              <w:t xml:space="preserve">Read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Total submissions (cumulative)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5,452</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Real workflow volume.</w:t>
            </w:r>
          </w:p>
        </w:tc>
      </w:tr>
      <w:tr>
        <w:tc>
          <w:tcPr>
            <w:tcW w:type="dxa" w:w="3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Submissions in last 30 days</w:t>
            </w:r>
          </w:p>
        </w:tc>
        <w:tc>
          <w:tcPr>
            <w:tcW w:type="dxa" w:w="15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3,856</w:t>
            </w:r>
          </w:p>
        </w:tc>
        <w:tc>
          <w:tcPr>
            <w:tcW w:type="dxa" w:w="48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~14 graded submissions per active teacher per month.</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Unique users (all time)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290</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273 active in the last 30 days — minimal churn.</w:t>
            </w:r>
          </w:p>
        </w:tc>
      </w:tr>
      <w:tr>
        <w:tc>
          <w:tcPr>
            <w:tcW w:type="dxa" w:w="3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Active users (30d)</w:t>
            </w:r>
          </w:p>
        </w:tc>
        <w:tc>
          <w:tcPr>
            <w:tcW w:type="dxa" w:w="15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273</w:t>
            </w:r>
          </w:p>
        </w:tc>
        <w:tc>
          <w:tcPr>
            <w:tcW w:type="dxa" w:w="48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Monthly Active Users — conversion denominator.</w:t>
            </w:r>
          </w:p>
        </w:tc>
      </w:tr>
      <w:tr>
        <w:tc>
          <w:tcPr>
            <w:tcW w:type="dxa" w:w="3000"/>
            <w:tcBorders>
              <w:top w:val="single" w:color="D1D5DB" w:sz="1"/>
              <w:left w:val="single" w:color="D1D5DB" w:sz="1"/>
              <w:bottom w:val="single" w:color="D1D5DB" w:sz="1"/>
              <w:right w:val="single" w:color="D1D5DB" w:sz="1"/>
            </w:tcBorders>
            <w:shd w:fill="ECFDF5"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1F2937"/>
                <w:sz w:val="20"/>
                <w:szCs w:val="20"/>
              </w:rPr>
              <w:t xml:space="preserve">Repeat-user rate (30d)</w:t>
            </w:r>
          </w:p>
        </w:tc>
        <w:tc>
          <w:tcPr>
            <w:tcW w:type="dxa" w:w="1500"/>
            <w:tcBorders>
              <w:top w:val="single" w:color="D1D5DB" w:sz="1"/>
              <w:left w:val="single" w:color="D1D5DB" w:sz="1"/>
              <w:bottom w:val="single" w:color="D1D5DB" w:sz="1"/>
              <w:right w:val="single" w:color="D1D5DB" w:sz="1"/>
            </w:tcBorders>
            <w:shd w:fill="ECFDF5"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84.6%</w:t>
            </w:r>
          </w:p>
        </w:tc>
        <w:tc>
          <w:tcPr>
            <w:tcW w:type="dxa" w:w="4860"/>
            <w:tcBorders>
              <w:top w:val="single" w:color="D1D5DB" w:sz="1"/>
              <w:left w:val="single" w:color="D1D5DB" w:sz="1"/>
              <w:bottom w:val="single" w:color="D1D5DB" w:sz="1"/>
              <w:right w:val="single" w:color="D1D5DB" w:sz="1"/>
            </w:tcBorders>
            <w:shd w:fill="ECFDF5"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K-12 typical: 50–65%. Far above norm.</w:t>
            </w:r>
          </w:p>
        </w:tc>
      </w:tr>
      <w:tr>
        <w:tc>
          <w:tcPr>
            <w:tcW w:type="dxa" w:w="3000"/>
            <w:tcBorders>
              <w:top w:val="single" w:color="D1D5DB" w:sz="1"/>
              <w:left w:val="single" w:color="D1D5DB" w:sz="1"/>
              <w:bottom w:val="single" w:color="D1D5DB" w:sz="1"/>
              <w:right w:val="single" w:color="D1D5DB" w:sz="1"/>
            </w:tcBorders>
            <w:shd w:fill="ECFDF5"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1F2937"/>
                <w:sz w:val="20"/>
                <w:szCs w:val="20"/>
              </w:rPr>
              <w:t xml:space="preserve">Power-user rate (5+ submissions, 30d)</w:t>
            </w:r>
          </w:p>
        </w:tc>
        <w:tc>
          <w:tcPr>
            <w:tcW w:type="dxa" w:w="1500"/>
            <w:tcBorders>
              <w:top w:val="single" w:color="D1D5DB" w:sz="1"/>
              <w:left w:val="single" w:color="D1D5DB" w:sz="1"/>
              <w:bottom w:val="single" w:color="D1D5DB" w:sz="1"/>
              <w:right w:val="single" w:color="D1D5DB" w:sz="1"/>
            </w:tcBorders>
            <w:shd w:fill="ECFDF5"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65.2%</w:t>
            </w:r>
          </w:p>
        </w:tc>
        <w:tc>
          <w:tcPr>
            <w:tcW w:type="dxa" w:w="4860"/>
            <w:tcBorders>
              <w:top w:val="single" w:color="D1D5DB" w:sz="1"/>
              <w:left w:val="single" w:color="D1D5DB" w:sz="1"/>
              <w:bottom w:val="single" w:color="D1D5DB" w:sz="1"/>
              <w:right w:val="single" w:color="D1D5DB" w:sz="1"/>
            </w:tcBorders>
            <w:shd w:fill="ECFDF5"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K-12 typical: 25–40%. Strong PMF signal.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Submissions today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56</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Steady daily run rate.</w:t>
            </w:r>
          </w:p>
        </w:tc>
      </w:tr>
      <w:tr>
        <w:tc>
          <w:tcPr>
            <w:tcW w:type="dxa" w:w="3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Results published (cumulative)</w:t>
            </w:r>
          </w:p>
        </w:tc>
        <w:tc>
          <w:tcPr>
            <w:tcW w:type="dxa" w:w="15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4,583</w:t>
            </w:r>
          </w:p>
        </w:tc>
        <w:tc>
          <w:tcPr>
            <w:tcW w:type="dxa" w:w="48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Public results pages with persistent URLs.</w:t>
            </w:r>
          </w:p>
        </w:tc>
      </w:tr>
    </w:tbl>
    <w:p>
      <w:pPr>
        <w:spacing w:after="120" w:line="320"/>
      </w:pPr>
      <w:r>
        <w:rPr>
          <w:rFonts w:ascii="Calibri" w:cs="Calibri" w:eastAsia="Calibri" w:hAnsi="Calibri"/>
          <w:color w:val="1F2937"/>
          <w:sz w:val="22"/>
          <w:szCs w:val="22"/>
        </w:rPr>
        <w:t xml:space="preserve">Retention metrics above K-12 EdTech 80th percentile continue to anchor a meaningful traction premium in the consolidated range. The next-cut update should fold in any post-paywall conversion data once the gate has been live for a full month.</w:t>
      </w:r>
    </w:p>
    <w:p>
      <w:pPr>
        <w:pStyle w:val="Heading1"/>
        <w:spacing w:after="200" w:before="400"/>
      </w:pPr>
      <w:r>
        <w:rPr>
          <w:rFonts w:ascii="Calibri" w:cs="Calibri" w:eastAsia="Calibri" w:hAnsi="Calibri"/>
          <w:b/>
          <w:bCs/>
          <w:color w:val="0F172A"/>
          <w:sz w:val="32"/>
          <w:szCs w:val="32"/>
        </w:rPr>
        <w:t xml:space="preserve">Revenue Model</w:t>
      </w:r>
    </w:p>
    <w:p>
      <w:pPr>
        <w:pStyle w:val="Heading2"/>
        <w:spacing w:after="140" w:before="280"/>
      </w:pPr>
      <w:r>
        <w:rPr>
          <w:rFonts w:ascii="Calibri" w:cs="Calibri" w:eastAsia="Calibri" w:hAnsi="Calibri"/>
          <w:b/>
          <w:bCs/>
          <w:color w:val="1F4E79"/>
          <w:sz w:val="26"/>
          <w:szCs w:val="26"/>
        </w:rPr>
        <w:t xml:space="preserve">Pricing Tiers (Late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c>
          <w:tcPr>
            <w:tcW w:type="dxa" w:w="15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FFFFFF"/>
                <w:sz w:val="20"/>
                <w:szCs w:val="20"/>
              </w:rPr>
              <w:t xml:space="preserve">Tier</w:t>
            </w:r>
          </w:p>
        </w:tc>
        <w:tc>
          <w:tcPr>
            <w:tcW w:type="dxa" w:w="17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Monthly USD</w:t>
            </w:r>
          </w:p>
        </w:tc>
        <w:tc>
          <w:tcPr>
            <w:tcW w:type="dxa" w:w="616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FFFFFF"/>
                <w:sz w:val="20"/>
                <w:szCs w:val="20"/>
              </w:rPr>
              <w:t xml:space="preserve">Includes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Free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$0</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Full AI generation, 30+ task types, station rotation, session summaries, Pulse Grading basics. Capacity-limited.</w:t>
            </w:r>
          </w:p>
        </w:tc>
      </w:tr>
      <w:tr>
        <w:tc>
          <w:tcPr>
            <w:tcW w:type="dxa" w:w="15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Plus</w:t>
            </w:r>
          </w:p>
        </w:tc>
        <w:tc>
          <w:tcPr>
            <w:tcW w:type="dxa" w:w="17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$6.99</w:t>
            </w:r>
          </w:p>
        </w:tc>
        <w:tc>
          <w:tcPr>
            <w:tcW w:type="dxa" w:w="61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Everything in Free + class linking (Edsby roster import, Mode A/B/C, sub-link binding, roster admin, student + parent email), AI gradebook with strands, XLSX export, overlays in session reports.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Pro</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$12.99</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Everything in Plus + per-student improvement / trend reports, individual one-page student PDFs, expanded AI generation, advanced analytics, full classroom capacity.</w:t>
            </w:r>
          </w:p>
        </w:tc>
      </w:tr>
    </w:tbl>
    <w:p>
      <w:pPr>
        <w:spacing w:after="120" w:line="320"/>
      </w:pPr>
      <w:r>
        <w:rPr>
          <w:rFonts w:ascii="Calibri" w:cs="Calibri" w:eastAsia="Calibri" w:hAnsi="Calibri"/>
          <w:color w:val="1F2937"/>
          <w:sz w:val="22"/>
          <w:szCs w:val="22"/>
        </w:rPr>
        <w:t xml:space="preserve">The plan-tier ladder is unchanged from May 7. The new overlay systems and the Truth or Dare layer are gated behind Plus (overlays show up in the session report) and Pro (per-student improvement trend reads from longitudinal data that requires class linking).</w:t>
      </w:r>
    </w:p>
    <w:p>
      <w:pPr>
        <w:pStyle w:val="Heading2"/>
        <w:spacing w:after="140" w:before="280"/>
      </w:pPr>
      <w:r>
        <w:rPr>
          <w:rFonts w:ascii="Calibri" w:cs="Calibri" w:eastAsia="Calibri" w:hAnsi="Calibri"/>
          <w:b/>
          <w:bCs/>
          <w:color w:val="1F4E79"/>
          <w:sz w:val="26"/>
          <w:szCs w:val="26"/>
        </w:rPr>
        <w:t xml:space="preserve">12-Month Revenue Projection</w:t>
      </w:r>
    </w:p>
    <w:p>
      <w:pPr>
        <w:spacing w:after="120" w:line="320"/>
      </w:pPr>
      <w:r>
        <w:rPr>
          <w:rFonts w:ascii="Calibri" w:cs="Calibri" w:eastAsia="Calibri" w:hAnsi="Calibri"/>
          <w:color w:val="1F2937"/>
          <w:sz w:val="22"/>
          <w:szCs w:val="22"/>
        </w:rPr>
        <w:t xml:space="preserve">Projection assumptions unchanged from May 7; the additional product surface does not materially alter the conversion rate but marginally improves the willingness-to-pay at the Plus and Pro tiers because of the expanded value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FFFFFF"/>
                <w:sz w:val="20"/>
                <w:szCs w:val="20"/>
              </w:rPr>
              <w:t xml:space="preserve">Metric</w:t>
            </w:r>
          </w:p>
        </w:tc>
        <w:tc>
          <w:tcPr>
            <w:tcW w:type="dxa" w:w="20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Conservative</w:t>
            </w:r>
          </w:p>
        </w:tc>
        <w:tc>
          <w:tcPr>
            <w:tcW w:type="dxa" w:w="20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Likely</w:t>
            </w:r>
          </w:p>
        </w:tc>
        <w:tc>
          <w:tcPr>
            <w:tcW w:type="dxa" w:w="20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Optimistic</w:t>
            </w:r>
          </w:p>
        </w:tc>
      </w:tr>
      <w:tr>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MAU at month 12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700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1,200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2,500</w:t>
            </w:r>
          </w:p>
        </w:tc>
      </w:tr>
      <w:tr>
        <w:tc>
          <w:tcPr>
            <w:tcW w:type="dxa" w:w="33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Conversion to paid (mature)</w:t>
            </w:r>
          </w:p>
        </w:tc>
        <w:tc>
          <w:tcPr>
            <w:tcW w:type="dxa" w:w="2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12%</w:t>
            </w:r>
          </w:p>
        </w:tc>
        <w:tc>
          <w:tcPr>
            <w:tcW w:type="dxa" w:w="2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15%</w:t>
            </w:r>
          </w:p>
        </w:tc>
        <w:tc>
          <w:tcPr>
            <w:tcW w:type="dxa" w:w="2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18%</w:t>
            </w:r>
          </w:p>
        </w:tc>
      </w:tr>
      <w:tr>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Paying users at month 12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90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200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450</w:t>
            </w:r>
          </w:p>
        </w:tc>
      </w:tr>
      <w:tr>
        <w:tc>
          <w:tcPr>
            <w:tcW w:type="dxa" w:w="33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Blended monthly ARPU</w:t>
            </w:r>
          </w:p>
        </w:tc>
        <w:tc>
          <w:tcPr>
            <w:tcW w:type="dxa" w:w="2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$9.00</w:t>
            </w:r>
          </w:p>
        </w:tc>
        <w:tc>
          <w:tcPr>
            <w:tcW w:type="dxa" w:w="2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$9.50</w:t>
            </w:r>
          </w:p>
        </w:tc>
        <w:tc>
          <w:tcPr>
            <w:tcW w:type="dxa" w:w="2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$10.00</w:t>
            </w:r>
          </w:p>
        </w:tc>
      </w:tr>
      <w:tr>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Subscription ARR (exit run-rate, mo 12)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$9,720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$22,800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$54,000</w:t>
            </w:r>
          </w:p>
        </w:tc>
      </w:tr>
      <w:tr>
        <w:tc>
          <w:tcPr>
            <w:tcW w:type="dxa" w:w="33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Party / event revenue</w:t>
            </w:r>
          </w:p>
        </w:tc>
        <w:tc>
          <w:tcPr>
            <w:tcW w:type="dxa" w:w="2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$2,000</w:t>
            </w:r>
          </w:p>
        </w:tc>
        <w:tc>
          <w:tcPr>
            <w:tcW w:type="dxa" w:w="2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$5,000</w:t>
            </w:r>
          </w:p>
        </w:tc>
        <w:tc>
          <w:tcPr>
            <w:tcW w:type="dxa" w:w="2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$15,000</w:t>
            </w:r>
          </w:p>
        </w:tc>
      </w:tr>
      <w:tr>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School / district contracts (1–3 deals)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$5,000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$25,000</w:t>
            </w:r>
          </w:p>
        </w:tc>
      </w:tr>
      <w:tr>
        <w:tc>
          <w:tcPr>
            <w:tcW w:type="dxa" w:w="336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1F2937"/>
                <w:sz w:val="20"/>
                <w:szCs w:val="20"/>
              </w:rPr>
              <w:t xml:space="preserve">Total 12-month revenue</w:t>
            </w:r>
          </w:p>
        </w:tc>
        <w:tc>
          <w:tcPr>
            <w:tcW w:type="dxa" w:w="200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$7,400</w:t>
            </w:r>
          </w:p>
        </w:tc>
        <w:tc>
          <w:tcPr>
            <w:tcW w:type="dxa" w:w="200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$22,540</w:t>
            </w:r>
          </w:p>
        </w:tc>
        <w:tc>
          <w:tcPr>
            <w:tcW w:type="dxa" w:w="200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$67,000</w:t>
            </w:r>
          </w:p>
        </w:tc>
      </w:tr>
    </w:tbl>
    <w:p>
      <w:pPr>
        <w:spacing w:after="120" w:line="320"/>
      </w:pPr>
      <w:r>
        <w:rPr>
          <w:rFonts w:ascii="Calibri" w:cs="Calibri" w:eastAsia="Calibri" w:hAnsi="Calibri"/>
          <w:color w:val="1F2937"/>
          <w:sz w:val="22"/>
          <w:szCs w:val="22"/>
        </w:rPr>
        <w:t xml:space="preserve">Single-number 12-month projection: $15K – $25K total, weighted toward months 6–12. Exit ARR run-rate by month 12: $20K – $30K.</w:t>
      </w:r>
    </w:p>
    <w:p>
      <w:pPr>
        <w:pStyle w:val="Heading2"/>
        <w:spacing w:after="140" w:before="280"/>
      </w:pPr>
      <w:r>
        <w:rPr>
          <w:rFonts w:ascii="Calibri" w:cs="Calibri" w:eastAsia="Calibri" w:hAnsi="Calibri"/>
          <w:b/>
          <w:bCs/>
          <w:color w:val="1F4E79"/>
          <w:sz w:val="26"/>
          <w:szCs w:val="26"/>
        </w:rPr>
        <w:t xml:space="preserve">3-Year Outlook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FFFFFF"/>
                <w:sz w:val="20"/>
                <w:szCs w:val="20"/>
              </w:rPr>
              <w:t xml:space="preserve">Metric</w:t>
            </w:r>
          </w:p>
        </w:tc>
        <w:tc>
          <w:tcPr>
            <w:tcW w:type="dxa" w:w="20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Year 1</w:t>
            </w:r>
          </w:p>
        </w:tc>
        <w:tc>
          <w:tcPr>
            <w:tcW w:type="dxa" w:w="20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Year 2</w:t>
            </w:r>
          </w:p>
        </w:tc>
        <w:tc>
          <w:tcPr>
            <w:tcW w:type="dxa" w:w="20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Year 3</w:t>
            </w:r>
          </w:p>
        </w:tc>
      </w:tr>
      <w:tr>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MAU (year-end)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1,200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4,000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12,000</w:t>
            </w:r>
          </w:p>
        </w:tc>
      </w:tr>
      <w:tr>
        <w:tc>
          <w:tcPr>
            <w:tcW w:type="dxa" w:w="33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Paying users (year-end)</w:t>
            </w:r>
          </w:p>
        </w:tc>
        <w:tc>
          <w:tcPr>
            <w:tcW w:type="dxa" w:w="2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200</w:t>
            </w:r>
          </w:p>
        </w:tc>
        <w:tc>
          <w:tcPr>
            <w:tcW w:type="dxa" w:w="2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700</w:t>
            </w:r>
          </w:p>
        </w:tc>
        <w:tc>
          <w:tcPr>
            <w:tcW w:type="dxa" w:w="2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2,200</w:t>
            </w:r>
          </w:p>
        </w:tc>
      </w:tr>
      <w:tr>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Subscription ARR (year-end run-rate)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$23K</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$84K</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$290K</w:t>
            </w:r>
          </w:p>
        </w:tc>
      </w:tr>
      <w:tr>
        <w:tc>
          <w:tcPr>
            <w:tcW w:type="dxa" w:w="33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School / district contracts</w:t>
            </w:r>
          </w:p>
        </w:tc>
        <w:tc>
          <w:tcPr>
            <w:tcW w:type="dxa" w:w="2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$5K</w:t>
            </w:r>
          </w:p>
        </w:tc>
        <w:tc>
          <w:tcPr>
            <w:tcW w:type="dxa" w:w="2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$40K</w:t>
            </w:r>
          </w:p>
        </w:tc>
        <w:tc>
          <w:tcPr>
            <w:tcW w:type="dxa" w:w="20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$200K</w:t>
            </w:r>
          </w:p>
        </w:tc>
      </w:tr>
      <w:tr>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Party / event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$5K</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$25K</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$80K</w:t>
            </w:r>
          </w:p>
        </w:tc>
      </w:tr>
      <w:tr>
        <w:tc>
          <w:tcPr>
            <w:tcW w:type="dxa" w:w="336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1F2937"/>
                <w:sz w:val="20"/>
                <w:szCs w:val="20"/>
              </w:rPr>
              <w:t xml:space="preserve">Total annual revenue (year)</w:t>
            </w:r>
          </w:p>
        </w:tc>
        <w:tc>
          <w:tcPr>
            <w:tcW w:type="dxa" w:w="200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$22K</w:t>
            </w:r>
          </w:p>
        </w:tc>
        <w:tc>
          <w:tcPr>
            <w:tcW w:type="dxa" w:w="200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$170K</w:t>
            </w:r>
          </w:p>
        </w:tc>
        <w:tc>
          <w:tcPr>
            <w:tcW w:type="dxa" w:w="200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$650K</w:t>
            </w:r>
          </w:p>
        </w:tc>
      </w:tr>
    </w:tbl>
    <w:p>
      <w:pPr>
        <w:pStyle w:val="Heading1"/>
        <w:spacing w:after="200" w:before="400"/>
      </w:pPr>
      <w:r>
        <w:rPr>
          <w:rFonts w:ascii="Calibri" w:cs="Calibri" w:eastAsia="Calibri" w:hAnsi="Calibri"/>
          <w:b/>
          <w:bCs/>
          <w:color w:val="0F172A"/>
          <w:sz w:val="32"/>
          <w:szCs w:val="32"/>
        </w:rPr>
        <w:t xml:space="preserve">Valuation Summary</w:t>
      </w:r>
    </w:p>
    <w:p>
      <w:pPr>
        <w:spacing w:after="120" w:line="320"/>
      </w:pPr>
      <w:r>
        <w:rPr>
          <w:rFonts w:ascii="Calibri" w:cs="Calibri" w:eastAsia="Calibri" w:hAnsi="Calibri"/>
          <w:color w:val="1F2937"/>
          <w:sz w:val="22"/>
          <w:szCs w:val="22"/>
        </w:rPr>
        <w:t xml:space="preserve">Four valuation methodologies are applied. All figures revised upward from May 7 to reflect the expanded codebase, the additional task types and overlay systems, the unique safety-engineering moat, and the broadened pedagogical surface.</w:t>
      </w:r>
    </w:p>
    <w:p>
      <w:pPr>
        <w:pStyle w:val="Heading2"/>
        <w:spacing w:after="140" w:before="280"/>
      </w:pPr>
      <w:r>
        <w:rPr>
          <w:rFonts w:ascii="Calibri" w:cs="Calibri" w:eastAsia="Calibri" w:hAnsi="Calibri"/>
          <w:b/>
          <w:bCs/>
          <w:color w:val="1F4E79"/>
          <w:sz w:val="26"/>
          <w:szCs w:val="26"/>
        </w:rPr>
        <w:t xml:space="preserve">1. Cost-Based (Replacement Value)</w:t>
      </w:r>
    </w:p>
    <w:p>
      <w:pPr>
        <w:spacing w:after="120" w:line="320"/>
      </w:pPr>
      <w:r>
        <w:rPr>
          <w:rFonts w:ascii="Calibri" w:cs="Calibri" w:eastAsia="Calibri" w:hAnsi="Calibri"/>
          <w:color w:val="1F2937"/>
          <w:sz w:val="22"/>
          <w:szCs w:val="22"/>
        </w:rPr>
        <w:t xml:space="preserve">Technical replacement cost: </w:t>
      </w:r>
      <w:r>
        <w:rPr>
          <w:rFonts w:ascii="Calibri" w:cs="Calibri" w:eastAsia="Calibri" w:hAnsi="Calibri"/>
          <w:b/>
          <w:bCs/>
          <w:color w:val="1F2937"/>
          <w:sz w:val="22"/>
          <w:szCs w:val="22"/>
        </w:rPr>
        <w:t xml:space="preserve">$3.0M – $5.4M</w:t>
      </w:r>
      <w:r>
        <w:rPr>
          <w:rFonts w:ascii="Calibri" w:cs="Calibri" w:eastAsia="Calibri" w:hAnsi="Calibri"/>
          <w:color w:val="1F2937"/>
          <w:sz w:val="22"/>
          <w:szCs w:val="22"/>
        </w:rPr>
        <w:t xml:space="preserve">. With embedded product knowledge, AI prompt iterations, and pedagogical learnings: ×1.4 – ×1.7. Cost-based valuation: </w:t>
      </w:r>
      <w:r>
        <w:rPr>
          <w:rFonts w:ascii="Calibri" w:cs="Calibri" w:eastAsia="Calibri" w:hAnsi="Calibri"/>
          <w:b/>
          <w:bCs/>
          <w:color w:val="1F2937"/>
          <w:sz w:val="22"/>
          <w:szCs w:val="22"/>
        </w:rPr>
        <w:t xml:space="preserve">$4.2M – $9.2M</w:t>
      </w:r>
      <w:r>
        <w:rPr>
          <w:rFonts w:ascii="Calibri" w:cs="Calibri" w:eastAsia="Calibri" w:hAnsi="Calibri"/>
          <w:color w:val="1F2937"/>
          <w:sz w:val="22"/>
          <w:szCs w:val="22"/>
        </w:rPr>
        <w:t xml:space="preserve"> (up from $3.1M – $7.0M).</w:t>
      </w:r>
    </w:p>
    <w:p>
      <w:pPr>
        <w:pStyle w:val="Heading2"/>
        <w:spacing w:after="140" w:before="280"/>
      </w:pPr>
      <w:r>
        <w:rPr>
          <w:rFonts w:ascii="Calibri" w:cs="Calibri" w:eastAsia="Calibri" w:hAnsi="Calibri"/>
          <w:b/>
          <w:bCs/>
          <w:color w:val="1F4E79"/>
          <w:sz w:val="26"/>
          <w:szCs w:val="26"/>
        </w:rPr>
        <w:t xml:space="preserve">2. Revenue Multiple (SaaS Benchmark)</w:t>
      </w:r>
    </w:p>
    <w:p>
      <w:pPr>
        <w:spacing w:after="120" w:line="320"/>
      </w:pPr>
      <w:r>
        <w:rPr>
          <w:rFonts w:ascii="Calibri" w:cs="Calibri" w:eastAsia="Calibri" w:hAnsi="Calibri"/>
          <w:color w:val="1F2937"/>
          <w:sz w:val="22"/>
          <w:szCs w:val="22"/>
        </w:rPr>
        <w:t xml:space="preserve">K-12 EdTech SaaS in 2026 typically trades at 6–12× ARR for high-growth, AI-enabled platforms with strong workflow integration. Year 2 projected ARR of ~$170K at 8×: $1.4M. Year 3 projected ARR of ~$650K at 7×: $4.5M. Strategic acquirers (CoreFour/Edsby, PowerSchool, Renaissance) sometimes pay 8–12× for products that fill specific gaps; for those buyers, a Year-3 multiple of 10× implies $6.5M.</w:t>
      </w:r>
    </w:p>
    <w:p>
      <w:pPr>
        <w:pStyle w:val="Heading2"/>
        <w:spacing w:after="140" w:before="280"/>
      </w:pPr>
      <w:r>
        <w:rPr>
          <w:rFonts w:ascii="Calibri" w:cs="Calibri" w:eastAsia="Calibri" w:hAnsi="Calibri"/>
          <w:b/>
          <w:bCs/>
          <w:color w:val="1F4E79"/>
          <w:sz w:val="26"/>
          <w:szCs w:val="26"/>
        </w:rPr>
        <w:t xml:space="preserve">3. Comparable Transactions</w:t>
      </w:r>
    </w:p>
    <w:p>
      <w:pPr>
        <w:spacing w:after="120" w:line="320"/>
      </w:pPr>
      <w:r>
        <w:rPr>
          <w:rFonts w:ascii="Calibri" w:cs="Calibri" w:eastAsia="Calibri" w:hAnsi="Calibri"/>
          <w:color w:val="1F2937"/>
          <w:sz w:val="22"/>
          <w:szCs w:val="22"/>
        </w:rPr>
        <w:t xml:space="preserve">Reference points unchanged from May 7. Gimkit ($4M seed, 2023, fraction of the variety, no AI gen). Formative (acquired 2022, comparable depth, no live-session product). Pear Deck (acquired by GoGuardian, $50–100M, much larger user base, narrower feature set). EssayGrader and similar at $5–15M seed on minimal traction. At Curriculate's late-May stage — deeper feature set spanning two products, growing self-serve user base, exceptional retention, safety-engineered party-game category, all six Bloom's levels — comparable range: $5.0M – $11.0M.</w:t>
      </w:r>
    </w:p>
    <w:p>
      <w:pPr>
        <w:pStyle w:val="Heading2"/>
        <w:spacing w:after="140" w:before="280"/>
      </w:pPr>
      <w:r>
        <w:rPr>
          <w:rFonts w:ascii="Calibri" w:cs="Calibri" w:eastAsia="Calibri" w:hAnsi="Calibri"/>
          <w:b/>
          <w:bCs/>
          <w:color w:val="1F4E79"/>
          <w:sz w:val="26"/>
          <w:szCs w:val="26"/>
        </w:rPr>
        <w:t xml:space="preserve">4. Retention-Adjusted (Traction Premium)</w:t>
      </w:r>
    </w:p>
    <w:p>
      <w:pPr>
        <w:spacing w:after="120" w:line="320"/>
      </w:pPr>
      <w:r>
        <w:rPr>
          <w:rFonts w:ascii="Calibri" w:cs="Calibri" w:eastAsia="Calibri" w:hAnsi="Calibri"/>
          <w:color w:val="1F2937"/>
          <w:sz w:val="22"/>
          <w:szCs w:val="22"/>
        </w:rPr>
        <w:t xml:space="preserve">The dashboard data continues to place Pulse Grading in the top decile of K-12 EdTech by retention. A retention premium of 1.4×–1.7× over the comparable-transaction methodology applied: </w:t>
      </w:r>
      <w:r>
        <w:rPr>
          <w:rFonts w:ascii="Calibri" w:cs="Calibri" w:eastAsia="Calibri" w:hAnsi="Calibri"/>
          <w:b/>
          <w:bCs/>
          <w:color w:val="1F2937"/>
          <w:sz w:val="22"/>
          <w:szCs w:val="22"/>
        </w:rPr>
        <w:t xml:space="preserve">$7.0M – $16M</w:t>
      </w:r>
      <w:r>
        <w:rPr>
          <w:rFonts w:ascii="Calibri" w:cs="Calibri" w:eastAsia="Calibri" w:hAnsi="Calibri"/>
          <w:color w:val="1F2937"/>
          <w:sz w:val="22"/>
          <w:szCs w:val="22"/>
        </w:rPr>
        <w:t xml:space="preserve">. This methodology is given equal weight to the other three approaches once retention exceeds the 80th percentile.</w:t>
      </w:r>
    </w:p>
    <w:p>
      <w:pPr>
        <w:pStyle w:val="Heading2"/>
        <w:spacing w:after="140" w:before="280"/>
      </w:pPr>
      <w:r>
        <w:rPr>
          <w:rFonts w:ascii="Calibri" w:cs="Calibri" w:eastAsia="Calibri" w:hAnsi="Calibri"/>
          <w:b/>
          <w:bCs/>
          <w:color w:val="1F4E79"/>
          <w:sz w:val="26"/>
          <w:szCs w:val="26"/>
        </w:rPr>
        <w:t xml:space="preserve">Consolidated Valuation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c>
          <w:tcPr>
            <w:tcW w:type="dxa" w:w="44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FFFFFF"/>
                <w:sz w:val="20"/>
                <w:szCs w:val="20"/>
              </w:rPr>
              <w:t xml:space="preserve">Method</w:t>
            </w:r>
          </w:p>
        </w:tc>
        <w:tc>
          <w:tcPr>
            <w:tcW w:type="dxa" w:w="240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Low</w:t>
            </w:r>
          </w:p>
        </w:tc>
        <w:tc>
          <w:tcPr>
            <w:tcW w:type="dxa" w:w="2560"/>
            <w:tcBorders>
              <w:top w:val="single" w:color="D1D5DB" w:sz="1"/>
              <w:left w:val="single" w:color="D1D5DB" w:sz="1"/>
              <w:bottom w:val="single" w:color="D1D5DB" w:sz="1"/>
              <w:right w:val="single" w:color="D1D5DB" w:sz="1"/>
            </w:tcBorders>
            <w:shd w:fill="1E293B"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FFFFFF"/>
                <w:sz w:val="20"/>
                <w:szCs w:val="20"/>
              </w:rPr>
              <w:t xml:space="preserve">High</w:t>
            </w:r>
          </w:p>
        </w:tc>
      </w:tr>
      <w:tr>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Cost-Based (Replacement)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$4,200,000</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$9,200,000</w:t>
            </w:r>
          </w:p>
        </w:tc>
      </w:tr>
      <w:tr>
        <w:tc>
          <w:tcPr>
            <w:tcW w:type="dxa" w:w="44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Revenue Multiple (SaaS)</w:t>
            </w:r>
          </w:p>
        </w:tc>
        <w:tc>
          <w:tcPr>
            <w:tcW w:type="dxa" w:w="24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$1,400,000</w:t>
            </w:r>
          </w:p>
        </w:tc>
        <w:tc>
          <w:tcPr>
            <w:tcW w:type="dxa" w:w="25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$6,500,000</w:t>
            </w:r>
          </w:p>
        </w:tc>
      </w:tr>
      <w:tr>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Comparable Transactions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$5,000,000</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$11,000,000</w:t>
            </w:r>
          </w:p>
        </w:tc>
      </w:tr>
      <w:tr>
        <w:tc>
          <w:tcPr>
            <w:tcW w:type="dxa" w:w="44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left"/>
            </w:pPr>
            <w:r>
              <w:rPr>
                <w:rFonts w:ascii="Calibri" w:cs="Calibri" w:eastAsia="Calibri" w:hAnsi="Calibri"/>
                <w:b w:val="false"/>
                <w:bCs w:val="false"/>
                <w:color w:val="1F2937"/>
                <w:sz w:val="20"/>
                <w:szCs w:val="20"/>
              </w:rPr>
              <w:t xml:space="preserve">Retention-Adjusted (Traction Premium)</w:t>
            </w:r>
          </w:p>
        </w:tc>
        <w:tc>
          <w:tcPr>
            <w:tcW w:type="dxa" w:w="240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$7,000,000</w:t>
            </w:r>
          </w:p>
        </w:tc>
        <w:tc>
          <w:tcPr>
            <w:tcW w:type="dxa" w:w="2560"/>
            <w:tcBorders>
              <w:top w:val="single" w:color="D1D5DB" w:sz="1"/>
              <w:left w:val="single" w:color="D1D5DB" w:sz="1"/>
              <w:bottom w:val="single" w:color="D1D5DB" w:sz="1"/>
              <w:right w:val="single" w:color="D1D5DB" w:sz="1"/>
            </w:tcBorders>
            <w:shd w:fill="F4F6FA" w:color="auto" w:val="clear"/>
            <w:tcMar>
              <w:top w:type="dxa" w:w="80"/>
              <w:left w:type="dxa" w:w="120"/>
              <w:bottom w:type="dxa" w:w="80"/>
              <w:right w:type="dxa" w:w="120"/>
            </w:tcMar>
          </w:tcPr>
          <w:p>
            <w:pPr>
              <w:spacing w:after="30" w:before="30" w:line="280"/>
              <w:jc w:val="right"/>
            </w:pPr>
            <w:r>
              <w:rPr>
                <w:rFonts w:ascii="Calibri" w:cs="Calibri" w:eastAsia="Calibri" w:hAnsi="Calibri"/>
                <w:b w:val="false"/>
                <w:bCs w:val="false"/>
                <w:color w:val="1F2937"/>
                <w:sz w:val="20"/>
                <w:szCs w:val="20"/>
              </w:rPr>
              <w:t xml:space="preserve">$16,000,000</w:t>
            </w:r>
          </w:p>
        </w:tc>
      </w:tr>
      <w:tr>
        <w:tc>
          <w:tcPr>
            <w:tcW w:type="dxa" w:w="440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left"/>
            </w:pPr>
            <w:r>
              <w:rPr>
                <w:rFonts w:ascii="Calibri" w:cs="Calibri" w:eastAsia="Calibri" w:hAnsi="Calibri"/>
                <w:b/>
                <w:bCs/>
                <w:color w:val="1F2937"/>
                <w:sz w:val="20"/>
                <w:szCs w:val="20"/>
              </w:rPr>
              <w:t xml:space="preserve">BLENDED FAIR VALUE</w:t>
            </w:r>
          </w:p>
        </w:tc>
        <w:tc>
          <w:tcPr>
            <w:tcW w:type="dxa" w:w="240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$5,000,000</w:t>
            </w:r>
          </w:p>
        </w:tc>
        <w:tc>
          <w:tcPr>
            <w:tcW w:type="dxa" w:w="2560"/>
            <w:tcBorders>
              <w:top w:val="single" w:color="D1D5DB" w:sz="1"/>
              <w:left w:val="single" w:color="D1D5DB" w:sz="1"/>
              <w:bottom w:val="single" w:color="D1D5DB" w:sz="1"/>
              <w:right w:val="single" w:color="D1D5DB" w:sz="1"/>
            </w:tcBorders>
            <w:shd w:fill="DBEAFE" w:color="auto" w:val="clear"/>
            <w:tcMar>
              <w:top w:type="dxa" w:w="80"/>
              <w:left w:type="dxa" w:w="120"/>
              <w:bottom w:type="dxa" w:w="80"/>
              <w:right w:type="dxa" w:w="120"/>
            </w:tcMar>
          </w:tcPr>
          <w:p>
            <w:pPr>
              <w:spacing w:after="30" w:before="30" w:line="280"/>
              <w:jc w:val="right"/>
            </w:pPr>
            <w:r>
              <w:rPr>
                <w:rFonts w:ascii="Calibri" w:cs="Calibri" w:eastAsia="Calibri" w:hAnsi="Calibri"/>
                <w:b/>
                <w:bCs/>
                <w:color w:val="1F2937"/>
                <w:sz w:val="20"/>
                <w:szCs w:val="20"/>
              </w:rPr>
              <w:t xml:space="preserve">$13,000,000</w:t>
            </w:r>
          </w:p>
        </w:tc>
      </w:tr>
    </w:tbl>
    <w:p>
      <w:pPr>
        <w:spacing w:after="120" w:line="320"/>
      </w:pPr>
      <w:r>
        <w:rPr>
          <w:rFonts w:ascii="Calibri" w:cs="Calibri" w:eastAsia="Calibri" w:hAnsi="Calibri"/>
          <w:b/>
          <w:bCs/>
          <w:color w:val="1F2937"/>
          <w:sz w:val="22"/>
          <w:szCs w:val="22"/>
        </w:rPr>
        <w:t xml:space="preserve">Estimated fair market value: $5.0M – $13M USD</w:t>
      </w:r>
      <w:r>
        <w:rPr>
          <w:rFonts w:ascii="Calibri" w:cs="Calibri" w:eastAsia="Calibri" w:hAnsi="Calibri"/>
          <w:color w:val="1F2937"/>
          <w:sz w:val="22"/>
          <w:szCs w:val="22"/>
        </w:rPr>
        <w:t xml:space="preserve"> (up from $4.5M – $11M on May 7).</w:t>
      </w:r>
    </w:p>
    <w:p>
      <w:pPr>
        <w:spacing w:after="120" w:line="320"/>
      </w:pPr>
      <w:r>
        <w:rPr>
          <w:rFonts w:ascii="Calibri" w:cs="Calibri" w:eastAsia="Calibri" w:hAnsi="Calibri"/>
          <w:color w:val="1F2937"/>
          <w:sz w:val="22"/>
          <w:szCs w:val="22"/>
        </w:rPr>
        <w:t xml:space="preserve">The lower bound represents a conservative acqui-hire or asset sale to a non-strategic buyer who values the codebase more than the user traction. The upper bound represents a strategic acquisition by an incumbent in the live-engagement, AI-grading, or LMS space (especially CoreFour/Edsby) where the retention metrics anchor a higher LTV assumption, the existing user base provides distribution leverage, and the pedagogical breadth (all six Bloom's levels, anti-bias engineering, safety-moderated party-game layer) anchors a premium positioning argument.</w:t>
      </w:r>
    </w:p>
    <w:p>
      <w:pPr>
        <w:pStyle w:val="Heading2"/>
        <w:spacing w:after="140" w:before="280"/>
      </w:pPr>
      <w:r>
        <w:rPr>
          <w:rFonts w:ascii="Calibri" w:cs="Calibri" w:eastAsia="Calibri" w:hAnsi="Calibri"/>
          <w:b/>
          <w:bCs/>
          <w:color w:val="1F4E79"/>
          <w:sz w:val="26"/>
          <w:szCs w:val="26"/>
        </w:rPr>
        <w:t xml:space="preserve">Risk Factors</w:t>
      </w:r>
    </w:p>
    <w:p>
      <w:pPr>
        <w:pStyle w:val="ListParagraph"/>
        <w:numPr>
          <w:ilvl w:val="0"/>
          <w:numId w:val="2"/>
        </w:numPr>
        <w:spacing w:after="80" w:line="300"/>
      </w:pPr>
      <w:r>
        <w:rPr>
          <w:rFonts w:ascii="Calibri" w:cs="Calibri" w:eastAsia="Calibri" w:hAnsi="Calibri"/>
          <w:color w:val="1F2937"/>
          <w:sz w:val="22"/>
          <w:szCs w:val="22"/>
        </w:rPr>
        <w:t xml:space="preserve">Single-developer dependency — key-person risk on the technical side. Codebase complexity has grown to 257K LOC across two products and four overlay systems; documentation (CLAUDE.md, 11-doc DevPlans library) mitigates but does not eliminate this risk.</w:t>
      </w:r>
    </w:p>
    <w:p>
      <w:pPr>
        <w:pStyle w:val="ListParagraph"/>
        <w:numPr>
          <w:ilvl w:val="0"/>
          <w:numId w:val="2"/>
        </w:numPr>
        <w:spacing w:after="80" w:line="300"/>
      </w:pPr>
      <w:r>
        <w:rPr>
          <w:rFonts w:ascii="Calibri" w:cs="Calibri" w:eastAsia="Calibri" w:hAnsi="Calibri"/>
          <w:color w:val="1F2937"/>
          <w:sz w:val="22"/>
          <w:szCs w:val="22"/>
        </w:rPr>
        <w:t xml:space="preserve">Pre-revenue / early-revenue stage — projections are modeled, not proven. The late-May work has been verified at the unit level (112/112 tests pass) but not yet load-tested against live MongoDB at scale.</w:t>
      </w:r>
    </w:p>
    <w:p>
      <w:pPr>
        <w:pStyle w:val="ListParagraph"/>
        <w:numPr>
          <w:ilvl w:val="0"/>
          <w:numId w:val="2"/>
        </w:numPr>
        <w:spacing w:after="80" w:line="300"/>
      </w:pPr>
      <w:r>
        <w:rPr>
          <w:rFonts w:ascii="Calibri" w:cs="Calibri" w:eastAsia="Calibri" w:hAnsi="Calibri"/>
          <w:color w:val="1F2937"/>
          <w:sz w:val="22"/>
          <w:szCs w:val="22"/>
        </w:rPr>
        <w:t xml:space="preserve">AI cost dependency — generation, scoring, reporting, and the Truth or Dare safety moderation calls all scale with usage. Margin sensitivity to OpenAI pricing changes is now slightly higher because of the moderation-call layer.</w:t>
      </w:r>
    </w:p>
    <w:p>
      <w:pPr>
        <w:pStyle w:val="ListParagraph"/>
        <w:numPr>
          <w:ilvl w:val="0"/>
          <w:numId w:val="2"/>
        </w:numPr>
        <w:spacing w:after="80" w:line="300"/>
      </w:pPr>
      <w:r>
        <w:rPr>
          <w:rFonts w:ascii="Calibri" w:cs="Calibri" w:eastAsia="Calibri" w:hAnsi="Calibri"/>
          <w:color w:val="1F2937"/>
          <w:sz w:val="22"/>
          <w:szCs w:val="22"/>
        </w:rPr>
        <w:t xml:space="preserve">Market education required for the live-station product — station-based learning is not yet mainstream digital. Pulse Grading does not have this barrier.</w:t>
      </w:r>
    </w:p>
    <w:p>
      <w:pPr>
        <w:pStyle w:val="ListParagraph"/>
        <w:numPr>
          <w:ilvl w:val="0"/>
          <w:numId w:val="2"/>
        </w:numPr>
        <w:spacing w:after="80" w:line="300"/>
      </w:pPr>
      <w:r>
        <w:rPr>
          <w:rFonts w:ascii="Calibri" w:cs="Calibri" w:eastAsia="Calibri" w:hAnsi="Calibri"/>
          <w:color w:val="1F2937"/>
          <w:sz w:val="22"/>
          <w:szCs w:val="22"/>
        </w:rPr>
        <w:t xml:space="preserve">Competition from well-funded incumbents — if they add AI generation features to their existing engagement products. The breadth + class-linking + Edsby integration + safety-moderated party-game layer is the defensive moat.</w:t>
      </w:r>
    </w:p>
    <w:p>
      <w:pPr>
        <w:pStyle w:val="ListParagraph"/>
        <w:numPr>
          <w:ilvl w:val="0"/>
          <w:numId w:val="2"/>
        </w:numPr>
        <w:spacing w:after="80" w:line="300"/>
      </w:pPr>
      <w:r>
        <w:rPr>
          <w:rFonts w:ascii="Calibri" w:cs="Calibri" w:eastAsia="Calibri" w:hAnsi="Calibri"/>
          <w:color w:val="1F2937"/>
          <w:sz w:val="22"/>
          <w:szCs w:val="22"/>
        </w:rPr>
        <w:t xml:space="preserve">Regulatory / compliance — student data handling under FERPA, COPPA, GDPR. Class-linking adds parent-email collection; Truth or Dare adds a moderation surface area that needs ongoing review.</w:t>
      </w:r>
    </w:p>
    <w:p>
      <w:pPr>
        <w:pStyle w:val="Heading2"/>
        <w:spacing w:after="140" w:before="280"/>
      </w:pPr>
      <w:r>
        <w:rPr>
          <w:rFonts w:ascii="Calibri" w:cs="Calibri" w:eastAsia="Calibri" w:hAnsi="Calibri"/>
          <w:b/>
          <w:bCs/>
          <w:color w:val="1F4E79"/>
          <w:sz w:val="26"/>
          <w:szCs w:val="26"/>
        </w:rPr>
        <w:t xml:space="preserve">Value Accelerators</w:t>
      </w:r>
    </w:p>
    <w:p>
      <w:pPr>
        <w:pStyle w:val="ListParagraph"/>
        <w:numPr>
          <w:ilvl w:val="0"/>
          <w:numId w:val="2"/>
        </w:numPr>
        <w:spacing w:after="80" w:line="300"/>
      </w:pPr>
      <w:r>
        <w:rPr>
          <w:rFonts w:ascii="Calibri" w:cs="Calibri" w:eastAsia="Calibri" w:hAnsi="Calibri"/>
          <w:color w:val="1F2937"/>
          <w:sz w:val="22"/>
          <w:szCs w:val="22"/>
        </w:rPr>
        <w:t xml:space="preserve">Two-product platform with shared infrastructure — economies of scope on every new feature.</w:t>
      </w:r>
    </w:p>
    <w:p>
      <w:pPr>
        <w:pStyle w:val="ListParagraph"/>
        <w:numPr>
          <w:ilvl w:val="0"/>
          <w:numId w:val="2"/>
        </w:numPr>
        <w:spacing w:after="80" w:line="300"/>
      </w:pPr>
      <w:r>
        <w:rPr>
          <w:rFonts w:ascii="Calibri" w:cs="Calibri" w:eastAsia="Calibri" w:hAnsi="Calibri"/>
          <w:color w:val="1F2937"/>
          <w:sz w:val="22"/>
          <w:szCs w:val="22"/>
        </w:rPr>
        <w:t xml:space="preserve">Edsby native integration — strategic value to CoreFour and the broader Edsby ecosystem.</w:t>
      </w:r>
    </w:p>
    <w:p>
      <w:pPr>
        <w:pStyle w:val="ListParagraph"/>
        <w:numPr>
          <w:ilvl w:val="0"/>
          <w:numId w:val="2"/>
        </w:numPr>
        <w:spacing w:after="80" w:line="300"/>
      </w:pPr>
      <w:r>
        <w:rPr>
          <w:rFonts w:ascii="Calibri" w:cs="Calibri" w:eastAsia="Calibri" w:hAnsi="Calibri"/>
          <w:color w:val="1F2937"/>
          <w:sz w:val="22"/>
          <w:szCs w:val="22"/>
        </w:rPr>
        <w:t xml:space="preserve">Per-student persistent identity (StudentContact keyed by Edsby ID) — foundation for longitudinal analytics, parent engagement, and any future product expansion.</w:t>
      </w:r>
    </w:p>
    <w:p>
      <w:pPr>
        <w:pStyle w:val="ListParagraph"/>
        <w:numPr>
          <w:ilvl w:val="0"/>
          <w:numId w:val="2"/>
        </w:numPr>
        <w:spacing w:after="80" w:line="300"/>
      </w:pPr>
      <w:r>
        <w:rPr>
          <w:rFonts w:ascii="Calibri" w:cs="Calibri" w:eastAsia="Calibri" w:hAnsi="Calibri"/>
          <w:color w:val="1F2937"/>
          <w:sz w:val="22"/>
          <w:szCs w:val="22"/>
        </w:rPr>
        <w:t xml:space="preserve">Plan-tier gating implemented end-to-end — server-enforced, with three clear tiers and a value ladder. Reduces churn risk and unlocks defensible premium pricing.</w:t>
      </w:r>
    </w:p>
    <w:p>
      <w:pPr>
        <w:pStyle w:val="ListParagraph"/>
        <w:numPr>
          <w:ilvl w:val="0"/>
          <w:numId w:val="2"/>
        </w:numPr>
        <w:spacing w:after="80" w:line="300"/>
      </w:pPr>
      <w:r>
        <w:rPr>
          <w:rFonts w:ascii="Calibri" w:cs="Calibri" w:eastAsia="Calibri" w:hAnsi="Calibri"/>
          <w:color w:val="1F2937"/>
          <w:sz w:val="22"/>
          <w:szCs w:val="22"/>
        </w:rPr>
        <w:t xml:space="preserve">Mobile app submission-ready — distribution channel that most early-stage products defer until much later.</w:t>
      </w:r>
    </w:p>
    <w:p>
      <w:pPr>
        <w:pStyle w:val="ListParagraph"/>
        <w:numPr>
          <w:ilvl w:val="0"/>
          <w:numId w:val="2"/>
        </w:numPr>
        <w:spacing w:after="80" w:line="300"/>
      </w:pPr>
      <w:r>
        <w:rPr>
          <w:rFonts w:ascii="Calibri" w:cs="Calibri" w:eastAsia="Calibri" w:hAnsi="Calibri"/>
          <w:color w:val="1F2937"/>
          <w:sz w:val="22"/>
          <w:szCs w:val="22"/>
        </w:rPr>
        <w:t xml:space="preserve">Subject-affinity engine, task-shell template system, and Truth or Dare safety pipeline are defensible technical moats — competitors cannot replicate without significant rebuild effort.</w:t>
      </w:r>
    </w:p>
    <w:p>
      <w:pPr>
        <w:pStyle w:val="ListParagraph"/>
        <w:numPr>
          <w:ilvl w:val="0"/>
          <w:numId w:val="2"/>
        </w:numPr>
        <w:spacing w:after="80" w:line="300"/>
      </w:pPr>
      <w:r>
        <w:rPr>
          <w:rFonts w:ascii="Calibri" w:cs="Calibri" w:eastAsia="Calibri" w:hAnsi="Calibri"/>
          <w:color w:val="1F2937"/>
          <w:sz w:val="22"/>
          <w:szCs w:val="22"/>
        </w:rPr>
        <w:t xml:space="preserve">Pedagogical breadth — all six Bloom's levels, six evidence-based learning-science alignments, three pedagogical innovation moats. Aligns directly with K-12 procurement criteria.</w:t>
      </w:r>
    </w:p>
    <w:p>
      <w:pPr>
        <w:pStyle w:val="ListParagraph"/>
        <w:numPr>
          <w:ilvl w:val="0"/>
          <w:numId w:val="2"/>
        </w:numPr>
        <w:spacing w:after="80" w:line="300"/>
      </w:pPr>
      <w:r>
        <w:rPr>
          <w:rFonts w:ascii="Calibri" w:cs="Calibri" w:eastAsia="Calibri" w:hAnsi="Calibri"/>
          <w:color w:val="1F2937"/>
          <w:sz w:val="22"/>
          <w:szCs w:val="22"/>
        </w:rPr>
        <w:t xml:space="preserve">Party / Event mode opens consumer and corporate markets simultaneously; the Truth or Dare safety pipeline makes a classroom party game shippable without legal/reputational risk.</w:t>
      </w:r>
    </w:p>
    <w:p>
      <w:pPr>
        <w:pStyle w:val="Heading2"/>
        <w:spacing w:after="140" w:before="280"/>
      </w:pPr>
      <w:r>
        <w:rPr>
          <w:rFonts w:ascii="Calibri" w:cs="Calibri" w:eastAsia="Calibri" w:hAnsi="Calibri"/>
          <w:b/>
          <w:bCs/>
          <w:color w:val="1F4E79"/>
          <w:sz w:val="26"/>
          <w:szCs w:val="26"/>
        </w:rPr>
        <w:t xml:space="preserve">Disclaimer</w:t>
      </w:r>
    </w:p>
    <w:p>
      <w:pPr>
        <w:spacing w:after="120" w:line="320"/>
      </w:pPr>
      <w:r>
        <w:rPr>
          <w:rFonts w:ascii="Calibri" w:cs="Calibri" w:eastAsia="Calibri" w:hAnsi="Calibri"/>
          <w:i/>
          <w:iCs/>
          <w:color w:val="6B7280"/>
          <w:sz w:val="22"/>
          <w:szCs w:val="22"/>
        </w:rPr>
        <w:t xml:space="preserve">This valuation assessment is produced for informational purposes and represents an AI-assisted estimate based on publicly available market data, comparable transactions, and a technical + pedagogical audit of the Curriculate codebase as of May 23, 2026. It does not constitute financial advice. Actual market value may differ based on negotiation, market conditions, buyer interest, and audited financial performance. A formal valuation by a licensed business appraiser is recommended for transaction purposes. The late-May 2026 ranges are revised upward from the May 7 assessment primarily on the basis of (a) the 37% codebase expansion, (b) the addition of seven new task types and four cross-cutting systems, (c) the published pedagogical breadth across all six Bloom's levels, and (d) the unique safety-engineering moat in the Truth or Dare layer. They remain conservative absent revenue and growth data from the operator.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before="0"/>
    </w:pPr>
    <w:r>
      <w:rPr>
        <w:rFonts w:ascii="Calibri" w:cs="Calibri" w:eastAsia="Calibri" w:hAnsi="Calibri"/>
        <w:i/>
        <w:iCs/>
        <w:color w:val="6B7280"/>
        <w:sz w:val="18"/>
        <w:szCs w:val="18"/>
      </w:rPr>
      <w:t xml:space="preserve">Curriculate Valuation</w:t>
    </w:r>
    <w:r>
      <w:rPr>
        <w:rFonts w:ascii="Calibri" w:cs="Calibri" w:eastAsia="Calibri" w:hAnsi="Calibri"/>
        <w:i/>
        <w:iCs/>
        <w:color w:val="6B7280"/>
        <w:sz w:val="18"/>
        <w:szCs w:val="18"/>
      </w:rPr>
      <w:t xml:space="preserve">	Late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F172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Curriculate Valuation — Late May 2026 (Financial &amp; Pedagogical)</dc:title>
  <dc:creator>Curriculate</dc:creator>
  <dc:description>Updated valuation reflecting seven new task types, four overlay systems, full Bloom's coverage, and Truth or Dare safety pipeline.</dc:description>
  <cp:lastModifiedBy>Un-named</cp:lastModifiedBy>
  <cp:revision>1</cp:revision>
  <dcterms:created xsi:type="dcterms:W3CDTF">2026-05-23T21:52:20.132Z</dcterms:created>
  <dcterms:modified xsi:type="dcterms:W3CDTF">2026-05-23T21:52:20.132Z</dcterms:modified>
</cp:coreProperties>
</file>

<file path=docProps/custom.xml><?xml version="1.0" encoding="utf-8"?>
<Properties xmlns="http://schemas.openxmlformats.org/officeDocument/2006/custom-properties" xmlns:vt="http://schemas.openxmlformats.org/officeDocument/2006/docPropsVTypes"/>
</file>