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after="640"/>
        <w:jc w:val="center"/>
      </w:pPr>
      <w:r>
        <w:rPr>
          <w:b/>
          <w:color w:val="A67B13"/>
          <w:sz w:val="28"/>
        </w:rPr>
        <w:t>TECH CHALLENGE FASE 2</w:t>
      </w:r>
    </w:p>
    <w:p>
      <w:pPr>
        <w:pStyle w:val="Title"/>
        <w:jc w:val="center"/>
      </w:pPr>
      <w:r>
        <w:t>Otimização de rotas médicas com algoritmo genético e LLM</w:t>
      </w:r>
    </w:p>
    <w:p>
      <w:pPr>
        <w:spacing w:after="600"/>
        <w:jc w:val="center"/>
      </w:pPr>
      <w:r>
        <w:rPr>
          <w:color w:val="35586A"/>
          <w:sz w:val="30"/>
        </w:rPr>
        <w:t>Múltiplos veículos, prioridades e interpretação de soluções verificadas</w:t>
      </w:r>
    </w:p>
    <w:p>
      <w:pPr>
        <w:jc w:val="center"/>
      </w:pPr>
      <w:r>
        <w:rPr>
          <w:b/>
        </w:rPr>
        <w:t>Equipe</w:t>
      </w:r>
    </w:p>
    <w:p>
      <w:pPr>
        <w:jc w:val="center"/>
      </w:pPr>
      <w:r>
        <w:t>Lucas dos Santos Batista  RM 376835</w:t>
      </w:r>
    </w:p>
    <w:p>
      <w:pPr>
        <w:jc w:val="center"/>
      </w:pPr>
      <w:r>
        <w:t>Eduardo Fagner Costalonga Ribeiro  RM 376780</w:t>
      </w:r>
    </w:p>
    <w:p>
      <w:pPr>
        <w:jc w:val="center"/>
      </w:pPr>
      <w:r>
        <w:t>Renan Gonçalves Micheletti  RM 376743</w:t>
      </w:r>
    </w:p>
    <w:p>
      <w:pPr>
        <w:spacing w:before="560"/>
        <w:jc w:val="center"/>
      </w:pPr>
      <w:r>
        <w:t>Outubro de 2026</w:t>
      </w:r>
    </w:p>
    <w:p>
      <w:pPr>
        <w:jc w:val="center"/>
      </w:pPr>
      <w:r>
        <w:rPr>
          <w:color w:val="637181"/>
          <w:sz w:val="20"/>
        </w:rPr>
        <w:t>Relatório técnico da entrega local</w:t>
      </w:r>
    </w:p>
    <w:p>
      <w:r>
        <w:br w:type="page"/>
      </w:r>
    </w:p>
    <w:p>
      <w:pPr>
        <w:pStyle w:val="Heading1"/>
      </w:pPr>
      <w:r>
        <w:t>1 Visão geral e escopo</w:t>
      </w:r>
    </w:p>
    <w:p>
      <w:r>
        <w:t>Implementamos um sistema de planejamento da distribuição de medicamentos e insumos por múltiplos veículos, com capacidade, autonomia e prioridades. O núcleo utiliza um algoritmo genético, comparado com uma heurística gulosa e OR-Tools. Uma camada de linguagem organiza fatos de soluções verificadas para produzir instruções, relatórios e respostas a perguntas.</w:t>
      </w:r>
    </w:p>
    <w:p>
      <w:r>
        <w:t>A avaliação mostra que o genético encontra rotas viáveis e melhora alguns casos menores, mas não supera OR-Tools nos benchmarks maiores. A reparação consome uma parte relevante do orçamento, limitando a evolução. Esse resultado orienta a discussão das limitações e evita atribuir à abordagem ganhos que não foram observados.</w:t>
      </w:r>
    </w:p>
    <w:p>
      <w:r>
        <w:t>O cenário hospitalar é fictício e utiliza ruas reais da região central de São Paulo. Os tempos são estimativas sem trânsito em tempo real. Não usamos pacientes, medicamentos reais, estoques ou desfechos clínicos. Os pesos de prioridade representam premissas do experimento.</w:t>
      </w:r>
    </w:p>
    <w:tbl>
      <w:tblPr>
        <w:tblStyle w:val="TableGrid"/>
        <w:tblW w:type="auto" w:w="0"/>
        <w:tblLayout w:type="fixed"/>
        <w:tblLook w:firstColumn="1" w:firstRow="1" w:lastColumn="0" w:lastRow="0" w:noHBand="0" w:noVBand="1" w:val="04A0"/>
      </w:tblPr>
      <w:tblGrid>
        <w:gridCol w:w="1944"/>
        <w:gridCol w:w="7416"/>
      </w:tblGrid>
      <w:tr>
        <w:trPr>
          <w:tblHeader/>
          <w:cantSplit/>
        </w:trPr>
        <w:tc>
          <w:tcPr>
            <w:tcW w:type="dxa" w:w="1944"/>
            <w:shd w:fill="F1F4F8"/>
          </w:tcPr>
          <w:p>
            <w:pPr>
              <w:spacing w:after="80" w:before="80" w:line="240" w:lineRule="auto"/>
            </w:pPr>
            <w:r>
              <w:rPr>
                <w:rFonts w:ascii="Calibri" w:hAnsi="Calibri"/>
                <w:b/>
                <w:color w:val="285B86"/>
                <w:sz w:val="19"/>
              </w:rPr>
              <w:t>Componente</w:t>
            </w:r>
          </w:p>
        </w:tc>
        <w:tc>
          <w:tcPr>
            <w:tcW w:type="dxa" w:w="7416"/>
            <w:shd w:fill="F1F4F8"/>
          </w:tcPr>
          <w:p>
            <w:pPr>
              <w:spacing w:after="80" w:before="80" w:line="240" w:lineRule="auto"/>
            </w:pPr>
            <w:r>
              <w:rPr>
                <w:rFonts w:ascii="Calibri" w:hAnsi="Calibri"/>
                <w:b/>
                <w:color w:val="285B86"/>
                <w:sz w:val="19"/>
              </w:rPr>
              <w:t>Entrega</w:t>
            </w:r>
          </w:p>
        </w:tc>
      </w:tr>
      <w:tr>
        <w:trPr>
          <w:cantSplit/>
        </w:trPr>
        <w:tc>
          <w:tcPr>
            <w:tcW w:type="dxa" w:w="1944"/>
          </w:tcPr>
          <w:p>
            <w:pPr>
              <w:spacing w:after="80" w:before="80" w:line="240" w:lineRule="auto"/>
            </w:pPr>
            <w:r>
              <w:rPr>
                <w:rFonts w:ascii="Calibri" w:hAnsi="Calibri"/>
                <w:sz w:val="19"/>
              </w:rPr>
              <w:t>Otimização</w:t>
            </w:r>
          </w:p>
        </w:tc>
        <w:tc>
          <w:tcPr>
            <w:tcW w:type="dxa" w:w="7416"/>
          </w:tcPr>
          <w:p>
            <w:pPr>
              <w:spacing w:after="80" w:before="80" w:line="240" w:lineRule="auto"/>
            </w:pPr>
            <w:r>
              <w:rPr>
                <w:rFonts w:ascii="Calibri" w:hAnsi="Calibri"/>
                <w:sz w:val="19"/>
              </w:rPr>
              <w:t>Pacote Python compartilhado por CLI, notebooks e API</w:t>
            </w:r>
          </w:p>
        </w:tc>
      </w:tr>
      <w:tr>
        <w:trPr>
          <w:cantSplit/>
        </w:trPr>
        <w:tc>
          <w:tcPr>
            <w:tcW w:type="dxa" w:w="1944"/>
          </w:tcPr>
          <w:p>
            <w:pPr>
              <w:spacing w:after="80" w:before="80" w:line="240" w:lineRule="auto"/>
            </w:pPr>
            <w:r>
              <w:rPr>
                <w:rFonts w:ascii="Calibri" w:hAnsi="Calibri"/>
                <w:sz w:val="19"/>
              </w:rPr>
              <w:t>Dados</w:t>
            </w:r>
          </w:p>
        </w:tc>
        <w:tc>
          <w:tcPr>
            <w:tcW w:type="dxa" w:w="7416"/>
          </w:tcPr>
          <w:p>
            <w:pPr>
              <w:spacing w:after="80" w:before="80" w:line="240" w:lineRule="auto"/>
            </w:pPr>
            <w:r>
              <w:rPr>
                <w:rFonts w:ascii="Calibri" w:hAnsi="Calibri"/>
                <w:sz w:val="19"/>
              </w:rPr>
              <w:t>Snapshot OSM, cenários de 12/30/60 entregas, sete dias e três benchmarks</w:t>
            </w:r>
          </w:p>
        </w:tc>
      </w:tr>
      <w:tr>
        <w:trPr>
          <w:cantSplit/>
        </w:trPr>
        <w:tc>
          <w:tcPr>
            <w:tcW w:type="dxa" w:w="1944"/>
          </w:tcPr>
          <w:p>
            <w:pPr>
              <w:spacing w:after="80" w:before="80" w:line="240" w:lineRule="auto"/>
            </w:pPr>
            <w:r>
              <w:rPr>
                <w:rFonts w:ascii="Calibri" w:hAnsi="Calibri"/>
                <w:sz w:val="19"/>
              </w:rPr>
              <w:t>Experimentos</w:t>
            </w:r>
          </w:p>
        </w:tc>
        <w:tc>
          <w:tcPr>
            <w:tcW w:type="dxa" w:w="7416"/>
          </w:tcPr>
          <w:p>
            <w:pPr>
              <w:spacing w:after="80" w:before="80" w:line="240" w:lineRule="auto"/>
            </w:pPr>
            <w:r>
              <w:rPr>
                <w:rFonts w:ascii="Calibri" w:hAnsi="Calibri"/>
                <w:sz w:val="19"/>
              </w:rPr>
              <w:t>278 execuções tabuladas, três configurações e dez sementes finais</w:t>
            </w:r>
          </w:p>
        </w:tc>
      </w:tr>
      <w:tr>
        <w:trPr>
          <w:cantSplit/>
        </w:trPr>
        <w:tc>
          <w:tcPr>
            <w:tcW w:type="dxa" w:w="1944"/>
          </w:tcPr>
          <w:p>
            <w:pPr>
              <w:spacing w:after="80" w:before="80" w:line="240" w:lineRule="auto"/>
            </w:pPr>
            <w:r>
              <w:rPr>
                <w:rFonts w:ascii="Calibri" w:hAnsi="Calibri"/>
                <w:sz w:val="19"/>
              </w:rPr>
              <w:t>Interpretação</w:t>
            </w:r>
          </w:p>
        </w:tc>
        <w:tc>
          <w:tcPr>
            <w:tcW w:type="dxa" w:w="7416"/>
          </w:tcPr>
          <w:p>
            <w:pPr>
              <w:spacing w:after="80" w:before="80" w:line="240" w:lineRule="auto"/>
            </w:pPr>
            <w:r>
              <w:rPr>
                <w:rFonts w:ascii="Calibri" w:hAnsi="Calibri"/>
                <w:sz w:val="19"/>
              </w:rPr>
              <w:t>gpt-6-luna pela Responses API, saída estruturada e orçamento acumulado</w:t>
            </w:r>
          </w:p>
        </w:tc>
      </w:tr>
      <w:tr>
        <w:trPr>
          <w:cantSplit/>
        </w:trPr>
        <w:tc>
          <w:tcPr>
            <w:tcW w:type="dxa" w:w="1944"/>
          </w:tcPr>
          <w:p>
            <w:pPr>
              <w:spacing w:after="80" w:before="80" w:line="240" w:lineRule="auto"/>
            </w:pPr>
            <w:r>
              <w:rPr>
                <w:rFonts w:ascii="Calibri" w:hAnsi="Calibri"/>
                <w:sz w:val="19"/>
              </w:rPr>
              <w:t>Documentação</w:t>
            </w:r>
          </w:p>
        </w:tc>
        <w:tc>
          <w:tcPr>
            <w:tcW w:type="dxa" w:w="7416"/>
          </w:tcPr>
          <w:p>
            <w:pPr>
              <w:spacing w:after="80" w:before="80" w:line="240" w:lineRule="auto"/>
            </w:pPr>
            <w:r>
              <w:rPr>
                <w:rFonts w:ascii="Calibri" w:hAnsi="Calibri"/>
                <w:sz w:val="19"/>
              </w:rPr>
              <w:t>Dois notebooks, gráficos, mapas, relatório e roteiro de apresentação</w:t>
            </w:r>
          </w:p>
        </w:tc>
      </w:tr>
      <w:tr>
        <w:trPr>
          <w:cantSplit/>
        </w:trPr>
        <w:tc>
          <w:tcPr>
            <w:tcW w:type="dxa" w:w="1944"/>
          </w:tcPr>
          <w:p>
            <w:pPr>
              <w:spacing w:after="80" w:before="80" w:line="240" w:lineRule="auto"/>
            </w:pPr>
            <w:r>
              <w:rPr>
                <w:rFonts w:ascii="Calibri" w:hAnsi="Calibri"/>
                <w:sz w:val="19"/>
              </w:rPr>
              <w:t>Validação</w:t>
            </w:r>
          </w:p>
        </w:tc>
        <w:tc>
          <w:tcPr>
            <w:tcW w:type="dxa" w:w="7416"/>
          </w:tcPr>
          <w:p>
            <w:pPr>
              <w:spacing w:after="80" w:before="80" w:line="240" w:lineRule="auto"/>
            </w:pPr>
            <w:r>
              <w:rPr>
                <w:rFonts w:ascii="Calibri" w:hAnsi="Calibri"/>
                <w:sz w:val="19"/>
              </w:rPr>
              <w:t>Casos conhecidos, adulterações, integração HTTP e aceite por evidências</w:t>
            </w:r>
          </w:p>
        </w:tc>
      </w:tr>
    </w:tbl>
    <w:p>
      <w:pPr>
        <w:spacing w:after="40"/>
      </w:pPr>
    </w:p>
    <w:p>
      <w:r>
        <w:t>A conclusão do projeto é a entrega local validada. A equipe realizará a gravação do vídeo, a publicação e a submissão. O roteiro prevê 14 minutos e 30 segundos, sem incluir essas ações no trabalho automatizado.</w:t>
      </w:r>
    </w:p>
    <w:p>
      <w:r>
        <w:br w:type="page"/>
      </w:r>
    </w:p>
    <w:p>
      <w:pPr>
        <w:pStyle w:val="Heading1"/>
      </w:pPr>
      <w:r>
        <w:t>2 Modelo de dados e restrições</w:t>
      </w:r>
    </w:p>
    <w:p>
      <w:r>
        <w:t>Cada cenário contém um depósito, entregas com identificadores únicos, carga, prioridade, atendimento e localização, além de uma frota com capacidade e autonomia. A ordem dos nós nas matrizes é depósito seguido pelas entregas. A localização não define a identidade de um pedido: duas entregas no mesmo endereço permanecem distintas.</w:t>
      </w:r>
    </w:p>
    <w:tbl>
      <w:tblPr>
        <w:tblStyle w:val="TableGrid"/>
        <w:tblW w:type="auto" w:w="0"/>
        <w:tblLayout w:type="fixed"/>
        <w:tblLook w:firstColumn="1" w:firstRow="1" w:lastColumn="0" w:lastRow="0" w:noHBand="0" w:noVBand="1" w:val="04A0"/>
      </w:tblPr>
      <w:tblGrid>
        <w:gridCol w:w="1872"/>
        <w:gridCol w:w="7488"/>
      </w:tblGrid>
      <w:tr>
        <w:trPr>
          <w:tblHeader/>
          <w:cantSplit/>
        </w:trPr>
        <w:tc>
          <w:tcPr>
            <w:tcW w:type="dxa" w:w="1872"/>
            <w:shd w:fill="F1F4F8"/>
          </w:tcPr>
          <w:p>
            <w:pPr>
              <w:spacing w:after="80" w:before="80" w:line="240" w:lineRule="auto"/>
            </w:pPr>
            <w:r>
              <w:rPr>
                <w:rFonts w:ascii="Calibri" w:hAnsi="Calibri"/>
                <w:b/>
                <w:color w:val="285B86"/>
                <w:sz w:val="19"/>
              </w:rPr>
              <w:t>Regra</w:t>
            </w:r>
          </w:p>
        </w:tc>
        <w:tc>
          <w:tcPr>
            <w:tcW w:type="dxa" w:w="7488"/>
            <w:shd w:fill="F1F4F8"/>
          </w:tcPr>
          <w:p>
            <w:pPr>
              <w:spacing w:after="80" w:before="80" w:line="240" w:lineRule="auto"/>
            </w:pPr>
            <w:r>
              <w:rPr>
                <w:rFonts w:ascii="Calibri" w:hAnsi="Calibri"/>
                <w:b/>
                <w:color w:val="285B86"/>
                <w:sz w:val="19"/>
              </w:rPr>
              <w:t>Conferência</w:t>
            </w:r>
          </w:p>
        </w:tc>
      </w:tr>
      <w:tr>
        <w:trPr>
          <w:cantSplit/>
        </w:trPr>
        <w:tc>
          <w:tcPr>
            <w:tcW w:type="dxa" w:w="1872"/>
          </w:tcPr>
          <w:p>
            <w:pPr>
              <w:spacing w:after="80" w:before="80" w:line="240" w:lineRule="auto"/>
            </w:pPr>
            <w:r>
              <w:rPr>
                <w:rFonts w:ascii="Calibri" w:hAnsi="Calibri"/>
                <w:sz w:val="19"/>
              </w:rPr>
              <w:t>Visitas</w:t>
            </w:r>
          </w:p>
        </w:tc>
        <w:tc>
          <w:tcPr>
            <w:tcW w:type="dxa" w:w="7488"/>
          </w:tcPr>
          <w:p>
            <w:pPr>
              <w:spacing w:after="80" w:before="80" w:line="240" w:lineRule="auto"/>
            </w:pPr>
            <w:r>
              <w:rPr>
                <w:rFonts w:ascii="Calibri" w:hAnsi="Calibri"/>
                <w:sz w:val="19"/>
              </w:rPr>
              <w:t>Todos os pedidos exatamente uma vez, sem IDs desconhecidos</w:t>
            </w:r>
          </w:p>
        </w:tc>
      </w:tr>
      <w:tr>
        <w:trPr>
          <w:cantSplit/>
        </w:trPr>
        <w:tc>
          <w:tcPr>
            <w:tcW w:type="dxa" w:w="1872"/>
          </w:tcPr>
          <w:p>
            <w:pPr>
              <w:spacing w:after="80" w:before="80" w:line="240" w:lineRule="auto"/>
            </w:pPr>
            <w:r>
              <w:rPr>
                <w:rFonts w:ascii="Calibri" w:hAnsi="Calibri"/>
                <w:sz w:val="19"/>
              </w:rPr>
              <w:t>Capacidade</w:t>
            </w:r>
          </w:p>
        </w:tc>
        <w:tc>
          <w:tcPr>
            <w:tcW w:type="dxa" w:w="7488"/>
          </w:tcPr>
          <w:p>
            <w:pPr>
              <w:spacing w:after="80" w:before="80" w:line="240" w:lineRule="auto"/>
            </w:pPr>
            <w:r>
              <w:rPr>
                <w:rFonts w:ascii="Calibri" w:hAnsi="Calibri"/>
                <w:sz w:val="19"/>
              </w:rPr>
              <w:t>Soma da carga inicial de cada rota dentro do limite do veículo</w:t>
            </w:r>
          </w:p>
        </w:tc>
      </w:tr>
      <w:tr>
        <w:trPr>
          <w:cantSplit/>
        </w:trPr>
        <w:tc>
          <w:tcPr>
            <w:tcW w:type="dxa" w:w="1872"/>
          </w:tcPr>
          <w:p>
            <w:pPr>
              <w:spacing w:after="80" w:before="80" w:line="240" w:lineRule="auto"/>
            </w:pPr>
            <w:r>
              <w:rPr>
                <w:rFonts w:ascii="Calibri" w:hAnsi="Calibri"/>
                <w:sz w:val="19"/>
              </w:rPr>
              <w:t>Autonomia</w:t>
            </w:r>
          </w:p>
        </w:tc>
        <w:tc>
          <w:tcPr>
            <w:tcW w:type="dxa" w:w="7488"/>
          </w:tcPr>
          <w:p>
            <w:pPr>
              <w:spacing w:after="80" w:before="80" w:line="240" w:lineRule="auto"/>
            </w:pPr>
            <w:r>
              <w:rPr>
                <w:rFonts w:ascii="Calibri" w:hAnsi="Calibri"/>
                <w:sz w:val="19"/>
              </w:rPr>
              <w:t>Distância completa, incluindo retorno ao depósito</w:t>
            </w:r>
          </w:p>
        </w:tc>
      </w:tr>
      <w:tr>
        <w:trPr>
          <w:cantSplit/>
        </w:trPr>
        <w:tc>
          <w:tcPr>
            <w:tcW w:type="dxa" w:w="1872"/>
          </w:tcPr>
          <w:p>
            <w:pPr>
              <w:spacing w:after="80" w:before="80" w:line="240" w:lineRule="auto"/>
            </w:pPr>
            <w:r>
              <w:rPr>
                <w:rFonts w:ascii="Calibri" w:hAnsi="Calibri"/>
                <w:sz w:val="19"/>
              </w:rPr>
              <w:t>Horários</w:t>
            </w:r>
          </w:p>
        </w:tc>
        <w:tc>
          <w:tcPr>
            <w:tcW w:type="dxa" w:w="7488"/>
          </w:tcPr>
          <w:p>
            <w:pPr>
              <w:spacing w:after="80" w:before="80" w:line="240" w:lineRule="auto"/>
            </w:pPr>
            <w:r>
              <w:rPr>
                <w:rFonts w:ascii="Calibri" w:hAnsi="Calibri"/>
                <w:sz w:val="19"/>
              </w:rPr>
              <w:t>Deslocamento dirigido e atendimento das paradas anteriores</w:t>
            </w:r>
          </w:p>
        </w:tc>
      </w:tr>
      <w:tr>
        <w:trPr>
          <w:cantSplit/>
        </w:trPr>
        <w:tc>
          <w:tcPr>
            <w:tcW w:type="dxa" w:w="1872"/>
          </w:tcPr>
          <w:p>
            <w:pPr>
              <w:spacing w:after="80" w:before="80" w:line="240" w:lineRule="auto"/>
            </w:pPr>
            <w:r>
              <w:rPr>
                <w:rFonts w:ascii="Calibri" w:hAnsi="Calibri"/>
                <w:sz w:val="19"/>
              </w:rPr>
              <w:t>Matrizes</w:t>
            </w:r>
          </w:p>
        </w:tc>
        <w:tc>
          <w:tcPr>
            <w:tcW w:type="dxa" w:w="7488"/>
          </w:tcPr>
          <w:p>
            <w:pPr>
              <w:spacing w:after="80" w:before="80" w:line="240" w:lineRule="auto"/>
            </w:pPr>
            <w:r>
              <w:rPr>
                <w:rFonts w:ascii="Calibri" w:hAnsi="Calibri"/>
                <w:sz w:val="19"/>
              </w:rPr>
              <w:t>Dimensão correta, diagonal zero, valores finitos e pares alcançáveis coerentes</w:t>
            </w:r>
          </w:p>
        </w:tc>
      </w:tr>
      <w:tr>
        <w:trPr>
          <w:cantSplit/>
        </w:trPr>
        <w:tc>
          <w:tcPr>
            <w:tcW w:type="dxa" w:w="1872"/>
          </w:tcPr>
          <w:p>
            <w:pPr>
              <w:spacing w:after="80" w:before="80" w:line="240" w:lineRule="auto"/>
            </w:pPr>
            <w:r>
              <w:rPr>
                <w:rFonts w:ascii="Calibri" w:hAnsi="Calibri"/>
                <w:sz w:val="19"/>
              </w:rPr>
              <w:t>Publicação</w:t>
            </w:r>
          </w:p>
        </w:tc>
        <w:tc>
          <w:tcPr>
            <w:tcW w:type="dxa" w:w="7488"/>
          </w:tcPr>
          <w:p>
            <w:pPr>
              <w:spacing w:after="80" w:before="80" w:line="240" w:lineRule="auto"/>
            </w:pPr>
            <w:r>
              <w:rPr>
                <w:rFonts w:ascii="Calibri" w:hAnsi="Calibri"/>
                <w:sz w:val="19"/>
              </w:rPr>
              <w:t>Rota viável recertificada antes da consulta e da interpretação</w:t>
            </w:r>
          </w:p>
        </w:tc>
      </w:tr>
    </w:tbl>
    <w:p>
      <w:pPr>
        <w:spacing w:after="40"/>
      </w:pPr>
    </w:p>
    <w:p>
      <w:r>
        <w:t>Os veículos saem em paralelo no horário inicial comum, sem reabastecimento. A carga diminui ao longo das entregas. Não há coletas, janelas de atendimento, restrições térmicas nem incompatibilidade entre tipos de carga. Autonomia significa distância máxima; não representa um modelo energético.</w:t>
      </w:r>
    </w:p>
    <w:p>
      <w:pPr>
        <w:pStyle w:val="Heading2"/>
      </w:pPr>
      <w:r>
        <w:t>Objetivo entre soluções viáveis</w:t>
      </w:r>
    </w:p>
    <w:p>
      <w:r>
        <w:t>J = distância total em quilômetros + α × soma dos minutos de chegada ponderados pela prioridade. Usamos α = 0,05 km/min. O tempo de atendimento de uma parada afeta a chegada das seguintes, mas não a chegada à própria parada.</w:t>
      </w:r>
    </w:p>
    <w:tbl>
      <w:tblPr>
        <w:tblStyle w:val="TableGrid"/>
        <w:tblW w:type="auto" w:w="0"/>
        <w:tblLayout w:type="fixed"/>
        <w:tblLook w:firstColumn="1" w:firstRow="1" w:lastColumn="0" w:lastRow="0" w:noHBand="0" w:noVBand="1" w:val="04A0"/>
      </w:tblPr>
      <w:tblGrid>
        <w:gridCol w:w="6480"/>
        <w:gridCol w:w="2880"/>
      </w:tblGrid>
      <w:tr>
        <w:trPr>
          <w:tblHeader/>
          <w:cantSplit/>
        </w:trPr>
        <w:tc>
          <w:tcPr>
            <w:tcW w:type="dxa" w:w="6480"/>
            <w:shd w:fill="F1F4F8"/>
          </w:tcPr>
          <w:p>
            <w:pPr>
              <w:spacing w:after="80" w:before="80" w:line="240" w:lineRule="auto"/>
            </w:pPr>
            <w:r>
              <w:rPr>
                <w:rFonts w:ascii="Calibri" w:hAnsi="Calibri"/>
                <w:b/>
                <w:color w:val="285B86"/>
                <w:sz w:val="19"/>
              </w:rPr>
              <w:t>Prioridade</w:t>
            </w:r>
          </w:p>
        </w:tc>
        <w:tc>
          <w:tcPr>
            <w:tcW w:type="dxa" w:w="2880"/>
            <w:shd w:fill="F1F4F8"/>
          </w:tcPr>
          <w:p>
            <w:pPr>
              <w:spacing w:after="80" w:before="80" w:line="240" w:lineRule="auto"/>
            </w:pPr>
            <w:r>
              <w:rPr>
                <w:rFonts w:ascii="Calibri" w:hAnsi="Calibri"/>
                <w:b/>
                <w:color w:val="285B86"/>
                <w:sz w:val="19"/>
              </w:rPr>
              <w:t>Peso inicial</w:t>
            </w:r>
          </w:p>
        </w:tc>
      </w:tr>
      <w:tr>
        <w:trPr>
          <w:cantSplit/>
        </w:trPr>
        <w:tc>
          <w:tcPr>
            <w:tcW w:type="dxa" w:w="6480"/>
          </w:tcPr>
          <w:p>
            <w:pPr>
              <w:spacing w:after="80" w:before="80" w:line="240" w:lineRule="auto"/>
            </w:pPr>
            <w:r>
              <w:rPr>
                <w:rFonts w:ascii="Calibri" w:hAnsi="Calibri"/>
                <w:sz w:val="19"/>
              </w:rPr>
              <w:t>Regular</w:t>
            </w:r>
          </w:p>
        </w:tc>
        <w:tc>
          <w:tcPr>
            <w:tcW w:type="dxa" w:w="2880"/>
          </w:tcPr>
          <w:p>
            <w:pPr>
              <w:spacing w:after="80" w:before="80" w:line="240" w:lineRule="auto"/>
            </w:pPr>
            <w:r>
              <w:rPr>
                <w:rFonts w:ascii="Calibri" w:hAnsi="Calibri"/>
                <w:sz w:val="19"/>
              </w:rPr>
              <w:t>1</w:t>
            </w:r>
          </w:p>
        </w:tc>
      </w:tr>
      <w:tr>
        <w:trPr>
          <w:cantSplit/>
        </w:trPr>
        <w:tc>
          <w:tcPr>
            <w:tcW w:type="dxa" w:w="6480"/>
          </w:tcPr>
          <w:p>
            <w:pPr>
              <w:spacing w:after="80" w:before="80" w:line="240" w:lineRule="auto"/>
            </w:pPr>
            <w:r>
              <w:rPr>
                <w:rFonts w:ascii="Calibri" w:hAnsi="Calibri"/>
                <w:sz w:val="19"/>
              </w:rPr>
              <w:t>Urgente</w:t>
            </w:r>
          </w:p>
        </w:tc>
        <w:tc>
          <w:tcPr>
            <w:tcW w:type="dxa" w:w="2880"/>
          </w:tcPr>
          <w:p>
            <w:pPr>
              <w:spacing w:after="80" w:before="80" w:line="240" w:lineRule="auto"/>
            </w:pPr>
            <w:r>
              <w:rPr>
                <w:rFonts w:ascii="Calibri" w:hAnsi="Calibri"/>
                <w:sz w:val="19"/>
              </w:rPr>
              <w:t>3</w:t>
            </w:r>
          </w:p>
        </w:tc>
      </w:tr>
      <w:tr>
        <w:trPr>
          <w:cantSplit/>
        </w:trPr>
        <w:tc>
          <w:tcPr>
            <w:tcW w:type="dxa" w:w="6480"/>
          </w:tcPr>
          <w:p>
            <w:pPr>
              <w:spacing w:after="80" w:before="80" w:line="240" w:lineRule="auto"/>
            </w:pPr>
            <w:r>
              <w:rPr>
                <w:rFonts w:ascii="Calibri" w:hAnsi="Calibri"/>
                <w:sz w:val="19"/>
              </w:rPr>
              <w:t>Crítica</w:t>
            </w:r>
          </w:p>
        </w:tc>
        <w:tc>
          <w:tcPr>
            <w:tcW w:type="dxa" w:w="2880"/>
          </w:tcPr>
          <w:p>
            <w:pPr>
              <w:spacing w:after="80" w:before="80" w:line="240" w:lineRule="auto"/>
            </w:pPr>
            <w:r>
              <w:rPr>
                <w:rFonts w:ascii="Calibri" w:hAnsi="Calibri"/>
                <w:sz w:val="19"/>
              </w:rPr>
              <w:t>10</w:t>
            </w:r>
          </w:p>
        </w:tc>
      </w:tr>
    </w:tbl>
    <w:p>
      <w:pPr>
        <w:spacing w:after="40"/>
      </w:pPr>
    </w:p>
    <w:p>
      <w:r>
        <w:t>A avaliação compara primeiro erros estruturais, depois violações de capacidade e autonomia, e só então J. Um percurso inválido não vence por ser mais curto. Nos benchmarks CVRPLIB e no TSP FIAP, usamos exclusivamente a distância original, sem misturar unidades ou prioridades médicas.</w:t>
      </w:r>
    </w:p>
    <w:p>
      <w:r>
        <w:br w:type="page"/>
      </w:r>
    </w:p>
    <w:p>
      <w:pPr>
        <w:pStyle w:val="Heading1"/>
      </w:pPr>
      <w:r>
        <w:t>3 Adaptação do algoritmo genético</w:t>
      </w:r>
    </w:p>
    <w:tbl>
      <w:tblPr>
        <w:tblStyle w:val="TableGrid"/>
        <w:tblW w:type="auto" w:w="0"/>
        <w:tblLayout w:type="fixed"/>
        <w:tblLook w:firstColumn="1" w:firstRow="1" w:lastColumn="0" w:lastRow="0" w:noHBand="0" w:noVBand="1" w:val="04A0"/>
      </w:tblPr>
      <w:tblGrid>
        <w:gridCol w:w="1440"/>
        <w:gridCol w:w="3384"/>
        <w:gridCol w:w="4536"/>
      </w:tblGrid>
      <w:tr>
        <w:trPr>
          <w:tblHeader/>
          <w:cantSplit/>
        </w:trPr>
        <w:tc>
          <w:tcPr>
            <w:tcW w:type="dxa" w:w="1440"/>
            <w:shd w:fill="F1F4F8"/>
          </w:tcPr>
          <w:p>
            <w:pPr>
              <w:spacing w:after="80" w:before="80" w:line="240" w:lineRule="auto"/>
            </w:pPr>
            <w:r>
              <w:rPr>
                <w:rFonts w:ascii="Calibri" w:hAnsi="Calibri"/>
                <w:b/>
                <w:color w:val="285B86"/>
                <w:sz w:val="19"/>
              </w:rPr>
              <w:t>Aspecto</w:t>
            </w:r>
          </w:p>
        </w:tc>
        <w:tc>
          <w:tcPr>
            <w:tcW w:type="dxa" w:w="3384"/>
            <w:shd w:fill="F1F4F8"/>
          </w:tcPr>
          <w:p>
            <w:pPr>
              <w:spacing w:after="80" w:before="80" w:line="240" w:lineRule="auto"/>
            </w:pPr>
            <w:r>
              <w:rPr>
                <w:rFonts w:ascii="Calibri" w:hAnsi="Calibri"/>
                <w:b/>
                <w:color w:val="285B86"/>
                <w:sz w:val="19"/>
              </w:rPr>
              <w:t>Base original</w:t>
            </w:r>
          </w:p>
        </w:tc>
        <w:tc>
          <w:tcPr>
            <w:tcW w:type="dxa" w:w="4536"/>
            <w:shd w:fill="F1F4F8"/>
          </w:tcPr>
          <w:p>
            <w:pPr>
              <w:spacing w:after="80" w:before="80" w:line="240" w:lineRule="auto"/>
            </w:pPr>
            <w:r>
              <w:rPr>
                <w:rFonts w:ascii="Calibri" w:hAnsi="Calibri"/>
                <w:b/>
                <w:color w:val="285B86"/>
                <w:sz w:val="19"/>
              </w:rPr>
              <w:t>Projeto atual</w:t>
            </w:r>
          </w:p>
        </w:tc>
      </w:tr>
      <w:tr>
        <w:trPr>
          <w:cantSplit/>
        </w:trPr>
        <w:tc>
          <w:tcPr>
            <w:tcW w:type="dxa" w:w="1440"/>
          </w:tcPr>
          <w:p>
            <w:pPr>
              <w:spacing w:after="80" w:before="80" w:line="240" w:lineRule="auto"/>
            </w:pPr>
            <w:r>
              <w:rPr>
                <w:rFonts w:ascii="Calibri" w:hAnsi="Calibri"/>
                <w:sz w:val="19"/>
              </w:rPr>
              <w:t>Problema</w:t>
            </w:r>
          </w:p>
        </w:tc>
        <w:tc>
          <w:tcPr>
            <w:tcW w:type="dxa" w:w="3384"/>
          </w:tcPr>
          <w:p>
            <w:pPr>
              <w:spacing w:after="80" w:before="80" w:line="240" w:lineRule="auto"/>
            </w:pPr>
            <w:r>
              <w:rPr>
                <w:rFonts w:ascii="Calibri" w:hAnsi="Calibri"/>
                <w:sz w:val="19"/>
              </w:rPr>
              <w:t>TSP com um circuito</w:t>
            </w:r>
          </w:p>
        </w:tc>
        <w:tc>
          <w:tcPr>
            <w:tcW w:type="dxa" w:w="4536"/>
          </w:tcPr>
          <w:p>
            <w:pPr>
              <w:spacing w:after="80" w:before="80" w:line="240" w:lineRule="auto"/>
            </w:pPr>
            <w:r>
              <w:rPr>
                <w:rFonts w:ascii="Calibri" w:hAnsi="Calibri"/>
                <w:sz w:val="19"/>
              </w:rPr>
              <w:t>Múltiplos veículos e restrições</w:t>
            </w:r>
          </w:p>
        </w:tc>
      </w:tr>
      <w:tr>
        <w:trPr>
          <w:cantSplit/>
        </w:trPr>
        <w:tc>
          <w:tcPr>
            <w:tcW w:type="dxa" w:w="1440"/>
          </w:tcPr>
          <w:p>
            <w:pPr>
              <w:spacing w:after="80" w:before="80" w:line="240" w:lineRule="auto"/>
            </w:pPr>
            <w:r>
              <w:rPr>
                <w:rFonts w:ascii="Calibri" w:hAnsi="Calibri"/>
                <w:sz w:val="19"/>
              </w:rPr>
              <w:t>Genes</w:t>
            </w:r>
          </w:p>
        </w:tc>
        <w:tc>
          <w:tcPr>
            <w:tcW w:type="dxa" w:w="3384"/>
          </w:tcPr>
          <w:p>
            <w:pPr>
              <w:spacing w:after="80" w:before="80" w:line="240" w:lineRule="auto"/>
            </w:pPr>
            <w:r>
              <w:rPr>
                <w:rFonts w:ascii="Calibri" w:hAnsi="Calibri"/>
                <w:sz w:val="19"/>
              </w:rPr>
              <w:t>Coordenadas</w:t>
            </w:r>
          </w:p>
        </w:tc>
        <w:tc>
          <w:tcPr>
            <w:tcW w:type="dxa" w:w="4536"/>
          </w:tcPr>
          <w:p>
            <w:pPr>
              <w:spacing w:after="80" w:before="80" w:line="240" w:lineRule="auto"/>
            </w:pPr>
            <w:r>
              <w:rPr>
                <w:rFonts w:ascii="Calibri" w:hAnsi="Calibri"/>
                <w:sz w:val="19"/>
              </w:rPr>
              <w:t>IDs exclusivos e separadores</w:t>
            </w:r>
          </w:p>
        </w:tc>
      </w:tr>
      <w:tr>
        <w:trPr>
          <w:cantSplit/>
        </w:trPr>
        <w:tc>
          <w:tcPr>
            <w:tcW w:type="dxa" w:w="1440"/>
          </w:tcPr>
          <w:p>
            <w:pPr>
              <w:spacing w:after="80" w:before="80" w:line="240" w:lineRule="auto"/>
            </w:pPr>
            <w:r>
              <w:rPr>
                <w:rFonts w:ascii="Calibri" w:hAnsi="Calibri"/>
                <w:sz w:val="19"/>
              </w:rPr>
              <w:t>Seleção</w:t>
            </w:r>
          </w:p>
        </w:tc>
        <w:tc>
          <w:tcPr>
            <w:tcW w:type="dxa" w:w="3384"/>
          </w:tcPr>
          <w:p>
            <w:pPr>
              <w:spacing w:after="80" w:before="80" w:line="240" w:lineRule="auto"/>
            </w:pPr>
            <w:r>
              <w:rPr>
                <w:rFonts w:ascii="Calibri" w:hAnsi="Calibri"/>
                <w:sz w:val="19"/>
              </w:rPr>
              <w:t>Roleta</w:t>
            </w:r>
          </w:p>
        </w:tc>
        <w:tc>
          <w:tcPr>
            <w:tcW w:type="dxa" w:w="4536"/>
          </w:tcPr>
          <w:p>
            <w:pPr>
              <w:spacing w:after="80" w:before="80" w:line="240" w:lineRule="auto"/>
            </w:pPr>
            <w:r>
              <w:rPr>
                <w:rFonts w:ascii="Calibri" w:hAnsi="Calibri"/>
                <w:sz w:val="19"/>
              </w:rPr>
              <w:t>Torneio de três</w:t>
            </w:r>
          </w:p>
        </w:tc>
      </w:tr>
      <w:tr>
        <w:trPr>
          <w:cantSplit/>
        </w:trPr>
        <w:tc>
          <w:tcPr>
            <w:tcW w:type="dxa" w:w="1440"/>
          </w:tcPr>
          <w:p>
            <w:pPr>
              <w:spacing w:after="80" w:before="80" w:line="240" w:lineRule="auto"/>
            </w:pPr>
            <w:r>
              <w:rPr>
                <w:rFonts w:ascii="Calibri" w:hAnsi="Calibri"/>
                <w:sz w:val="19"/>
              </w:rPr>
              <w:t>Crossover</w:t>
            </w:r>
          </w:p>
        </w:tc>
        <w:tc>
          <w:tcPr>
            <w:tcW w:type="dxa" w:w="3384"/>
          </w:tcPr>
          <w:p>
            <w:pPr>
              <w:spacing w:after="80" w:before="80" w:line="240" w:lineRule="auto"/>
            </w:pPr>
            <w:r>
              <w:rPr>
                <w:rFonts w:ascii="Calibri" w:hAnsi="Calibri"/>
                <w:sz w:val="19"/>
              </w:rPr>
              <w:t>OX com o mesmo pai no laço</w:t>
            </w:r>
          </w:p>
        </w:tc>
        <w:tc>
          <w:tcPr>
            <w:tcW w:type="dxa" w:w="4536"/>
          </w:tcPr>
          <w:p>
            <w:pPr>
              <w:spacing w:after="80" w:before="80" w:line="240" w:lineRule="auto"/>
            </w:pPr>
            <w:r>
              <w:rPr>
                <w:rFonts w:ascii="Calibri" w:hAnsi="Calibri"/>
                <w:sz w:val="19"/>
              </w:rPr>
              <w:t>OX com pais distintos quando possível</w:t>
            </w:r>
          </w:p>
        </w:tc>
      </w:tr>
      <w:tr>
        <w:trPr>
          <w:cantSplit/>
        </w:trPr>
        <w:tc>
          <w:tcPr>
            <w:tcW w:type="dxa" w:w="1440"/>
          </w:tcPr>
          <w:p>
            <w:pPr>
              <w:spacing w:after="80" w:before="80" w:line="240" w:lineRule="auto"/>
            </w:pPr>
            <w:r>
              <w:rPr>
                <w:rFonts w:ascii="Calibri" w:hAnsi="Calibri"/>
                <w:sz w:val="19"/>
              </w:rPr>
              <w:t>Mutação</w:t>
            </w:r>
          </w:p>
        </w:tc>
        <w:tc>
          <w:tcPr>
            <w:tcW w:type="dxa" w:w="3384"/>
          </w:tcPr>
          <w:p>
            <w:pPr>
              <w:spacing w:after="80" w:before="80" w:line="240" w:lineRule="auto"/>
            </w:pPr>
            <w:r>
              <w:rPr>
                <w:rFonts w:ascii="Calibri" w:hAnsi="Calibri"/>
                <w:sz w:val="19"/>
              </w:rPr>
              <w:t>Troca entre vizinhos</w:t>
            </w:r>
          </w:p>
        </w:tc>
        <w:tc>
          <w:tcPr>
            <w:tcW w:type="dxa" w:w="4536"/>
          </w:tcPr>
          <w:p>
            <w:pPr>
              <w:spacing w:after="80" w:before="80" w:line="240" w:lineRule="auto"/>
            </w:pPr>
            <w:r>
              <w:rPr>
                <w:rFonts w:ascii="Calibri" w:hAnsi="Calibri"/>
                <w:sz w:val="19"/>
              </w:rPr>
              <w:t>Troca ou inversão</w:t>
            </w:r>
          </w:p>
        </w:tc>
      </w:tr>
      <w:tr>
        <w:trPr>
          <w:cantSplit/>
        </w:trPr>
        <w:tc>
          <w:tcPr>
            <w:tcW w:type="dxa" w:w="1440"/>
          </w:tcPr>
          <w:p>
            <w:pPr>
              <w:spacing w:after="80" w:before="80" w:line="240" w:lineRule="auto"/>
            </w:pPr>
            <w:r>
              <w:rPr>
                <w:rFonts w:ascii="Calibri" w:hAnsi="Calibri"/>
                <w:sz w:val="19"/>
              </w:rPr>
              <w:t>Elitismo</w:t>
            </w:r>
          </w:p>
        </w:tc>
        <w:tc>
          <w:tcPr>
            <w:tcW w:type="dxa" w:w="3384"/>
          </w:tcPr>
          <w:p>
            <w:pPr>
              <w:spacing w:after="80" w:before="80" w:line="240" w:lineRule="auto"/>
            </w:pPr>
            <w:r>
              <w:rPr>
                <w:rFonts w:ascii="Calibri" w:hAnsi="Calibri"/>
                <w:sz w:val="19"/>
              </w:rPr>
              <w:t>Um indivíduo</w:t>
            </w:r>
          </w:p>
        </w:tc>
        <w:tc>
          <w:tcPr>
            <w:tcW w:type="dxa" w:w="4536"/>
          </w:tcPr>
          <w:p>
            <w:pPr>
              <w:spacing w:after="80" w:before="80" w:line="240" w:lineRule="auto"/>
            </w:pPr>
            <w:r>
              <w:rPr>
                <w:rFonts w:ascii="Calibri" w:hAnsi="Calibri"/>
                <w:sz w:val="19"/>
              </w:rPr>
              <w:t>Dois indivíduos</w:t>
            </w:r>
          </w:p>
        </w:tc>
      </w:tr>
      <w:tr>
        <w:trPr>
          <w:cantSplit/>
        </w:trPr>
        <w:tc>
          <w:tcPr>
            <w:tcW w:type="dxa" w:w="1440"/>
          </w:tcPr>
          <w:p>
            <w:pPr>
              <w:spacing w:after="80" w:before="80" w:line="240" w:lineRule="auto"/>
            </w:pPr>
            <w:r>
              <w:rPr>
                <w:rFonts w:ascii="Calibri" w:hAnsi="Calibri"/>
                <w:sz w:val="19"/>
              </w:rPr>
              <w:t>Verificação</w:t>
            </w:r>
          </w:p>
        </w:tc>
        <w:tc>
          <w:tcPr>
            <w:tcW w:type="dxa" w:w="3384"/>
          </w:tcPr>
          <w:p>
            <w:pPr>
              <w:spacing w:after="80" w:before="80" w:line="240" w:lineRule="auto"/>
            </w:pPr>
            <w:r>
              <w:rPr>
                <w:rFonts w:ascii="Calibri" w:hAnsi="Calibri"/>
                <w:sz w:val="19"/>
              </w:rPr>
              <w:t>Comprimento do ciclo</w:t>
            </w:r>
          </w:p>
        </w:tc>
        <w:tc>
          <w:tcPr>
            <w:tcW w:type="dxa" w:w="4536"/>
          </w:tcPr>
          <w:p>
            <w:pPr>
              <w:spacing w:after="80" w:before="80" w:line="240" w:lineRule="auto"/>
            </w:pPr>
            <w:r>
              <w:rPr>
                <w:rFonts w:ascii="Calibri" w:hAnsi="Calibri"/>
                <w:sz w:val="19"/>
              </w:rPr>
              <w:t>Certificação independente de visitas e limites</w:t>
            </w:r>
          </w:p>
        </w:tc>
      </w:tr>
      <w:tr>
        <w:trPr>
          <w:cantSplit/>
        </w:trPr>
        <w:tc>
          <w:tcPr>
            <w:tcW w:type="dxa" w:w="1440"/>
          </w:tcPr>
          <w:p>
            <w:pPr>
              <w:spacing w:after="80" w:before="80" w:line="240" w:lineRule="auto"/>
            </w:pPr>
            <w:r>
              <w:rPr>
                <w:rFonts w:ascii="Calibri" w:hAnsi="Calibri"/>
                <w:sz w:val="19"/>
              </w:rPr>
              <w:t>Aplicação</w:t>
            </w:r>
          </w:p>
        </w:tc>
        <w:tc>
          <w:tcPr>
            <w:tcW w:type="dxa" w:w="3384"/>
          </w:tcPr>
          <w:p>
            <w:pPr>
              <w:spacing w:after="80" w:before="80" w:line="240" w:lineRule="auto"/>
            </w:pPr>
            <w:r>
              <w:rPr>
                <w:rFonts w:ascii="Calibri" w:hAnsi="Calibri"/>
                <w:sz w:val="19"/>
              </w:rPr>
              <w:t>Interface Pygame</w:t>
            </w:r>
          </w:p>
        </w:tc>
        <w:tc>
          <w:tcPr>
            <w:tcW w:type="dxa" w:w="4536"/>
          </w:tcPr>
          <w:p>
            <w:pPr>
              <w:spacing w:after="80" w:before="80" w:line="240" w:lineRule="auto"/>
            </w:pPr>
            <w:r>
              <w:rPr>
                <w:rFonts w:ascii="Calibri" w:hAnsi="Calibri"/>
                <w:sz w:val="19"/>
              </w:rPr>
              <w:t>Pacote, CLI, API e mapas</w:t>
            </w:r>
          </w:p>
        </w:tc>
      </w:tr>
    </w:tbl>
    <w:p>
      <w:pPr>
        <w:spacing w:after="40"/>
      </w:pPr>
    </w:p>
    <w:p>
      <w:r>
        <w:t>O crossover original distingue valores de coordenadas, mas não identifica pedidos. Seu teste de pertencimento pode perder a multiplicidade de entregas no mesmo endereço. O novo OX atua sobre genes únicos e conserva todos os pedidos e separadores.</w:t>
      </w:r>
    </w:p>
    <w:p>
      <w:r>
        <w:t>A representação permite rotas vazias quando um veículo não é usado. A reparação determinística procura realocações e trocas que reduzam violações. Ela preserva as visitas, mas não garante encontrar uma solução para todo problema viável. O código separa avaliação da busca e verificação da solução publicada.</w:t>
      </w:r>
    </w:p>
    <w:p>
      <w:r>
        <w:t>A reprodução da referência remove apenas a dependência gráfica e mantém seus operadores, probabilidade de mutação 0,50, um elite e crossover com o mesmo pai. Essa comparação é restrita ao TSP de 15 pontos compatível com a fonte.</w:t>
      </w:r>
    </w:p>
    <w:p>
      <w:r>
        <w:br w:type="page"/>
      </w:r>
    </w:p>
    <w:p>
      <w:pPr>
        <w:pStyle w:val="Heading1"/>
      </w:pPr>
      <w:r>
        <w:t>4 Dados e preparação geográfica</w:t>
      </w:r>
    </w:p>
    <w:p>
      <w:r>
        <w:t>Obtivemos uma malha de ruas direcionadas do OpenStreetMap com OSMnx 2.1.1. O recorte vai de -46,69 a -46,61 de longitude e de -23,59 a -23,52 de latitude. Retivemos a maior componente fortemente conexa, com 7.029 nós e 14.036 arestas, permitindo ida e retorno entre os pontos escolhidos.</w:t>
      </w:r>
    </w:p>
    <w:p>
      <w:r>
        <w:t>Cada par usa o caminho de menor tempo estimado na malha. Distância, duração e polilinha são calculadas sobre as mesmas arestas. A velocidade deriva do campo maxspeed quando disponível, de imputação por tipo de rua e de fallback de 30 km/h. Sentidos das ruas são considerados; trânsito atual e restrições de conversão não são modelados.</w:t>
      </w:r>
    </w:p>
    <w:tbl>
      <w:tblPr>
        <w:tblStyle w:val="TableGrid"/>
        <w:tblW w:type="auto" w:w="0"/>
        <w:tblLayout w:type="fixed"/>
        <w:tblLook w:firstColumn="1" w:firstRow="1" w:lastColumn="0" w:lastRow="0" w:noHBand="0" w:noVBand="1" w:val="04A0"/>
      </w:tblPr>
      <w:tblGrid>
        <w:gridCol w:w="2088"/>
        <w:gridCol w:w="4824"/>
        <w:gridCol w:w="2448"/>
      </w:tblGrid>
      <w:tr>
        <w:trPr>
          <w:tblHeader/>
          <w:cantSplit/>
        </w:trPr>
        <w:tc>
          <w:tcPr>
            <w:tcW w:type="dxa" w:w="2088"/>
            <w:shd w:fill="F1F4F8"/>
          </w:tcPr>
          <w:p>
            <w:pPr>
              <w:spacing w:after="80" w:before="80" w:line="240" w:lineRule="auto"/>
            </w:pPr>
            <w:r>
              <w:rPr>
                <w:rFonts w:ascii="Calibri" w:hAnsi="Calibri"/>
                <w:b/>
                <w:color w:val="285B86"/>
                <w:sz w:val="19"/>
              </w:rPr>
              <w:t>Conjunto</w:t>
            </w:r>
          </w:p>
        </w:tc>
        <w:tc>
          <w:tcPr>
            <w:tcW w:type="dxa" w:w="4824"/>
            <w:shd w:fill="F1F4F8"/>
          </w:tcPr>
          <w:p>
            <w:pPr>
              <w:spacing w:after="80" w:before="80" w:line="240" w:lineRule="auto"/>
            </w:pPr>
            <w:r>
              <w:rPr>
                <w:rFonts w:ascii="Calibri" w:hAnsi="Calibri"/>
                <w:b/>
                <w:color w:val="285B86"/>
                <w:sz w:val="19"/>
              </w:rPr>
              <w:t>Escalas e frota</w:t>
            </w:r>
          </w:p>
        </w:tc>
        <w:tc>
          <w:tcPr>
            <w:tcW w:type="dxa" w:w="2448"/>
            <w:shd w:fill="F1F4F8"/>
          </w:tcPr>
          <w:p>
            <w:pPr>
              <w:spacing w:after="80" w:before="80" w:line="240" w:lineRule="auto"/>
            </w:pPr>
            <w:r>
              <w:rPr>
                <w:rFonts w:ascii="Calibri" w:hAnsi="Calibri"/>
                <w:b/>
                <w:color w:val="285B86"/>
                <w:sz w:val="19"/>
              </w:rPr>
              <w:t>Sementes</w:t>
            </w:r>
          </w:p>
        </w:tc>
      </w:tr>
      <w:tr>
        <w:trPr>
          <w:cantSplit/>
        </w:trPr>
        <w:tc>
          <w:tcPr>
            <w:tcW w:type="dxa" w:w="2088"/>
          </w:tcPr>
          <w:p>
            <w:pPr>
              <w:spacing w:after="80" w:before="80" w:line="240" w:lineRule="auto"/>
            </w:pPr>
            <w:r>
              <w:rPr>
                <w:rFonts w:ascii="Calibri" w:hAnsi="Calibri"/>
                <w:sz w:val="19"/>
              </w:rPr>
              <w:t>Desenvolvimento</w:t>
            </w:r>
          </w:p>
        </w:tc>
        <w:tc>
          <w:tcPr>
            <w:tcW w:type="dxa" w:w="4824"/>
          </w:tcPr>
          <w:p>
            <w:pPr>
              <w:spacing w:after="80" w:before="80" w:line="240" w:lineRule="auto"/>
            </w:pPr>
            <w:r>
              <w:rPr>
                <w:rFonts w:ascii="Calibri" w:hAnsi="Calibri"/>
                <w:sz w:val="19"/>
              </w:rPr>
              <w:t>12/2, 30/3 e 60/5 entregas/veículos</w:t>
            </w:r>
          </w:p>
        </w:tc>
        <w:tc>
          <w:tcPr>
            <w:tcW w:type="dxa" w:w="2448"/>
          </w:tcPr>
          <w:p>
            <w:pPr>
              <w:spacing w:after="80" w:before="80" w:line="240" w:lineRule="auto"/>
            </w:pPr>
            <w:r>
              <w:rPr>
                <w:rFonts w:ascii="Calibri" w:hAnsi="Calibri"/>
                <w:sz w:val="19"/>
              </w:rPr>
              <w:t>617+n</w:t>
            </w:r>
          </w:p>
        </w:tc>
      </w:tr>
      <w:tr>
        <w:trPr>
          <w:cantSplit/>
        </w:trPr>
        <w:tc>
          <w:tcPr>
            <w:tcW w:type="dxa" w:w="2088"/>
          </w:tcPr>
          <w:p>
            <w:pPr>
              <w:spacing w:after="80" w:before="80" w:line="240" w:lineRule="auto"/>
            </w:pPr>
            <w:r>
              <w:rPr>
                <w:rFonts w:ascii="Calibri" w:hAnsi="Calibri"/>
                <w:sz w:val="19"/>
              </w:rPr>
              <w:t>Avaliação final</w:t>
            </w:r>
          </w:p>
        </w:tc>
        <w:tc>
          <w:tcPr>
            <w:tcW w:type="dxa" w:w="4824"/>
          </w:tcPr>
          <w:p>
            <w:pPr>
              <w:spacing w:after="80" w:before="80" w:line="240" w:lineRule="auto"/>
            </w:pPr>
            <w:r>
              <w:rPr>
                <w:rFonts w:ascii="Calibri" w:hAnsi="Calibri"/>
                <w:sz w:val="19"/>
              </w:rPr>
              <w:t>12/2, 30/3 e 60/5</w:t>
            </w:r>
          </w:p>
        </w:tc>
        <w:tc>
          <w:tcPr>
            <w:tcW w:type="dxa" w:w="2448"/>
          </w:tcPr>
          <w:p>
            <w:pPr>
              <w:spacing w:after="80" w:before="80" w:line="240" w:lineRule="auto"/>
            </w:pPr>
            <w:r>
              <w:rPr>
                <w:rFonts w:ascii="Calibri" w:hAnsi="Calibri"/>
                <w:sz w:val="19"/>
              </w:rPr>
              <w:t>2026+n</w:t>
            </w:r>
          </w:p>
        </w:tc>
      </w:tr>
      <w:tr>
        <w:trPr>
          <w:cantSplit/>
        </w:trPr>
        <w:tc>
          <w:tcPr>
            <w:tcW w:type="dxa" w:w="2088"/>
          </w:tcPr>
          <w:p>
            <w:pPr>
              <w:spacing w:after="80" w:before="80" w:line="240" w:lineRule="auto"/>
            </w:pPr>
            <w:r>
              <w:rPr>
                <w:rFonts w:ascii="Calibri" w:hAnsi="Calibri"/>
                <w:sz w:val="19"/>
              </w:rPr>
              <w:t>Semana simulada</w:t>
            </w:r>
          </w:p>
        </w:tc>
        <w:tc>
          <w:tcPr>
            <w:tcW w:type="dxa" w:w="4824"/>
          </w:tcPr>
          <w:p>
            <w:pPr>
              <w:spacing w:after="80" w:before="80" w:line="240" w:lineRule="auto"/>
            </w:pPr>
            <w:r>
              <w:rPr>
                <w:rFonts w:ascii="Calibri" w:hAnsi="Calibri"/>
                <w:sz w:val="19"/>
              </w:rPr>
              <w:t>Sete dias com 12 entregas e dois veículos</w:t>
            </w:r>
          </w:p>
        </w:tc>
        <w:tc>
          <w:tcPr>
            <w:tcW w:type="dxa" w:w="2448"/>
          </w:tcPr>
          <w:p>
            <w:pPr>
              <w:spacing w:after="80" w:before="80" w:line="240" w:lineRule="auto"/>
            </w:pPr>
            <w:r>
              <w:rPr>
                <w:rFonts w:ascii="Calibri" w:hAnsi="Calibri"/>
                <w:sz w:val="19"/>
              </w:rPr>
              <w:t>5000 a 5006</w:t>
            </w:r>
          </w:p>
        </w:tc>
      </w:tr>
      <w:tr>
        <w:trPr>
          <w:cantSplit/>
        </w:trPr>
        <w:tc>
          <w:tcPr>
            <w:tcW w:type="dxa" w:w="2088"/>
          </w:tcPr>
          <w:p>
            <w:pPr>
              <w:spacing w:after="80" w:before="80" w:line="240" w:lineRule="auto"/>
            </w:pPr>
            <w:r>
              <w:rPr>
                <w:rFonts w:ascii="Calibri" w:hAnsi="Calibri"/>
                <w:sz w:val="19"/>
              </w:rPr>
              <w:t>Variações</w:t>
            </w:r>
          </w:p>
        </w:tc>
        <w:tc>
          <w:tcPr>
            <w:tcW w:type="dxa" w:w="4824"/>
          </w:tcPr>
          <w:p>
            <w:pPr>
              <w:spacing w:after="80" w:before="80" w:line="240" w:lineRule="auto"/>
            </w:pPr>
            <w:r>
              <w:rPr>
                <w:rFonts w:ascii="Calibri" w:hAnsi="Calibri"/>
                <w:sz w:val="19"/>
              </w:rPr>
              <w:t>Prioridade, capacidade e autonomia</w:t>
            </w:r>
          </w:p>
        </w:tc>
        <w:tc>
          <w:tcPr>
            <w:tcW w:type="dxa" w:w="2448"/>
          </w:tcPr>
          <w:p>
            <w:pPr>
              <w:spacing w:after="80" w:before="80" w:line="240" w:lineRule="auto"/>
            </w:pPr>
            <w:r>
              <w:rPr>
                <w:rFonts w:ascii="Calibri" w:hAnsi="Calibri"/>
                <w:sz w:val="19"/>
              </w:rPr>
              <w:t>Semente 42 da busca</w:t>
            </w:r>
          </w:p>
        </w:tc>
      </w:tr>
      <w:tr>
        <w:trPr>
          <w:cantSplit/>
        </w:trPr>
        <w:tc>
          <w:tcPr>
            <w:tcW w:type="dxa" w:w="2088"/>
          </w:tcPr>
          <w:p>
            <w:pPr>
              <w:spacing w:after="80" w:before="80" w:line="240" w:lineRule="auto"/>
            </w:pPr>
            <w:r>
              <w:rPr>
                <w:rFonts w:ascii="Calibri" w:hAnsi="Calibri"/>
                <w:sz w:val="19"/>
              </w:rPr>
              <w:t>CVRPLIB</w:t>
            </w:r>
          </w:p>
        </w:tc>
        <w:tc>
          <w:tcPr>
            <w:tcW w:type="dxa" w:w="4824"/>
          </w:tcPr>
          <w:p>
            <w:pPr>
              <w:spacing w:after="80" w:before="80" w:line="240" w:lineRule="auto"/>
            </w:pPr>
            <w:r>
              <w:rPr>
                <w:rFonts w:ascii="Calibri" w:hAnsi="Calibri"/>
                <w:sz w:val="19"/>
              </w:rPr>
              <w:t>A-n32-k5, A-n54-k7 e A-n80-k10</w:t>
            </w:r>
          </w:p>
        </w:tc>
        <w:tc>
          <w:tcPr>
            <w:tcW w:type="dxa" w:w="2448"/>
          </w:tcPr>
          <w:p>
            <w:pPr>
              <w:spacing w:after="80" w:before="80" w:line="240" w:lineRule="auto"/>
            </w:pPr>
            <w:r>
              <w:rPr>
                <w:rFonts w:ascii="Calibri" w:hAnsi="Calibri"/>
                <w:sz w:val="19"/>
              </w:rPr>
              <w:t>Instâncias públicas originais</w:t>
            </w:r>
          </w:p>
        </w:tc>
      </w:tr>
    </w:tbl>
    <w:p>
      <w:pPr>
        <w:spacing w:after="40"/>
      </w:pPr>
    </w:p>
    <w:p>
      <w:r>
        <w:t>Cargas são inteiros de 2 a 10 kg; prioridades são sorteadas com proporções de 55%, 30% e 15%. O atendimento utiliza 180, 300 ou 420 segundos. A capacidade nominal é o teto de 1,35 vezes a carga total dividida pela frota, com autonomia de 50 km. As datas de 5 a 11 de outubro são simulações, sem alegação de operações ocorridas.</w:t>
      </w:r>
    </w:p>
    <w:p>
      <w:r>
        <w:t>As instâncias CVRPLIB preservam os arquivos VRP e SOL, capacidade, frota e arredondamento EUC_2D floor(d+0,5). O endereço original apresentou certificado TLS expirado; a obtenção usou o espelho mantido pelo autor, com commit e hashes registrados e validação TLS ativa. As soluções publicadas foram conferidas independentemente.</w:t>
      </w:r>
    </w:p>
    <w:p>
      <w:r>
        <w:t>A malha, ruas, matrizes e geometrias são incluídas localmente. A atribuição © OpenStreetMap contributors e a licença ODbL 1.0 são conservadas. Uma nova obtenção pode refletir alterações da fonte; os resultados desta entrega usam o snapshot salvo.</w:t>
      </w:r>
    </w:p>
    <w:p>
      <w:r>
        <w:br w:type="page"/>
      </w:r>
    </w:p>
    <w:p>
      <w:pPr>
        <w:pStyle w:val="Heading1"/>
      </w:pPr>
      <w:r>
        <w:t>5 Experimentos e orçamento de busca</w:t>
      </w:r>
    </w:p>
    <w:p>
      <w:r>
        <w:t>Comparamos três configurações do genético. Crossover, torneio e elitismo permanecem fixos. A seleção da configuração de uso considera apenas a média da razão J do GA/J do guloso nos três cenários de desenvolvimento, com três sementes por configuração. A escolha é registrada antes da avaliação final.</w:t>
      </w:r>
    </w:p>
    <w:tbl>
      <w:tblPr>
        <w:tblStyle w:val="TableGrid"/>
        <w:tblW w:type="auto" w:w="0"/>
        <w:tblLayout w:type="fixed"/>
        <w:tblLook w:firstColumn="1" w:firstRow="1" w:lastColumn="0" w:lastRow="0" w:noHBand="0" w:noVBand="1" w:val="04A0"/>
      </w:tblPr>
      <w:tblGrid>
        <w:gridCol w:w="3024"/>
        <w:gridCol w:w="2016"/>
        <w:gridCol w:w="2160"/>
        <w:gridCol w:w="2160"/>
      </w:tblGrid>
      <w:tr>
        <w:trPr>
          <w:tblHeader/>
          <w:cantSplit/>
        </w:trPr>
        <w:tc>
          <w:tcPr>
            <w:tcW w:type="dxa" w:w="3024"/>
            <w:shd w:fill="F1F4F8"/>
          </w:tcPr>
          <w:p>
            <w:pPr>
              <w:spacing w:after="80" w:before="80" w:line="240" w:lineRule="auto"/>
            </w:pPr>
            <w:r>
              <w:rPr>
                <w:rFonts w:ascii="Calibri" w:hAnsi="Calibri"/>
                <w:b/>
                <w:color w:val="285B86"/>
                <w:sz w:val="19"/>
              </w:rPr>
              <w:t>Configuração</w:t>
            </w:r>
          </w:p>
        </w:tc>
        <w:tc>
          <w:tcPr>
            <w:tcW w:type="dxa" w:w="2016"/>
            <w:shd w:fill="F1F4F8"/>
          </w:tcPr>
          <w:p>
            <w:pPr>
              <w:spacing w:after="80" w:before="80" w:line="240" w:lineRule="auto"/>
            </w:pPr>
            <w:r>
              <w:rPr>
                <w:rFonts w:ascii="Calibri" w:hAnsi="Calibri"/>
                <w:b/>
                <w:color w:val="285B86"/>
                <w:sz w:val="19"/>
              </w:rPr>
              <w:t>População</w:t>
            </w:r>
          </w:p>
        </w:tc>
        <w:tc>
          <w:tcPr>
            <w:tcW w:type="dxa" w:w="2160"/>
            <w:shd w:fill="F1F4F8"/>
          </w:tcPr>
          <w:p>
            <w:pPr>
              <w:spacing w:after="80" w:before="80" w:line="240" w:lineRule="auto"/>
            </w:pPr>
            <w:r>
              <w:rPr>
                <w:rFonts w:ascii="Calibri" w:hAnsi="Calibri"/>
                <w:b/>
                <w:color w:val="285B86"/>
                <w:sz w:val="19"/>
              </w:rPr>
              <w:t>Mutação</w:t>
            </w:r>
          </w:p>
        </w:tc>
        <w:tc>
          <w:tcPr>
            <w:tcW w:type="dxa" w:w="2160"/>
            <w:shd w:fill="F1F4F8"/>
          </w:tcPr>
          <w:p>
            <w:pPr>
              <w:spacing w:after="80" w:before="80" w:line="240" w:lineRule="auto"/>
            </w:pPr>
            <w:r>
              <w:rPr>
                <w:rFonts w:ascii="Calibri" w:hAnsi="Calibri"/>
                <w:b/>
                <w:color w:val="285B86"/>
                <w:sz w:val="19"/>
              </w:rPr>
              <w:t>Crossover</w:t>
            </w:r>
          </w:p>
        </w:tc>
      </w:tr>
      <w:tr>
        <w:trPr>
          <w:cantSplit/>
        </w:trPr>
        <w:tc>
          <w:tcPr>
            <w:tcW w:type="dxa" w:w="3024"/>
          </w:tcPr>
          <w:p>
            <w:pPr>
              <w:spacing w:after="80" w:before="80" w:line="240" w:lineRule="auto"/>
            </w:pPr>
            <w:r>
              <w:rPr>
                <w:rFonts w:ascii="Calibri" w:hAnsi="Calibri"/>
                <w:sz w:val="19"/>
              </w:rPr>
              <w:t>pop80_mut10</w:t>
            </w:r>
          </w:p>
        </w:tc>
        <w:tc>
          <w:tcPr>
            <w:tcW w:type="dxa" w:w="2016"/>
          </w:tcPr>
          <w:p>
            <w:pPr>
              <w:spacing w:after="80" w:before="80" w:line="240" w:lineRule="auto"/>
            </w:pPr>
            <w:r>
              <w:rPr>
                <w:rFonts w:ascii="Calibri" w:hAnsi="Calibri"/>
                <w:sz w:val="19"/>
              </w:rPr>
              <w:t>80</w:t>
            </w:r>
          </w:p>
        </w:tc>
        <w:tc>
          <w:tcPr>
            <w:tcW w:type="dxa" w:w="2160"/>
          </w:tcPr>
          <w:p>
            <w:pPr>
              <w:spacing w:after="80" w:before="80" w:line="240" w:lineRule="auto"/>
            </w:pPr>
            <w:r>
              <w:rPr>
                <w:rFonts w:ascii="Calibri" w:hAnsi="Calibri"/>
                <w:sz w:val="19"/>
              </w:rPr>
              <w:t>0,10</w:t>
            </w:r>
          </w:p>
        </w:tc>
        <w:tc>
          <w:tcPr>
            <w:tcW w:type="dxa" w:w="2160"/>
          </w:tcPr>
          <w:p>
            <w:pPr>
              <w:spacing w:after="80" w:before="80" w:line="240" w:lineRule="auto"/>
            </w:pPr>
            <w:r>
              <w:rPr>
                <w:rFonts w:ascii="Calibri" w:hAnsi="Calibri"/>
                <w:sz w:val="19"/>
              </w:rPr>
              <w:t>0,90</w:t>
            </w:r>
          </w:p>
        </w:tc>
      </w:tr>
      <w:tr>
        <w:trPr>
          <w:cantSplit/>
        </w:trPr>
        <w:tc>
          <w:tcPr>
            <w:tcW w:type="dxa" w:w="3024"/>
          </w:tcPr>
          <w:p>
            <w:pPr>
              <w:spacing w:after="80" w:before="80" w:line="240" w:lineRule="auto"/>
            </w:pPr>
            <w:r>
              <w:rPr>
                <w:rFonts w:ascii="Calibri" w:hAnsi="Calibri"/>
                <w:sz w:val="19"/>
              </w:rPr>
              <w:t>pop160_mut20</w:t>
            </w:r>
          </w:p>
        </w:tc>
        <w:tc>
          <w:tcPr>
            <w:tcW w:type="dxa" w:w="2016"/>
          </w:tcPr>
          <w:p>
            <w:pPr>
              <w:spacing w:after="80" w:before="80" w:line="240" w:lineRule="auto"/>
            </w:pPr>
            <w:r>
              <w:rPr>
                <w:rFonts w:ascii="Calibri" w:hAnsi="Calibri"/>
                <w:sz w:val="19"/>
              </w:rPr>
              <w:t>160</w:t>
            </w:r>
          </w:p>
        </w:tc>
        <w:tc>
          <w:tcPr>
            <w:tcW w:type="dxa" w:w="2160"/>
          </w:tcPr>
          <w:p>
            <w:pPr>
              <w:spacing w:after="80" w:before="80" w:line="240" w:lineRule="auto"/>
            </w:pPr>
            <w:r>
              <w:rPr>
                <w:rFonts w:ascii="Calibri" w:hAnsi="Calibri"/>
                <w:sz w:val="19"/>
              </w:rPr>
              <w:t>0,20</w:t>
            </w:r>
          </w:p>
        </w:tc>
        <w:tc>
          <w:tcPr>
            <w:tcW w:type="dxa" w:w="2160"/>
          </w:tcPr>
          <w:p>
            <w:pPr>
              <w:spacing w:after="80" w:before="80" w:line="240" w:lineRule="auto"/>
            </w:pPr>
            <w:r>
              <w:rPr>
                <w:rFonts w:ascii="Calibri" w:hAnsi="Calibri"/>
                <w:sz w:val="19"/>
              </w:rPr>
              <w:t>0,90</w:t>
            </w:r>
          </w:p>
        </w:tc>
      </w:tr>
      <w:tr>
        <w:trPr>
          <w:cantSplit/>
        </w:trPr>
        <w:tc>
          <w:tcPr>
            <w:tcW w:type="dxa" w:w="3024"/>
          </w:tcPr>
          <w:p>
            <w:pPr>
              <w:spacing w:after="80" w:before="80" w:line="240" w:lineRule="auto"/>
            </w:pPr>
            <w:r>
              <w:rPr>
                <w:rFonts w:ascii="Calibri" w:hAnsi="Calibri"/>
                <w:sz w:val="19"/>
              </w:rPr>
              <w:t>pop240_mut30</w:t>
            </w:r>
          </w:p>
        </w:tc>
        <w:tc>
          <w:tcPr>
            <w:tcW w:type="dxa" w:w="2016"/>
          </w:tcPr>
          <w:p>
            <w:pPr>
              <w:spacing w:after="80" w:before="80" w:line="240" w:lineRule="auto"/>
            </w:pPr>
            <w:r>
              <w:rPr>
                <w:rFonts w:ascii="Calibri" w:hAnsi="Calibri"/>
                <w:sz w:val="19"/>
              </w:rPr>
              <w:t>240</w:t>
            </w:r>
          </w:p>
        </w:tc>
        <w:tc>
          <w:tcPr>
            <w:tcW w:type="dxa" w:w="2160"/>
          </w:tcPr>
          <w:p>
            <w:pPr>
              <w:spacing w:after="80" w:before="80" w:line="240" w:lineRule="auto"/>
            </w:pPr>
            <w:r>
              <w:rPr>
                <w:rFonts w:ascii="Calibri" w:hAnsi="Calibri"/>
                <w:sz w:val="19"/>
              </w:rPr>
              <w:t>0,30</w:t>
            </w:r>
          </w:p>
        </w:tc>
        <w:tc>
          <w:tcPr>
            <w:tcW w:type="dxa" w:w="2160"/>
          </w:tcPr>
          <w:p>
            <w:pPr>
              <w:spacing w:after="80" w:before="80" w:line="240" w:lineRule="auto"/>
            </w:pPr>
            <w:r>
              <w:rPr>
                <w:rFonts w:ascii="Calibri" w:hAnsi="Calibri"/>
                <w:sz w:val="19"/>
              </w:rPr>
              <w:t>0,90</w:t>
            </w:r>
          </w:p>
        </w:tc>
      </w:tr>
    </w:tbl>
    <w:p>
      <w:pPr>
        <w:spacing w:after="40"/>
      </w:pPr>
    </w:p>
    <w:p>
      <w:r>
        <w:t>A configuração selecionada foi pop80_mut10. Cada configuração usa dez sementes nos sete problemas finais: três cenários médicos, três instâncias CVRPLIB e o TSP FIAP. As sementes são 42, 73, 101, 127, 151, 181, 211, 241, 271 e 307. As execuções adicionais cobrem sensibilidade, restrições e a semana simulada.</w:t>
      </w:r>
    </w:p>
    <w:p>
      <w:r>
        <w:t>O teto de 20.000 inclui todas as chamadas de fitness da busca, inclusive inicialização e reparação. Há também um limite de 20.000 tentativas da população, para encerrar alta repetição de indivíduos, e de 120 segundos. Custos de inserção de rotas parciais são contados separadamente. A certificação final fica fora do orçamento de otimização.</w:t>
      </w:r>
    </w:p>
    <w:p>
      <w:r>
        <w:t>Uma primeira implementação contava apenas as tentativas da população. Ao revisar o orçamento, identificamos que as chamadas da reparação não estavam incluídas. Invalidamos o uso desses resultados na comparação final e repetimos os experimentos com a contagem corrigida. A entrega utiliza exclusivamente as execuções com contagem completa.</w:t>
      </w:r>
    </w:p>
    <w:p>
      <w:r>
        <w:t>OR-Tools usa cinco segundos, restrições de capacidade e autonomia e objetivo equivalente, convertido em inteiros com precisão documentada. O guloso escolhe a melhor entre três construções determinísticas. Os orçamentos não são equivalentes; tempo de execução e limite de busca são apresentados separadamente. Os tempos foram medidos em CPU local com outras atividades em paralelo e não constituem um benchmark isolado de hardware.</w:t>
      </w:r>
    </w:p>
    <w:p>
      <w:r>
        <w:t>Cada resultado registra semente, parâmetros, versão dos dados, hash da implementação, duração, fitness, tentativas, diversidade e condição de término. Checkpoints permitem retomar sem repetir uma execução já conferida.</w:t>
      </w:r>
    </w:p>
    <w:p>
      <w:r>
        <w:br w:type="page"/>
      </w:r>
    </w:p>
    <w:p>
      <w:pPr>
        <w:pStyle w:val="Heading1"/>
      </w:pPr>
      <w:r>
        <w:t>6 Resultados nos cenários médicos</w:t>
      </w:r>
    </w:p>
    <w:tbl>
      <w:tblPr>
        <w:tblStyle w:val="TableGrid"/>
        <w:tblW w:type="auto" w:w="0"/>
        <w:tblLayout w:type="fixed"/>
        <w:tblLook w:firstColumn="1" w:firstRow="1" w:lastColumn="0" w:lastRow="0" w:noHBand="0" w:noVBand="1" w:val="04A0"/>
      </w:tblPr>
      <w:tblGrid>
        <w:gridCol w:w="936"/>
        <w:gridCol w:w="2088"/>
        <w:gridCol w:w="1512"/>
        <w:gridCol w:w="1512"/>
        <w:gridCol w:w="1512"/>
        <w:gridCol w:w="1800"/>
      </w:tblGrid>
      <w:tr>
        <w:trPr>
          <w:tblHeader/>
          <w:cantSplit/>
        </w:trPr>
        <w:tc>
          <w:tcPr>
            <w:tcW w:type="dxa" w:w="936"/>
            <w:shd w:fill="F1F4F8"/>
          </w:tcPr>
          <w:p>
            <w:pPr>
              <w:spacing w:after="80" w:before="80" w:line="240" w:lineRule="auto"/>
            </w:pPr>
            <w:r>
              <w:rPr>
                <w:rFonts w:ascii="Calibri" w:hAnsi="Calibri"/>
                <w:b/>
                <w:color w:val="285B86"/>
                <w:sz w:val="19"/>
              </w:rPr>
              <w:t>Pedidos</w:t>
            </w:r>
          </w:p>
        </w:tc>
        <w:tc>
          <w:tcPr>
            <w:tcW w:type="dxa" w:w="2088"/>
            <w:shd w:fill="F1F4F8"/>
          </w:tcPr>
          <w:p>
            <w:pPr>
              <w:spacing w:after="80" w:before="80" w:line="240" w:lineRule="auto"/>
            </w:pPr>
            <w:r>
              <w:rPr>
                <w:rFonts w:ascii="Calibri" w:hAnsi="Calibri"/>
                <w:b/>
                <w:color w:val="285B86"/>
                <w:sz w:val="19"/>
              </w:rPr>
              <w:t>Método</w:t>
            </w:r>
          </w:p>
        </w:tc>
        <w:tc>
          <w:tcPr>
            <w:tcW w:type="dxa" w:w="1512"/>
            <w:shd w:fill="F1F4F8"/>
          </w:tcPr>
          <w:p>
            <w:pPr>
              <w:spacing w:after="80" w:before="80" w:line="240" w:lineRule="auto"/>
            </w:pPr>
            <w:r>
              <w:rPr>
                <w:rFonts w:ascii="Calibri" w:hAnsi="Calibri"/>
                <w:b/>
                <w:color w:val="285B86"/>
                <w:sz w:val="19"/>
              </w:rPr>
              <w:t>J médio</w:t>
            </w:r>
          </w:p>
        </w:tc>
        <w:tc>
          <w:tcPr>
            <w:tcW w:type="dxa" w:w="1512"/>
            <w:shd w:fill="F1F4F8"/>
          </w:tcPr>
          <w:p>
            <w:pPr>
              <w:spacing w:after="80" w:before="80" w:line="240" w:lineRule="auto"/>
            </w:pPr>
            <w:r>
              <w:rPr>
                <w:rFonts w:ascii="Calibri" w:hAnsi="Calibri"/>
                <w:b/>
                <w:color w:val="285B86"/>
                <w:sz w:val="19"/>
              </w:rPr>
              <w:t>Desvio de J</w:t>
            </w:r>
          </w:p>
        </w:tc>
        <w:tc>
          <w:tcPr>
            <w:tcW w:type="dxa" w:w="1512"/>
            <w:shd w:fill="F1F4F8"/>
          </w:tcPr>
          <w:p>
            <w:pPr>
              <w:spacing w:after="80" w:before="80" w:line="240" w:lineRule="auto"/>
            </w:pPr>
            <w:r>
              <w:rPr>
                <w:rFonts w:ascii="Calibri" w:hAnsi="Calibri"/>
                <w:b/>
                <w:color w:val="285B86"/>
                <w:sz w:val="19"/>
              </w:rPr>
              <w:t>km médios</w:t>
            </w:r>
          </w:p>
        </w:tc>
        <w:tc>
          <w:tcPr>
            <w:tcW w:type="dxa" w:w="1800"/>
            <w:shd w:fill="F1F4F8"/>
          </w:tcPr>
          <w:p>
            <w:pPr>
              <w:spacing w:after="80" w:before="80" w:line="240" w:lineRule="auto"/>
            </w:pPr>
            <w:r>
              <w:rPr>
                <w:rFonts w:ascii="Calibri" w:hAnsi="Calibri"/>
                <w:b/>
                <w:color w:val="285B86"/>
                <w:sz w:val="19"/>
              </w:rPr>
              <w:t>Viáveis</w:t>
            </w:r>
          </w:p>
        </w:tc>
      </w:tr>
      <w:tr>
        <w:trPr>
          <w:cantSplit/>
        </w:trPr>
        <w:tc>
          <w:tcPr>
            <w:tcW w:type="dxa" w:w="936"/>
          </w:tcPr>
          <w:p>
            <w:pPr>
              <w:spacing w:after="80" w:before="80" w:line="240" w:lineRule="auto"/>
            </w:pPr>
            <w:r>
              <w:rPr>
                <w:rFonts w:ascii="Calibri" w:hAnsi="Calibri"/>
                <w:sz w:val="19"/>
              </w:rPr>
              <w:t>12</w:t>
            </w:r>
          </w:p>
        </w:tc>
        <w:tc>
          <w:tcPr>
            <w:tcW w:type="dxa" w:w="2088"/>
          </w:tcPr>
          <w:p>
            <w:pPr>
              <w:spacing w:after="80" w:before="80" w:line="240" w:lineRule="auto"/>
            </w:pPr>
            <w:r>
              <w:rPr>
                <w:rFonts w:ascii="Calibri" w:hAnsi="Calibri"/>
                <w:sz w:val="19"/>
              </w:rPr>
              <w:t>Guloso</w:t>
            </w:r>
          </w:p>
        </w:tc>
        <w:tc>
          <w:tcPr>
            <w:tcW w:type="dxa" w:w="1512"/>
          </w:tcPr>
          <w:p>
            <w:pPr>
              <w:spacing w:after="80" w:before="80" w:line="240" w:lineRule="auto"/>
            </w:pPr>
            <w:r>
              <w:rPr>
                <w:rFonts w:ascii="Calibri" w:hAnsi="Calibri"/>
                <w:sz w:val="19"/>
              </w:rPr>
              <w:t>60,857</w:t>
            </w:r>
          </w:p>
        </w:tc>
        <w:tc>
          <w:tcPr>
            <w:tcW w:type="dxa" w:w="1512"/>
          </w:tcPr>
          <w:p>
            <w:pPr>
              <w:spacing w:after="80" w:before="80" w:line="240" w:lineRule="auto"/>
            </w:pPr>
            <w:r>
              <w:rPr>
                <w:rFonts w:ascii="Calibri" w:hAnsi="Calibri"/>
                <w:sz w:val="19"/>
              </w:rPr>
              <w:t>0,000</w:t>
            </w:r>
          </w:p>
        </w:tc>
        <w:tc>
          <w:tcPr>
            <w:tcW w:type="dxa" w:w="1512"/>
          </w:tcPr>
          <w:p>
            <w:pPr>
              <w:spacing w:after="80" w:before="80" w:line="240" w:lineRule="auto"/>
            </w:pPr>
            <w:r>
              <w:rPr>
                <w:rFonts w:ascii="Calibri" w:hAnsi="Calibri"/>
                <w:sz w:val="19"/>
              </w:rPr>
              <w:t>40,974</w:t>
            </w:r>
          </w:p>
        </w:tc>
        <w:tc>
          <w:tcPr>
            <w:tcW w:type="dxa" w:w="1800"/>
          </w:tcPr>
          <w:p>
            <w:pPr>
              <w:spacing w:after="80" w:before="80" w:line="240" w:lineRule="auto"/>
            </w:pPr>
            <w:r>
              <w:rPr>
                <w:rFonts w:ascii="Calibri" w:hAnsi="Calibri"/>
                <w:sz w:val="19"/>
              </w:rPr>
              <w:t>1/1</w:t>
            </w:r>
          </w:p>
        </w:tc>
      </w:tr>
      <w:tr>
        <w:trPr>
          <w:cantSplit/>
        </w:trPr>
        <w:tc>
          <w:tcPr>
            <w:tcW w:type="dxa" w:w="936"/>
          </w:tcPr>
          <w:p>
            <w:pPr>
              <w:spacing w:after="80" w:before="80" w:line="240" w:lineRule="auto"/>
            </w:pPr>
            <w:r>
              <w:rPr>
                <w:rFonts w:ascii="Calibri" w:hAnsi="Calibri"/>
                <w:sz w:val="19"/>
              </w:rPr>
              <w:t>12</w:t>
            </w:r>
          </w:p>
        </w:tc>
        <w:tc>
          <w:tcPr>
            <w:tcW w:type="dxa" w:w="2088"/>
          </w:tcPr>
          <w:p>
            <w:pPr>
              <w:spacing w:after="80" w:before="80" w:line="240" w:lineRule="auto"/>
            </w:pPr>
            <w:r>
              <w:rPr>
                <w:rFonts w:ascii="Calibri" w:hAnsi="Calibri"/>
                <w:sz w:val="19"/>
              </w:rPr>
              <w:t>OR-Tools</w:t>
            </w:r>
          </w:p>
        </w:tc>
        <w:tc>
          <w:tcPr>
            <w:tcW w:type="dxa" w:w="1512"/>
          </w:tcPr>
          <w:p>
            <w:pPr>
              <w:spacing w:after="80" w:before="80" w:line="240" w:lineRule="auto"/>
            </w:pPr>
            <w:r>
              <w:rPr>
                <w:rFonts w:ascii="Calibri" w:hAnsi="Calibri"/>
                <w:sz w:val="19"/>
              </w:rPr>
              <w:t>60,079</w:t>
            </w:r>
          </w:p>
        </w:tc>
        <w:tc>
          <w:tcPr>
            <w:tcW w:type="dxa" w:w="1512"/>
          </w:tcPr>
          <w:p>
            <w:pPr>
              <w:spacing w:after="80" w:before="80" w:line="240" w:lineRule="auto"/>
            </w:pPr>
            <w:r>
              <w:rPr>
                <w:rFonts w:ascii="Calibri" w:hAnsi="Calibri"/>
                <w:sz w:val="19"/>
              </w:rPr>
              <w:t>0,000</w:t>
            </w:r>
          </w:p>
        </w:tc>
        <w:tc>
          <w:tcPr>
            <w:tcW w:type="dxa" w:w="1512"/>
          </w:tcPr>
          <w:p>
            <w:pPr>
              <w:spacing w:after="80" w:before="80" w:line="240" w:lineRule="auto"/>
            </w:pPr>
            <w:r>
              <w:rPr>
                <w:rFonts w:ascii="Calibri" w:hAnsi="Calibri"/>
                <w:sz w:val="19"/>
              </w:rPr>
              <w:t>40,459</w:t>
            </w:r>
          </w:p>
        </w:tc>
        <w:tc>
          <w:tcPr>
            <w:tcW w:type="dxa" w:w="1800"/>
          </w:tcPr>
          <w:p>
            <w:pPr>
              <w:spacing w:after="80" w:before="80" w:line="240" w:lineRule="auto"/>
            </w:pPr>
            <w:r>
              <w:rPr>
                <w:rFonts w:ascii="Calibri" w:hAnsi="Calibri"/>
                <w:sz w:val="19"/>
              </w:rPr>
              <w:t>1/1</w:t>
            </w:r>
          </w:p>
        </w:tc>
      </w:tr>
      <w:tr>
        <w:trPr>
          <w:cantSplit/>
        </w:trPr>
        <w:tc>
          <w:tcPr>
            <w:tcW w:type="dxa" w:w="936"/>
          </w:tcPr>
          <w:p>
            <w:pPr>
              <w:spacing w:after="80" w:before="80" w:line="240" w:lineRule="auto"/>
            </w:pPr>
            <w:r>
              <w:rPr>
                <w:rFonts w:ascii="Calibri" w:hAnsi="Calibri"/>
                <w:sz w:val="19"/>
              </w:rPr>
              <w:t>12</w:t>
            </w:r>
          </w:p>
        </w:tc>
        <w:tc>
          <w:tcPr>
            <w:tcW w:type="dxa" w:w="2088"/>
          </w:tcPr>
          <w:p>
            <w:pPr>
              <w:spacing w:after="80" w:before="80" w:line="240" w:lineRule="auto"/>
            </w:pPr>
            <w:r>
              <w:rPr>
                <w:rFonts w:ascii="Calibri" w:hAnsi="Calibri"/>
                <w:sz w:val="19"/>
              </w:rPr>
              <w:t>GA selecionado</w:t>
            </w:r>
          </w:p>
        </w:tc>
        <w:tc>
          <w:tcPr>
            <w:tcW w:type="dxa" w:w="1512"/>
          </w:tcPr>
          <w:p>
            <w:pPr>
              <w:spacing w:after="80" w:before="80" w:line="240" w:lineRule="auto"/>
            </w:pPr>
            <w:r>
              <w:rPr>
                <w:rFonts w:ascii="Calibri" w:hAnsi="Calibri"/>
                <w:sz w:val="19"/>
              </w:rPr>
              <w:t>60,079</w:t>
            </w:r>
          </w:p>
        </w:tc>
        <w:tc>
          <w:tcPr>
            <w:tcW w:type="dxa" w:w="1512"/>
          </w:tcPr>
          <w:p>
            <w:pPr>
              <w:spacing w:after="80" w:before="80" w:line="240" w:lineRule="auto"/>
            </w:pPr>
            <w:r>
              <w:rPr>
                <w:rFonts w:ascii="Calibri" w:hAnsi="Calibri"/>
                <w:sz w:val="19"/>
              </w:rPr>
              <w:t>0,000</w:t>
            </w:r>
          </w:p>
        </w:tc>
        <w:tc>
          <w:tcPr>
            <w:tcW w:type="dxa" w:w="1512"/>
          </w:tcPr>
          <w:p>
            <w:pPr>
              <w:spacing w:after="80" w:before="80" w:line="240" w:lineRule="auto"/>
            </w:pPr>
            <w:r>
              <w:rPr>
                <w:rFonts w:ascii="Calibri" w:hAnsi="Calibri"/>
                <w:sz w:val="19"/>
              </w:rPr>
              <w:t>40,459</w:t>
            </w:r>
          </w:p>
        </w:tc>
        <w:tc>
          <w:tcPr>
            <w:tcW w:type="dxa" w:w="1800"/>
          </w:tcPr>
          <w:p>
            <w:pPr>
              <w:spacing w:after="80" w:before="80" w:line="240" w:lineRule="auto"/>
            </w:pPr>
            <w:r>
              <w:rPr>
                <w:rFonts w:ascii="Calibri" w:hAnsi="Calibri"/>
                <w:sz w:val="19"/>
              </w:rPr>
              <w:t>10/10</w:t>
            </w:r>
          </w:p>
        </w:tc>
      </w:tr>
      <w:tr>
        <w:trPr>
          <w:cantSplit/>
        </w:trPr>
        <w:tc>
          <w:tcPr>
            <w:tcW w:type="dxa" w:w="936"/>
          </w:tcPr>
          <w:p>
            <w:pPr>
              <w:spacing w:after="80" w:before="80" w:line="240" w:lineRule="auto"/>
            </w:pPr>
            <w:r>
              <w:rPr>
                <w:rFonts w:ascii="Calibri" w:hAnsi="Calibri"/>
                <w:sz w:val="19"/>
              </w:rPr>
              <w:t>30</w:t>
            </w:r>
          </w:p>
        </w:tc>
        <w:tc>
          <w:tcPr>
            <w:tcW w:type="dxa" w:w="2088"/>
          </w:tcPr>
          <w:p>
            <w:pPr>
              <w:spacing w:after="80" w:before="80" w:line="240" w:lineRule="auto"/>
            </w:pPr>
            <w:r>
              <w:rPr>
                <w:rFonts w:ascii="Calibri" w:hAnsi="Calibri"/>
                <w:sz w:val="19"/>
              </w:rPr>
              <w:t>Guloso</w:t>
            </w:r>
          </w:p>
        </w:tc>
        <w:tc>
          <w:tcPr>
            <w:tcW w:type="dxa" w:w="1512"/>
          </w:tcPr>
          <w:p>
            <w:pPr>
              <w:spacing w:after="80" w:before="80" w:line="240" w:lineRule="auto"/>
            </w:pPr>
            <w:r>
              <w:rPr>
                <w:rFonts w:ascii="Calibri" w:hAnsi="Calibri"/>
                <w:sz w:val="19"/>
              </w:rPr>
              <w:t>181,929</w:t>
            </w:r>
          </w:p>
        </w:tc>
        <w:tc>
          <w:tcPr>
            <w:tcW w:type="dxa" w:w="1512"/>
          </w:tcPr>
          <w:p>
            <w:pPr>
              <w:spacing w:after="80" w:before="80" w:line="240" w:lineRule="auto"/>
            </w:pPr>
            <w:r>
              <w:rPr>
                <w:rFonts w:ascii="Calibri" w:hAnsi="Calibri"/>
                <w:sz w:val="19"/>
              </w:rPr>
              <w:t>0,000</w:t>
            </w:r>
          </w:p>
        </w:tc>
        <w:tc>
          <w:tcPr>
            <w:tcW w:type="dxa" w:w="1512"/>
          </w:tcPr>
          <w:p>
            <w:pPr>
              <w:spacing w:after="80" w:before="80" w:line="240" w:lineRule="auto"/>
            </w:pPr>
            <w:r>
              <w:rPr>
                <w:rFonts w:ascii="Calibri" w:hAnsi="Calibri"/>
                <w:sz w:val="19"/>
              </w:rPr>
              <w:t>71,572</w:t>
            </w:r>
          </w:p>
        </w:tc>
        <w:tc>
          <w:tcPr>
            <w:tcW w:type="dxa" w:w="1800"/>
          </w:tcPr>
          <w:p>
            <w:pPr>
              <w:spacing w:after="80" w:before="80" w:line="240" w:lineRule="auto"/>
            </w:pPr>
            <w:r>
              <w:rPr>
                <w:rFonts w:ascii="Calibri" w:hAnsi="Calibri"/>
                <w:sz w:val="19"/>
              </w:rPr>
              <w:t>1/1</w:t>
            </w:r>
          </w:p>
        </w:tc>
      </w:tr>
      <w:tr>
        <w:trPr>
          <w:cantSplit/>
        </w:trPr>
        <w:tc>
          <w:tcPr>
            <w:tcW w:type="dxa" w:w="936"/>
          </w:tcPr>
          <w:p>
            <w:pPr>
              <w:spacing w:after="80" w:before="80" w:line="240" w:lineRule="auto"/>
            </w:pPr>
            <w:r>
              <w:rPr>
                <w:rFonts w:ascii="Calibri" w:hAnsi="Calibri"/>
                <w:sz w:val="19"/>
              </w:rPr>
              <w:t>30</w:t>
            </w:r>
          </w:p>
        </w:tc>
        <w:tc>
          <w:tcPr>
            <w:tcW w:type="dxa" w:w="2088"/>
          </w:tcPr>
          <w:p>
            <w:pPr>
              <w:spacing w:after="80" w:before="80" w:line="240" w:lineRule="auto"/>
            </w:pPr>
            <w:r>
              <w:rPr>
                <w:rFonts w:ascii="Calibri" w:hAnsi="Calibri"/>
                <w:sz w:val="19"/>
              </w:rPr>
              <w:t>OR-Tools</w:t>
            </w:r>
          </w:p>
        </w:tc>
        <w:tc>
          <w:tcPr>
            <w:tcW w:type="dxa" w:w="1512"/>
          </w:tcPr>
          <w:p>
            <w:pPr>
              <w:spacing w:after="80" w:before="80" w:line="240" w:lineRule="auto"/>
            </w:pPr>
            <w:r>
              <w:rPr>
                <w:rFonts w:ascii="Calibri" w:hAnsi="Calibri"/>
                <w:sz w:val="19"/>
              </w:rPr>
              <w:t>175,840</w:t>
            </w:r>
          </w:p>
        </w:tc>
        <w:tc>
          <w:tcPr>
            <w:tcW w:type="dxa" w:w="1512"/>
          </w:tcPr>
          <w:p>
            <w:pPr>
              <w:spacing w:after="80" w:before="80" w:line="240" w:lineRule="auto"/>
            </w:pPr>
            <w:r>
              <w:rPr>
                <w:rFonts w:ascii="Calibri" w:hAnsi="Calibri"/>
                <w:sz w:val="19"/>
              </w:rPr>
              <w:t>0,000</w:t>
            </w:r>
          </w:p>
        </w:tc>
        <w:tc>
          <w:tcPr>
            <w:tcW w:type="dxa" w:w="1512"/>
          </w:tcPr>
          <w:p>
            <w:pPr>
              <w:spacing w:after="80" w:before="80" w:line="240" w:lineRule="auto"/>
            </w:pPr>
            <w:r>
              <w:rPr>
                <w:rFonts w:ascii="Calibri" w:hAnsi="Calibri"/>
                <w:sz w:val="19"/>
              </w:rPr>
              <w:t>69,406</w:t>
            </w:r>
          </w:p>
        </w:tc>
        <w:tc>
          <w:tcPr>
            <w:tcW w:type="dxa" w:w="1800"/>
          </w:tcPr>
          <w:p>
            <w:pPr>
              <w:spacing w:after="80" w:before="80" w:line="240" w:lineRule="auto"/>
            </w:pPr>
            <w:r>
              <w:rPr>
                <w:rFonts w:ascii="Calibri" w:hAnsi="Calibri"/>
                <w:sz w:val="19"/>
              </w:rPr>
              <w:t>1/1</w:t>
            </w:r>
          </w:p>
        </w:tc>
      </w:tr>
      <w:tr>
        <w:trPr>
          <w:cantSplit/>
        </w:trPr>
        <w:tc>
          <w:tcPr>
            <w:tcW w:type="dxa" w:w="936"/>
          </w:tcPr>
          <w:p>
            <w:pPr>
              <w:spacing w:after="80" w:before="80" w:line="240" w:lineRule="auto"/>
            </w:pPr>
            <w:r>
              <w:rPr>
                <w:rFonts w:ascii="Calibri" w:hAnsi="Calibri"/>
                <w:sz w:val="19"/>
              </w:rPr>
              <w:t>30</w:t>
            </w:r>
          </w:p>
        </w:tc>
        <w:tc>
          <w:tcPr>
            <w:tcW w:type="dxa" w:w="2088"/>
          </w:tcPr>
          <w:p>
            <w:pPr>
              <w:spacing w:after="80" w:before="80" w:line="240" w:lineRule="auto"/>
            </w:pPr>
            <w:r>
              <w:rPr>
                <w:rFonts w:ascii="Calibri" w:hAnsi="Calibri"/>
                <w:sz w:val="19"/>
              </w:rPr>
              <w:t>GA selecionado</w:t>
            </w:r>
          </w:p>
        </w:tc>
        <w:tc>
          <w:tcPr>
            <w:tcW w:type="dxa" w:w="1512"/>
          </w:tcPr>
          <w:p>
            <w:pPr>
              <w:spacing w:after="80" w:before="80" w:line="240" w:lineRule="auto"/>
            </w:pPr>
            <w:r>
              <w:rPr>
                <w:rFonts w:ascii="Calibri" w:hAnsi="Calibri"/>
                <w:sz w:val="19"/>
              </w:rPr>
              <w:t>181,244</w:t>
            </w:r>
          </w:p>
        </w:tc>
        <w:tc>
          <w:tcPr>
            <w:tcW w:type="dxa" w:w="1512"/>
          </w:tcPr>
          <w:p>
            <w:pPr>
              <w:spacing w:after="80" w:before="80" w:line="240" w:lineRule="auto"/>
            </w:pPr>
            <w:r>
              <w:rPr>
                <w:rFonts w:ascii="Calibri" w:hAnsi="Calibri"/>
                <w:sz w:val="19"/>
              </w:rPr>
              <w:t>0,688</w:t>
            </w:r>
          </w:p>
        </w:tc>
        <w:tc>
          <w:tcPr>
            <w:tcW w:type="dxa" w:w="1512"/>
          </w:tcPr>
          <w:p>
            <w:pPr>
              <w:spacing w:after="80" w:before="80" w:line="240" w:lineRule="auto"/>
            </w:pPr>
            <w:r>
              <w:rPr>
                <w:rFonts w:ascii="Calibri" w:hAnsi="Calibri"/>
                <w:sz w:val="19"/>
              </w:rPr>
              <w:t>70,900</w:t>
            </w:r>
          </w:p>
        </w:tc>
        <w:tc>
          <w:tcPr>
            <w:tcW w:type="dxa" w:w="1800"/>
          </w:tcPr>
          <w:p>
            <w:pPr>
              <w:spacing w:after="80" w:before="80" w:line="240" w:lineRule="auto"/>
            </w:pPr>
            <w:r>
              <w:rPr>
                <w:rFonts w:ascii="Calibri" w:hAnsi="Calibri"/>
                <w:sz w:val="19"/>
              </w:rPr>
              <w:t>10/10</w:t>
            </w:r>
          </w:p>
        </w:tc>
      </w:tr>
      <w:tr>
        <w:trPr>
          <w:cantSplit/>
        </w:trPr>
        <w:tc>
          <w:tcPr>
            <w:tcW w:type="dxa" w:w="936"/>
          </w:tcPr>
          <w:p>
            <w:pPr>
              <w:spacing w:after="80" w:before="80" w:line="240" w:lineRule="auto"/>
            </w:pPr>
            <w:r>
              <w:rPr>
                <w:rFonts w:ascii="Calibri" w:hAnsi="Calibri"/>
                <w:sz w:val="19"/>
              </w:rPr>
              <w:t>60</w:t>
            </w:r>
          </w:p>
        </w:tc>
        <w:tc>
          <w:tcPr>
            <w:tcW w:type="dxa" w:w="2088"/>
          </w:tcPr>
          <w:p>
            <w:pPr>
              <w:spacing w:after="80" w:before="80" w:line="240" w:lineRule="auto"/>
            </w:pPr>
            <w:r>
              <w:rPr>
                <w:rFonts w:ascii="Calibri" w:hAnsi="Calibri"/>
                <w:sz w:val="19"/>
              </w:rPr>
              <w:t>Guloso</w:t>
            </w:r>
          </w:p>
        </w:tc>
        <w:tc>
          <w:tcPr>
            <w:tcW w:type="dxa" w:w="1512"/>
          </w:tcPr>
          <w:p>
            <w:pPr>
              <w:spacing w:after="80" w:before="80" w:line="240" w:lineRule="auto"/>
            </w:pPr>
            <w:r>
              <w:rPr>
                <w:rFonts w:ascii="Calibri" w:hAnsi="Calibri"/>
                <w:sz w:val="19"/>
              </w:rPr>
              <w:t>363,389</w:t>
            </w:r>
          </w:p>
        </w:tc>
        <w:tc>
          <w:tcPr>
            <w:tcW w:type="dxa" w:w="1512"/>
          </w:tcPr>
          <w:p>
            <w:pPr>
              <w:spacing w:after="80" w:before="80" w:line="240" w:lineRule="auto"/>
            </w:pPr>
            <w:r>
              <w:rPr>
                <w:rFonts w:ascii="Calibri" w:hAnsi="Calibri"/>
                <w:sz w:val="19"/>
              </w:rPr>
              <w:t>0,000</w:t>
            </w:r>
          </w:p>
        </w:tc>
        <w:tc>
          <w:tcPr>
            <w:tcW w:type="dxa" w:w="1512"/>
          </w:tcPr>
          <w:p>
            <w:pPr>
              <w:spacing w:after="80" w:before="80" w:line="240" w:lineRule="auto"/>
            </w:pPr>
            <w:r>
              <w:rPr>
                <w:rFonts w:ascii="Calibri" w:hAnsi="Calibri"/>
                <w:sz w:val="19"/>
              </w:rPr>
              <w:t>118,318</w:t>
            </w:r>
          </w:p>
        </w:tc>
        <w:tc>
          <w:tcPr>
            <w:tcW w:type="dxa" w:w="1800"/>
          </w:tcPr>
          <w:p>
            <w:pPr>
              <w:spacing w:after="80" w:before="80" w:line="240" w:lineRule="auto"/>
            </w:pPr>
            <w:r>
              <w:rPr>
                <w:rFonts w:ascii="Calibri" w:hAnsi="Calibri"/>
                <w:sz w:val="19"/>
              </w:rPr>
              <w:t>1/1</w:t>
            </w:r>
          </w:p>
        </w:tc>
      </w:tr>
      <w:tr>
        <w:trPr>
          <w:cantSplit/>
        </w:trPr>
        <w:tc>
          <w:tcPr>
            <w:tcW w:type="dxa" w:w="936"/>
          </w:tcPr>
          <w:p>
            <w:pPr>
              <w:spacing w:after="80" w:before="80" w:line="240" w:lineRule="auto"/>
            </w:pPr>
            <w:r>
              <w:rPr>
                <w:rFonts w:ascii="Calibri" w:hAnsi="Calibri"/>
                <w:sz w:val="19"/>
              </w:rPr>
              <w:t>60</w:t>
            </w:r>
          </w:p>
        </w:tc>
        <w:tc>
          <w:tcPr>
            <w:tcW w:type="dxa" w:w="2088"/>
          </w:tcPr>
          <w:p>
            <w:pPr>
              <w:spacing w:after="80" w:before="80" w:line="240" w:lineRule="auto"/>
            </w:pPr>
            <w:r>
              <w:rPr>
                <w:rFonts w:ascii="Calibri" w:hAnsi="Calibri"/>
                <w:sz w:val="19"/>
              </w:rPr>
              <w:t>OR-Tools</w:t>
            </w:r>
          </w:p>
        </w:tc>
        <w:tc>
          <w:tcPr>
            <w:tcW w:type="dxa" w:w="1512"/>
          </w:tcPr>
          <w:p>
            <w:pPr>
              <w:spacing w:after="80" w:before="80" w:line="240" w:lineRule="auto"/>
            </w:pPr>
            <w:r>
              <w:rPr>
                <w:rFonts w:ascii="Calibri" w:hAnsi="Calibri"/>
                <w:sz w:val="19"/>
              </w:rPr>
              <w:t>339,971</w:t>
            </w:r>
          </w:p>
        </w:tc>
        <w:tc>
          <w:tcPr>
            <w:tcW w:type="dxa" w:w="1512"/>
          </w:tcPr>
          <w:p>
            <w:pPr>
              <w:spacing w:after="80" w:before="80" w:line="240" w:lineRule="auto"/>
            </w:pPr>
            <w:r>
              <w:rPr>
                <w:rFonts w:ascii="Calibri" w:hAnsi="Calibri"/>
                <w:sz w:val="19"/>
              </w:rPr>
              <w:t>0,000</w:t>
            </w:r>
          </w:p>
        </w:tc>
        <w:tc>
          <w:tcPr>
            <w:tcW w:type="dxa" w:w="1512"/>
          </w:tcPr>
          <w:p>
            <w:pPr>
              <w:spacing w:after="80" w:before="80" w:line="240" w:lineRule="auto"/>
            </w:pPr>
            <w:r>
              <w:rPr>
                <w:rFonts w:ascii="Calibri" w:hAnsi="Calibri"/>
                <w:sz w:val="19"/>
              </w:rPr>
              <w:t>110,967</w:t>
            </w:r>
          </w:p>
        </w:tc>
        <w:tc>
          <w:tcPr>
            <w:tcW w:type="dxa" w:w="1800"/>
          </w:tcPr>
          <w:p>
            <w:pPr>
              <w:spacing w:after="80" w:before="80" w:line="240" w:lineRule="auto"/>
            </w:pPr>
            <w:r>
              <w:rPr>
                <w:rFonts w:ascii="Calibri" w:hAnsi="Calibri"/>
                <w:sz w:val="19"/>
              </w:rPr>
              <w:t>1/1</w:t>
            </w:r>
          </w:p>
        </w:tc>
      </w:tr>
      <w:tr>
        <w:trPr>
          <w:cantSplit/>
        </w:trPr>
        <w:tc>
          <w:tcPr>
            <w:tcW w:type="dxa" w:w="936"/>
          </w:tcPr>
          <w:p>
            <w:pPr>
              <w:spacing w:after="80" w:before="80" w:line="240" w:lineRule="auto"/>
            </w:pPr>
            <w:r>
              <w:rPr>
                <w:rFonts w:ascii="Calibri" w:hAnsi="Calibri"/>
                <w:sz w:val="19"/>
              </w:rPr>
              <w:t>60</w:t>
            </w:r>
          </w:p>
        </w:tc>
        <w:tc>
          <w:tcPr>
            <w:tcW w:type="dxa" w:w="2088"/>
          </w:tcPr>
          <w:p>
            <w:pPr>
              <w:spacing w:after="80" w:before="80" w:line="240" w:lineRule="auto"/>
            </w:pPr>
            <w:r>
              <w:rPr>
                <w:rFonts w:ascii="Calibri" w:hAnsi="Calibri"/>
                <w:sz w:val="19"/>
              </w:rPr>
              <w:t>GA selecionado</w:t>
            </w:r>
          </w:p>
        </w:tc>
        <w:tc>
          <w:tcPr>
            <w:tcW w:type="dxa" w:w="1512"/>
          </w:tcPr>
          <w:p>
            <w:pPr>
              <w:spacing w:after="80" w:before="80" w:line="240" w:lineRule="auto"/>
            </w:pPr>
            <w:r>
              <w:rPr>
                <w:rFonts w:ascii="Calibri" w:hAnsi="Calibri"/>
                <w:sz w:val="19"/>
              </w:rPr>
              <w:t>363,389</w:t>
            </w:r>
          </w:p>
        </w:tc>
        <w:tc>
          <w:tcPr>
            <w:tcW w:type="dxa" w:w="1512"/>
          </w:tcPr>
          <w:p>
            <w:pPr>
              <w:spacing w:after="80" w:before="80" w:line="240" w:lineRule="auto"/>
            </w:pPr>
            <w:r>
              <w:rPr>
                <w:rFonts w:ascii="Calibri" w:hAnsi="Calibri"/>
                <w:sz w:val="19"/>
              </w:rPr>
              <w:t>0,000</w:t>
            </w:r>
          </w:p>
        </w:tc>
        <w:tc>
          <w:tcPr>
            <w:tcW w:type="dxa" w:w="1512"/>
          </w:tcPr>
          <w:p>
            <w:pPr>
              <w:spacing w:after="80" w:before="80" w:line="240" w:lineRule="auto"/>
            </w:pPr>
            <w:r>
              <w:rPr>
                <w:rFonts w:ascii="Calibri" w:hAnsi="Calibri"/>
                <w:sz w:val="19"/>
              </w:rPr>
              <w:t>118,318</w:t>
            </w:r>
          </w:p>
        </w:tc>
        <w:tc>
          <w:tcPr>
            <w:tcW w:type="dxa" w:w="1800"/>
          </w:tcPr>
          <w:p>
            <w:pPr>
              <w:spacing w:after="80" w:before="80" w:line="240" w:lineRule="auto"/>
            </w:pPr>
            <w:r>
              <w:rPr>
                <w:rFonts w:ascii="Calibri" w:hAnsi="Calibri"/>
                <w:sz w:val="19"/>
              </w:rPr>
              <w:t>10/10</w:t>
            </w:r>
          </w:p>
        </w:tc>
      </w:tr>
    </w:tbl>
    <w:p>
      <w:pPr>
        <w:spacing w:after="40"/>
      </w:pPr>
    </w:p>
    <w:p>
      <w:pPr>
        <w:keepNext/>
        <w:jc w:val="center"/>
      </w:pPr>
      <w:r>
        <w:drawing>
          <wp:inline xmlns:a="http://schemas.openxmlformats.org/drawingml/2006/main" xmlns:pic="http://schemas.openxmlformats.org/drawingml/2006/picture">
            <wp:extent cx="5943600" cy="2017764"/>
            <wp:docPr id="1" name="Picture 1"/>
            <wp:cNvGraphicFramePr>
              <a:graphicFrameLocks noChangeAspect="1"/>
            </wp:cNvGraphicFramePr>
            <a:graphic>
              <a:graphicData uri="http://schemas.openxmlformats.org/drawingml/2006/picture">
                <pic:pic>
                  <pic:nvPicPr>
                    <pic:cNvPr id="0" name="medical_objective.png"/>
                    <pic:cNvPicPr/>
                  </pic:nvPicPr>
                  <pic:blipFill>
                    <a:blip r:embed="rId11"/>
                    <a:stretch>
                      <a:fillRect/>
                    </a:stretch>
                  </pic:blipFill>
                  <pic:spPr>
                    <a:xfrm>
                      <a:off x="0" y="0"/>
                      <a:ext cx="5943600" cy="2017764"/>
                    </a:xfrm>
                    <a:prstGeom prst="rect"/>
                  </pic:spPr>
                </pic:pic>
              </a:graphicData>
            </a:graphic>
          </wp:inline>
        </w:drawing>
      </w:r>
    </w:p>
    <w:p>
      <w:pPr>
        <w:pStyle w:val="Caption"/>
      </w:pPr>
      <w:r>
        <w:t>Figura 1  Distribuição de J por configuração e comparação com guloso e OR-Tools.</w:t>
      </w:r>
    </w:p>
    <w:p>
      <w:r>
        <w:t>Com 12 entregas, as configurações alcançam o mesmo J de OR-Tools nas sementes finais. Com 30 entregas, o GA selecionado apresenta pequenas melhorias sobre a construção gulosa, mas mantém custo superior ao OR-Tools. No cenário de 60 entregas, a busca preserva a solução inicial e não demonstra ganho sobre o guloso.</w:t>
      </w:r>
    </w:p>
    <w:p>
      <w:r>
        <w:t>A igualdade entre sementes nos problemas maiores não comprova robustez da evolução: pode resultar do orçamento consumido pela reparação. A distância e J devem ser lidos separadamente, pois J também considera chegada ponderada. Todos os resultados viáveis foram certificados quanto às restrições.</w:t>
      </w:r>
    </w:p>
    <w:p>
      <w:r>
        <w:br w:type="page"/>
      </w:r>
    </w:p>
    <w:p>
      <w:pPr>
        <w:pStyle w:val="Heading1"/>
      </w:pPr>
      <w:r>
        <w:t>7 Convergência e uso do orçamento</w:t>
      </w:r>
    </w:p>
    <w:p>
      <w:pPr>
        <w:keepNext/>
        <w:jc w:val="center"/>
      </w:pPr>
      <w:r>
        <w:drawing>
          <wp:inline xmlns:a="http://schemas.openxmlformats.org/drawingml/2006/main" xmlns:pic="http://schemas.openxmlformats.org/drawingml/2006/picture">
            <wp:extent cx="5943600" cy="2416856"/>
            <wp:docPr id="2" name="Picture 2"/>
            <wp:cNvGraphicFramePr>
              <a:graphicFrameLocks noChangeAspect="1"/>
            </wp:cNvGraphicFramePr>
            <a:graphic>
              <a:graphicData uri="http://schemas.openxmlformats.org/drawingml/2006/picture">
                <pic:pic>
                  <pic:nvPicPr>
                    <pic:cNvPr id="0" name="convergence.png"/>
                    <pic:cNvPicPr/>
                  </pic:nvPicPr>
                  <pic:blipFill>
                    <a:blip r:embed="rId12"/>
                    <a:stretch>
                      <a:fillRect/>
                    </a:stretch>
                  </pic:blipFill>
                  <pic:spPr>
                    <a:xfrm>
                      <a:off x="0" y="0"/>
                      <a:ext cx="5943600" cy="2416856"/>
                    </a:xfrm>
                    <a:prstGeom prst="rect"/>
                  </pic:spPr>
                </pic:pic>
              </a:graphicData>
            </a:graphic>
          </wp:inline>
        </w:drawing>
      </w:r>
    </w:p>
    <w:p>
      <w:pPr>
        <w:pStyle w:val="Caption"/>
      </w:pPr>
      <w:r>
        <w:t>Figura 2  Melhor J viável observado e interrupções antes de completar gerações.</w:t>
      </w:r>
    </w:p>
    <w:p>
      <w:r>
        <w:t>Nos cenários maiores, a reparação avalia numerosas inserções e trocas. Ao contabilizar esse custo dentro das 20 mil chamadas, parte das execuções termina durante a inicialização. Um ponto isolado no gráfico indica esse término e não deve ser apresentado como convergência de um processo evolutivo completo.</w:t>
      </w:r>
    </w:p>
    <w:tbl>
      <w:tblPr>
        <w:tblStyle w:val="TableGrid"/>
        <w:tblW w:type="auto" w:w="0"/>
        <w:tblLayout w:type="fixed"/>
        <w:tblLook w:firstColumn="1" w:firstRow="1" w:lastColumn="0" w:lastRow="0" w:noHBand="0" w:noVBand="1" w:val="04A0"/>
      </w:tblPr>
      <w:tblGrid>
        <w:gridCol w:w="6480"/>
        <w:gridCol w:w="2880"/>
      </w:tblGrid>
      <w:tr>
        <w:trPr>
          <w:tblHeader/>
          <w:cantSplit/>
        </w:trPr>
        <w:tc>
          <w:tcPr>
            <w:tcW w:type="dxa" w:w="6480"/>
            <w:shd w:fill="F1F4F8"/>
          </w:tcPr>
          <w:p>
            <w:pPr>
              <w:spacing w:after="80" w:before="80" w:line="240" w:lineRule="auto"/>
            </w:pPr>
            <w:r>
              <w:rPr>
                <w:rFonts w:ascii="Calibri" w:hAnsi="Calibri"/>
                <w:b/>
                <w:color w:val="285B86"/>
                <w:sz w:val="19"/>
              </w:rPr>
              <w:t>Condição de término</w:t>
            </w:r>
          </w:p>
        </w:tc>
        <w:tc>
          <w:tcPr>
            <w:tcW w:type="dxa" w:w="2880"/>
            <w:shd w:fill="F1F4F8"/>
          </w:tcPr>
          <w:p>
            <w:pPr>
              <w:spacing w:after="80" w:before="80" w:line="240" w:lineRule="auto"/>
            </w:pPr>
            <w:r>
              <w:rPr>
                <w:rFonts w:ascii="Calibri" w:hAnsi="Calibri"/>
                <w:b/>
                <w:color w:val="285B86"/>
                <w:sz w:val="19"/>
              </w:rPr>
              <w:t>Execuções GA tabuladas</w:t>
            </w:r>
          </w:p>
        </w:tc>
      </w:tr>
      <w:tr>
        <w:trPr>
          <w:cantSplit/>
        </w:trPr>
        <w:tc>
          <w:tcPr>
            <w:tcW w:type="dxa" w:w="6480"/>
          </w:tcPr>
          <w:p>
            <w:pPr>
              <w:spacing w:after="80" w:before="80" w:line="240" w:lineRule="auto"/>
            </w:pPr>
            <w:r>
              <w:rPr>
                <w:rFonts w:ascii="Calibri" w:hAnsi="Calibri"/>
                <w:sz w:val="19"/>
              </w:rPr>
              <w:t>evaluation_budget</w:t>
            </w:r>
          </w:p>
        </w:tc>
        <w:tc>
          <w:tcPr>
            <w:tcW w:type="dxa" w:w="2880"/>
          </w:tcPr>
          <w:p>
            <w:pPr>
              <w:spacing w:after="80" w:before="80" w:line="240" w:lineRule="auto"/>
            </w:pPr>
            <w:r>
              <w:rPr>
                <w:rFonts w:ascii="Calibri" w:hAnsi="Calibri"/>
                <w:sz w:val="19"/>
              </w:rPr>
              <w:t>190</w:t>
            </w:r>
          </w:p>
        </w:tc>
      </w:tr>
      <w:tr>
        <w:trPr>
          <w:cantSplit/>
        </w:trPr>
        <w:tc>
          <w:tcPr>
            <w:tcW w:type="dxa" w:w="6480"/>
          </w:tcPr>
          <w:p>
            <w:pPr>
              <w:spacing w:after="80" w:before="80" w:line="240" w:lineRule="auto"/>
            </w:pPr>
            <w:r>
              <w:rPr>
                <w:rFonts w:ascii="Calibri" w:hAnsi="Calibri"/>
                <w:sz w:val="19"/>
              </w:rPr>
              <w:t>candidate_attempt_budget</w:t>
            </w:r>
          </w:p>
        </w:tc>
        <w:tc>
          <w:tcPr>
            <w:tcW w:type="dxa" w:w="2880"/>
          </w:tcPr>
          <w:p>
            <w:pPr>
              <w:spacing w:after="80" w:before="80" w:line="240" w:lineRule="auto"/>
            </w:pPr>
            <w:r>
              <w:rPr>
                <w:rFonts w:ascii="Calibri" w:hAnsi="Calibri"/>
                <w:sz w:val="19"/>
              </w:rPr>
              <w:t>60</w:t>
            </w:r>
          </w:p>
        </w:tc>
      </w:tr>
    </w:tbl>
    <w:p>
      <w:pPr>
        <w:spacing w:after="40"/>
      </w:pPr>
    </w:p>
    <w:p>
      <w:r>
        <w:t>O limite de tentativas encerra a busca quando a população repete candidatos, mesmo que a quantidade de chamadas novas de fitness seja menor que 20 mil. Esse encerramento evita interpretar cache como processamento adicional. A melhor solução viável já avaliada é conservada quando o orçamento termina em qualquer etapa.</w:t>
      </w:r>
    </w:p>
    <w:p>
      <w:r>
        <w:t>A conclusão é que a reparação implementada funciona como mecanismo de preservação de restrições, mas é cara para este orçamento. Uma reparação incremental, candidatos de inserção mais seletivos e construção inicial com melhor diversidade são propostas de melhoria. Elas exigiriam nova avaliação; não atribuímos ganhos a versões ainda não testadas.</w:t>
      </w:r>
    </w:p>
    <w:p>
      <w:r>
        <w:br w:type="page"/>
      </w:r>
    </w:p>
    <w:p>
      <w:pPr>
        <w:pStyle w:val="Heading1"/>
      </w:pPr>
      <w:r>
        <w:t>8 Resultados nos benchmarks públicos</w:t>
      </w:r>
    </w:p>
    <w:tbl>
      <w:tblPr>
        <w:tblStyle w:val="TableGrid"/>
        <w:tblW w:type="auto" w:w="0"/>
        <w:tblLayout w:type="fixed"/>
        <w:tblLook w:firstColumn="1" w:firstRow="1" w:lastColumn="0" w:lastRow="0" w:noHBand="0" w:noVBand="1" w:val="04A0"/>
      </w:tblPr>
      <w:tblGrid>
        <w:gridCol w:w="1944"/>
        <w:gridCol w:w="2160"/>
        <w:gridCol w:w="2016"/>
        <w:gridCol w:w="1656"/>
        <w:gridCol w:w="1584"/>
      </w:tblGrid>
      <w:tr>
        <w:trPr>
          <w:tblHeader/>
          <w:cantSplit/>
        </w:trPr>
        <w:tc>
          <w:tcPr>
            <w:tcW w:type="dxa" w:w="1944"/>
            <w:shd w:fill="F1F4F8"/>
          </w:tcPr>
          <w:p>
            <w:pPr>
              <w:spacing w:after="80" w:before="80" w:line="240" w:lineRule="auto"/>
            </w:pPr>
            <w:r>
              <w:rPr>
                <w:rFonts w:ascii="Calibri" w:hAnsi="Calibri"/>
                <w:b/>
                <w:color w:val="285B86"/>
                <w:sz w:val="19"/>
              </w:rPr>
              <w:t>Instância</w:t>
            </w:r>
          </w:p>
        </w:tc>
        <w:tc>
          <w:tcPr>
            <w:tcW w:type="dxa" w:w="2160"/>
            <w:shd w:fill="F1F4F8"/>
          </w:tcPr>
          <w:p>
            <w:pPr>
              <w:spacing w:after="80" w:before="80" w:line="240" w:lineRule="auto"/>
            </w:pPr>
            <w:r>
              <w:rPr>
                <w:rFonts w:ascii="Calibri" w:hAnsi="Calibri"/>
                <w:b/>
                <w:color w:val="285B86"/>
                <w:sz w:val="19"/>
              </w:rPr>
              <w:t>Método</w:t>
            </w:r>
          </w:p>
        </w:tc>
        <w:tc>
          <w:tcPr>
            <w:tcW w:type="dxa" w:w="2016"/>
            <w:shd w:fill="F1F4F8"/>
          </w:tcPr>
          <w:p>
            <w:pPr>
              <w:spacing w:after="80" w:before="80" w:line="240" w:lineRule="auto"/>
            </w:pPr>
            <w:r>
              <w:rPr>
                <w:rFonts w:ascii="Calibri" w:hAnsi="Calibri"/>
                <w:b/>
                <w:color w:val="285B86"/>
                <w:sz w:val="19"/>
              </w:rPr>
              <w:t>Distância média</w:t>
            </w:r>
          </w:p>
        </w:tc>
        <w:tc>
          <w:tcPr>
            <w:tcW w:type="dxa" w:w="1656"/>
            <w:shd w:fill="F1F4F8"/>
          </w:tcPr>
          <w:p>
            <w:pPr>
              <w:spacing w:after="80" w:before="80" w:line="240" w:lineRule="auto"/>
            </w:pPr>
            <w:r>
              <w:rPr>
                <w:rFonts w:ascii="Calibri" w:hAnsi="Calibri"/>
                <w:b/>
                <w:color w:val="285B86"/>
                <w:sz w:val="19"/>
              </w:rPr>
              <w:t>Gap médio %</w:t>
            </w:r>
          </w:p>
        </w:tc>
        <w:tc>
          <w:tcPr>
            <w:tcW w:type="dxa" w:w="1584"/>
            <w:shd w:fill="F1F4F8"/>
          </w:tcPr>
          <w:p>
            <w:pPr>
              <w:spacing w:after="80" w:before="80" w:line="240" w:lineRule="auto"/>
            </w:pPr>
            <w:r>
              <w:rPr>
                <w:rFonts w:ascii="Calibri" w:hAnsi="Calibri"/>
                <w:b/>
                <w:color w:val="285B86"/>
                <w:sz w:val="19"/>
              </w:rPr>
              <w:t>Viáveis</w:t>
            </w:r>
          </w:p>
        </w:tc>
      </w:tr>
      <w:tr>
        <w:trPr>
          <w:cantSplit/>
        </w:trPr>
        <w:tc>
          <w:tcPr>
            <w:tcW w:type="dxa" w:w="1944"/>
          </w:tcPr>
          <w:p>
            <w:pPr>
              <w:spacing w:after="80" w:before="80" w:line="240" w:lineRule="auto"/>
            </w:pPr>
            <w:r>
              <w:rPr>
                <w:rFonts w:ascii="Calibri" w:hAnsi="Calibri"/>
                <w:sz w:val="19"/>
              </w:rPr>
              <w:t>A-n32-k5</w:t>
            </w:r>
          </w:p>
        </w:tc>
        <w:tc>
          <w:tcPr>
            <w:tcW w:type="dxa" w:w="2160"/>
          </w:tcPr>
          <w:p>
            <w:pPr>
              <w:spacing w:after="80" w:before="80" w:line="240" w:lineRule="auto"/>
            </w:pPr>
            <w:r>
              <w:rPr>
                <w:rFonts w:ascii="Calibri" w:hAnsi="Calibri"/>
                <w:sz w:val="19"/>
              </w:rPr>
              <w:t>Guloso</w:t>
            </w:r>
          </w:p>
        </w:tc>
        <w:tc>
          <w:tcPr>
            <w:tcW w:type="dxa" w:w="2016"/>
          </w:tcPr>
          <w:p>
            <w:pPr>
              <w:spacing w:after="80" w:before="80" w:line="240" w:lineRule="auto"/>
            </w:pPr>
            <w:r>
              <w:rPr>
                <w:rFonts w:ascii="Calibri" w:hAnsi="Calibri"/>
                <w:sz w:val="19"/>
              </w:rPr>
              <w:t>1117,0</w:t>
            </w:r>
          </w:p>
        </w:tc>
        <w:tc>
          <w:tcPr>
            <w:tcW w:type="dxa" w:w="1656"/>
          </w:tcPr>
          <w:p>
            <w:pPr>
              <w:spacing w:after="80" w:before="80" w:line="240" w:lineRule="auto"/>
            </w:pPr>
            <w:r>
              <w:rPr>
                <w:rFonts w:ascii="Calibri" w:hAnsi="Calibri"/>
                <w:sz w:val="19"/>
              </w:rPr>
              <w:t>42,47</w:t>
            </w:r>
          </w:p>
        </w:tc>
        <w:tc>
          <w:tcPr>
            <w:tcW w:type="dxa" w:w="1584"/>
          </w:tcPr>
          <w:p>
            <w:pPr>
              <w:spacing w:after="80" w:before="80" w:line="240" w:lineRule="auto"/>
            </w:pPr>
            <w:r>
              <w:rPr>
                <w:rFonts w:ascii="Calibri" w:hAnsi="Calibri"/>
                <w:sz w:val="19"/>
              </w:rPr>
              <w:t>1/1</w:t>
            </w:r>
          </w:p>
        </w:tc>
      </w:tr>
      <w:tr>
        <w:trPr>
          <w:cantSplit/>
        </w:trPr>
        <w:tc>
          <w:tcPr>
            <w:tcW w:type="dxa" w:w="1944"/>
          </w:tcPr>
          <w:p>
            <w:pPr>
              <w:spacing w:after="80" w:before="80" w:line="240" w:lineRule="auto"/>
            </w:pPr>
            <w:r>
              <w:rPr>
                <w:rFonts w:ascii="Calibri" w:hAnsi="Calibri"/>
                <w:sz w:val="19"/>
              </w:rPr>
              <w:t>A-n32-k5</w:t>
            </w:r>
          </w:p>
        </w:tc>
        <w:tc>
          <w:tcPr>
            <w:tcW w:type="dxa" w:w="2160"/>
          </w:tcPr>
          <w:p>
            <w:pPr>
              <w:spacing w:after="80" w:before="80" w:line="240" w:lineRule="auto"/>
            </w:pPr>
            <w:r>
              <w:rPr>
                <w:rFonts w:ascii="Calibri" w:hAnsi="Calibri"/>
                <w:sz w:val="19"/>
              </w:rPr>
              <w:t>OR-Tools</w:t>
            </w:r>
          </w:p>
        </w:tc>
        <w:tc>
          <w:tcPr>
            <w:tcW w:type="dxa" w:w="2016"/>
          </w:tcPr>
          <w:p>
            <w:pPr>
              <w:spacing w:after="80" w:before="80" w:line="240" w:lineRule="auto"/>
            </w:pPr>
            <w:r>
              <w:rPr>
                <w:rFonts w:ascii="Calibri" w:hAnsi="Calibri"/>
                <w:sz w:val="19"/>
              </w:rPr>
              <w:t>784,0</w:t>
            </w:r>
          </w:p>
        </w:tc>
        <w:tc>
          <w:tcPr>
            <w:tcW w:type="dxa" w:w="1656"/>
          </w:tcPr>
          <w:p>
            <w:pPr>
              <w:spacing w:after="80" w:before="80" w:line="240" w:lineRule="auto"/>
            </w:pPr>
            <w:r>
              <w:rPr>
                <w:rFonts w:ascii="Calibri" w:hAnsi="Calibri"/>
                <w:sz w:val="19"/>
              </w:rPr>
              <w:t>0,00</w:t>
            </w:r>
          </w:p>
        </w:tc>
        <w:tc>
          <w:tcPr>
            <w:tcW w:type="dxa" w:w="1584"/>
          </w:tcPr>
          <w:p>
            <w:pPr>
              <w:spacing w:after="80" w:before="80" w:line="240" w:lineRule="auto"/>
            </w:pPr>
            <w:r>
              <w:rPr>
                <w:rFonts w:ascii="Calibri" w:hAnsi="Calibri"/>
                <w:sz w:val="19"/>
              </w:rPr>
              <w:t>1/1</w:t>
            </w:r>
          </w:p>
        </w:tc>
      </w:tr>
      <w:tr>
        <w:trPr>
          <w:cantSplit/>
        </w:trPr>
        <w:tc>
          <w:tcPr>
            <w:tcW w:type="dxa" w:w="1944"/>
          </w:tcPr>
          <w:p>
            <w:pPr>
              <w:spacing w:after="80" w:before="80" w:line="240" w:lineRule="auto"/>
            </w:pPr>
            <w:r>
              <w:rPr>
                <w:rFonts w:ascii="Calibri" w:hAnsi="Calibri"/>
                <w:sz w:val="19"/>
              </w:rPr>
              <w:t>A-n32-k5</w:t>
            </w:r>
          </w:p>
        </w:tc>
        <w:tc>
          <w:tcPr>
            <w:tcW w:type="dxa" w:w="2160"/>
          </w:tcPr>
          <w:p>
            <w:pPr>
              <w:spacing w:after="80" w:before="80" w:line="240" w:lineRule="auto"/>
            </w:pPr>
            <w:r>
              <w:rPr>
                <w:rFonts w:ascii="Calibri" w:hAnsi="Calibri"/>
                <w:sz w:val="19"/>
              </w:rPr>
              <w:t>GA selecionado</w:t>
            </w:r>
          </w:p>
        </w:tc>
        <w:tc>
          <w:tcPr>
            <w:tcW w:type="dxa" w:w="2016"/>
          </w:tcPr>
          <w:p>
            <w:pPr>
              <w:spacing w:after="80" w:before="80" w:line="240" w:lineRule="auto"/>
            </w:pPr>
            <w:r>
              <w:rPr>
                <w:rFonts w:ascii="Calibri" w:hAnsi="Calibri"/>
                <w:sz w:val="19"/>
              </w:rPr>
              <w:t>1100,5</w:t>
            </w:r>
          </w:p>
        </w:tc>
        <w:tc>
          <w:tcPr>
            <w:tcW w:type="dxa" w:w="1656"/>
          </w:tcPr>
          <w:p>
            <w:pPr>
              <w:spacing w:after="80" w:before="80" w:line="240" w:lineRule="auto"/>
            </w:pPr>
            <w:r>
              <w:rPr>
                <w:rFonts w:ascii="Calibri" w:hAnsi="Calibri"/>
                <w:sz w:val="19"/>
              </w:rPr>
              <w:t>40,37</w:t>
            </w:r>
          </w:p>
        </w:tc>
        <w:tc>
          <w:tcPr>
            <w:tcW w:type="dxa" w:w="1584"/>
          </w:tcPr>
          <w:p>
            <w:pPr>
              <w:spacing w:after="80" w:before="80" w:line="240" w:lineRule="auto"/>
            </w:pPr>
            <w:r>
              <w:rPr>
                <w:rFonts w:ascii="Calibri" w:hAnsi="Calibri"/>
                <w:sz w:val="19"/>
              </w:rPr>
              <w:t>10/10</w:t>
            </w:r>
          </w:p>
        </w:tc>
      </w:tr>
      <w:tr>
        <w:trPr>
          <w:cantSplit/>
        </w:trPr>
        <w:tc>
          <w:tcPr>
            <w:tcW w:type="dxa" w:w="1944"/>
          </w:tcPr>
          <w:p>
            <w:pPr>
              <w:spacing w:after="80" w:before="80" w:line="240" w:lineRule="auto"/>
            </w:pPr>
            <w:r>
              <w:rPr>
                <w:rFonts w:ascii="Calibri" w:hAnsi="Calibri"/>
                <w:sz w:val="19"/>
              </w:rPr>
              <w:t>A-n54-k7</w:t>
            </w:r>
          </w:p>
        </w:tc>
        <w:tc>
          <w:tcPr>
            <w:tcW w:type="dxa" w:w="2160"/>
          </w:tcPr>
          <w:p>
            <w:pPr>
              <w:spacing w:after="80" w:before="80" w:line="240" w:lineRule="auto"/>
            </w:pPr>
            <w:r>
              <w:rPr>
                <w:rFonts w:ascii="Calibri" w:hAnsi="Calibri"/>
                <w:sz w:val="19"/>
              </w:rPr>
              <w:t>Guloso</w:t>
            </w:r>
          </w:p>
        </w:tc>
        <w:tc>
          <w:tcPr>
            <w:tcW w:type="dxa" w:w="2016"/>
          </w:tcPr>
          <w:p>
            <w:pPr>
              <w:spacing w:after="80" w:before="80" w:line="240" w:lineRule="auto"/>
            </w:pPr>
            <w:r>
              <w:rPr>
                <w:rFonts w:ascii="Calibri" w:hAnsi="Calibri"/>
                <w:sz w:val="19"/>
              </w:rPr>
              <w:t>1544,0</w:t>
            </w:r>
          </w:p>
        </w:tc>
        <w:tc>
          <w:tcPr>
            <w:tcW w:type="dxa" w:w="1656"/>
          </w:tcPr>
          <w:p>
            <w:pPr>
              <w:spacing w:after="80" w:before="80" w:line="240" w:lineRule="auto"/>
            </w:pPr>
            <w:r>
              <w:rPr>
                <w:rFonts w:ascii="Calibri" w:hAnsi="Calibri"/>
                <w:sz w:val="19"/>
              </w:rPr>
              <w:t>32,31</w:t>
            </w:r>
          </w:p>
        </w:tc>
        <w:tc>
          <w:tcPr>
            <w:tcW w:type="dxa" w:w="1584"/>
          </w:tcPr>
          <w:p>
            <w:pPr>
              <w:spacing w:after="80" w:before="80" w:line="240" w:lineRule="auto"/>
            </w:pPr>
            <w:r>
              <w:rPr>
                <w:rFonts w:ascii="Calibri" w:hAnsi="Calibri"/>
                <w:sz w:val="19"/>
              </w:rPr>
              <w:t>1/1</w:t>
            </w:r>
          </w:p>
        </w:tc>
      </w:tr>
      <w:tr>
        <w:trPr>
          <w:cantSplit/>
        </w:trPr>
        <w:tc>
          <w:tcPr>
            <w:tcW w:type="dxa" w:w="1944"/>
          </w:tcPr>
          <w:p>
            <w:pPr>
              <w:spacing w:after="80" w:before="80" w:line="240" w:lineRule="auto"/>
            </w:pPr>
            <w:r>
              <w:rPr>
                <w:rFonts w:ascii="Calibri" w:hAnsi="Calibri"/>
                <w:sz w:val="19"/>
              </w:rPr>
              <w:t>A-n54-k7</w:t>
            </w:r>
          </w:p>
        </w:tc>
        <w:tc>
          <w:tcPr>
            <w:tcW w:type="dxa" w:w="2160"/>
          </w:tcPr>
          <w:p>
            <w:pPr>
              <w:spacing w:after="80" w:before="80" w:line="240" w:lineRule="auto"/>
            </w:pPr>
            <w:r>
              <w:rPr>
                <w:rFonts w:ascii="Calibri" w:hAnsi="Calibri"/>
                <w:sz w:val="19"/>
              </w:rPr>
              <w:t>OR-Tools</w:t>
            </w:r>
          </w:p>
        </w:tc>
        <w:tc>
          <w:tcPr>
            <w:tcW w:type="dxa" w:w="2016"/>
          </w:tcPr>
          <w:p>
            <w:pPr>
              <w:spacing w:after="80" w:before="80" w:line="240" w:lineRule="auto"/>
            </w:pPr>
            <w:r>
              <w:rPr>
                <w:rFonts w:ascii="Calibri" w:hAnsi="Calibri"/>
                <w:sz w:val="19"/>
              </w:rPr>
              <w:t>1241,0</w:t>
            </w:r>
          </w:p>
        </w:tc>
        <w:tc>
          <w:tcPr>
            <w:tcW w:type="dxa" w:w="1656"/>
          </w:tcPr>
          <w:p>
            <w:pPr>
              <w:spacing w:after="80" w:before="80" w:line="240" w:lineRule="auto"/>
            </w:pPr>
            <w:r>
              <w:rPr>
                <w:rFonts w:ascii="Calibri" w:hAnsi="Calibri"/>
                <w:sz w:val="19"/>
              </w:rPr>
              <w:t>6,34</w:t>
            </w:r>
          </w:p>
        </w:tc>
        <w:tc>
          <w:tcPr>
            <w:tcW w:type="dxa" w:w="1584"/>
          </w:tcPr>
          <w:p>
            <w:pPr>
              <w:spacing w:after="80" w:before="80" w:line="240" w:lineRule="auto"/>
            </w:pPr>
            <w:r>
              <w:rPr>
                <w:rFonts w:ascii="Calibri" w:hAnsi="Calibri"/>
                <w:sz w:val="19"/>
              </w:rPr>
              <w:t>1/1</w:t>
            </w:r>
          </w:p>
        </w:tc>
      </w:tr>
      <w:tr>
        <w:trPr>
          <w:cantSplit/>
        </w:trPr>
        <w:tc>
          <w:tcPr>
            <w:tcW w:type="dxa" w:w="1944"/>
          </w:tcPr>
          <w:p>
            <w:pPr>
              <w:spacing w:after="80" w:before="80" w:line="240" w:lineRule="auto"/>
            </w:pPr>
            <w:r>
              <w:rPr>
                <w:rFonts w:ascii="Calibri" w:hAnsi="Calibri"/>
                <w:sz w:val="19"/>
              </w:rPr>
              <w:t>A-n54-k7</w:t>
            </w:r>
          </w:p>
        </w:tc>
        <w:tc>
          <w:tcPr>
            <w:tcW w:type="dxa" w:w="2160"/>
          </w:tcPr>
          <w:p>
            <w:pPr>
              <w:spacing w:after="80" w:before="80" w:line="240" w:lineRule="auto"/>
            </w:pPr>
            <w:r>
              <w:rPr>
                <w:rFonts w:ascii="Calibri" w:hAnsi="Calibri"/>
                <w:sz w:val="19"/>
              </w:rPr>
              <w:t>GA selecionado</w:t>
            </w:r>
          </w:p>
        </w:tc>
        <w:tc>
          <w:tcPr>
            <w:tcW w:type="dxa" w:w="2016"/>
          </w:tcPr>
          <w:p>
            <w:pPr>
              <w:spacing w:after="80" w:before="80" w:line="240" w:lineRule="auto"/>
            </w:pPr>
            <w:r>
              <w:rPr>
                <w:rFonts w:ascii="Calibri" w:hAnsi="Calibri"/>
                <w:sz w:val="19"/>
              </w:rPr>
              <w:t>1540,0</w:t>
            </w:r>
          </w:p>
        </w:tc>
        <w:tc>
          <w:tcPr>
            <w:tcW w:type="dxa" w:w="1656"/>
          </w:tcPr>
          <w:p>
            <w:pPr>
              <w:spacing w:after="80" w:before="80" w:line="240" w:lineRule="auto"/>
            </w:pPr>
            <w:r>
              <w:rPr>
                <w:rFonts w:ascii="Calibri" w:hAnsi="Calibri"/>
                <w:sz w:val="19"/>
              </w:rPr>
              <w:t>31,96</w:t>
            </w:r>
          </w:p>
        </w:tc>
        <w:tc>
          <w:tcPr>
            <w:tcW w:type="dxa" w:w="1584"/>
          </w:tcPr>
          <w:p>
            <w:pPr>
              <w:spacing w:after="80" w:before="80" w:line="240" w:lineRule="auto"/>
            </w:pPr>
            <w:r>
              <w:rPr>
                <w:rFonts w:ascii="Calibri" w:hAnsi="Calibri"/>
                <w:sz w:val="19"/>
              </w:rPr>
              <w:t>10/10</w:t>
            </w:r>
          </w:p>
        </w:tc>
      </w:tr>
      <w:tr>
        <w:trPr>
          <w:cantSplit/>
        </w:trPr>
        <w:tc>
          <w:tcPr>
            <w:tcW w:type="dxa" w:w="1944"/>
          </w:tcPr>
          <w:p>
            <w:pPr>
              <w:spacing w:after="80" w:before="80" w:line="240" w:lineRule="auto"/>
            </w:pPr>
            <w:r>
              <w:rPr>
                <w:rFonts w:ascii="Calibri" w:hAnsi="Calibri"/>
                <w:sz w:val="19"/>
              </w:rPr>
              <w:t>A-n80-k10</w:t>
            </w:r>
          </w:p>
        </w:tc>
        <w:tc>
          <w:tcPr>
            <w:tcW w:type="dxa" w:w="2160"/>
          </w:tcPr>
          <w:p>
            <w:pPr>
              <w:spacing w:after="80" w:before="80" w:line="240" w:lineRule="auto"/>
            </w:pPr>
            <w:r>
              <w:rPr>
                <w:rFonts w:ascii="Calibri" w:hAnsi="Calibri"/>
                <w:sz w:val="19"/>
              </w:rPr>
              <w:t>Guloso</w:t>
            </w:r>
          </w:p>
        </w:tc>
        <w:tc>
          <w:tcPr>
            <w:tcW w:type="dxa" w:w="2016"/>
          </w:tcPr>
          <w:p>
            <w:pPr>
              <w:spacing w:after="80" w:before="80" w:line="240" w:lineRule="auto"/>
            </w:pPr>
            <w:r>
              <w:rPr>
                <w:rFonts w:ascii="Calibri" w:hAnsi="Calibri"/>
                <w:sz w:val="19"/>
              </w:rPr>
              <w:t>2398,0</w:t>
            </w:r>
          </w:p>
        </w:tc>
        <w:tc>
          <w:tcPr>
            <w:tcW w:type="dxa" w:w="1656"/>
          </w:tcPr>
          <w:p>
            <w:pPr>
              <w:spacing w:after="80" w:before="80" w:line="240" w:lineRule="auto"/>
            </w:pPr>
            <w:r>
              <w:rPr>
                <w:rFonts w:ascii="Calibri" w:hAnsi="Calibri"/>
                <w:sz w:val="19"/>
              </w:rPr>
              <w:t>36,02</w:t>
            </w:r>
          </w:p>
        </w:tc>
        <w:tc>
          <w:tcPr>
            <w:tcW w:type="dxa" w:w="1584"/>
          </w:tcPr>
          <w:p>
            <w:pPr>
              <w:spacing w:after="80" w:before="80" w:line="240" w:lineRule="auto"/>
            </w:pPr>
            <w:r>
              <w:rPr>
                <w:rFonts w:ascii="Calibri" w:hAnsi="Calibri"/>
                <w:sz w:val="19"/>
              </w:rPr>
              <w:t>1/1</w:t>
            </w:r>
          </w:p>
        </w:tc>
      </w:tr>
      <w:tr>
        <w:trPr>
          <w:cantSplit/>
        </w:trPr>
        <w:tc>
          <w:tcPr>
            <w:tcW w:type="dxa" w:w="1944"/>
          </w:tcPr>
          <w:p>
            <w:pPr>
              <w:spacing w:after="80" w:before="80" w:line="240" w:lineRule="auto"/>
            </w:pPr>
            <w:r>
              <w:rPr>
                <w:rFonts w:ascii="Calibri" w:hAnsi="Calibri"/>
                <w:sz w:val="19"/>
              </w:rPr>
              <w:t>A-n80-k10</w:t>
            </w:r>
          </w:p>
        </w:tc>
        <w:tc>
          <w:tcPr>
            <w:tcW w:type="dxa" w:w="2160"/>
          </w:tcPr>
          <w:p>
            <w:pPr>
              <w:spacing w:after="80" w:before="80" w:line="240" w:lineRule="auto"/>
            </w:pPr>
            <w:r>
              <w:rPr>
                <w:rFonts w:ascii="Calibri" w:hAnsi="Calibri"/>
                <w:sz w:val="19"/>
              </w:rPr>
              <w:t>OR-Tools</w:t>
            </w:r>
          </w:p>
        </w:tc>
        <w:tc>
          <w:tcPr>
            <w:tcW w:type="dxa" w:w="2016"/>
          </w:tcPr>
          <w:p>
            <w:pPr>
              <w:spacing w:after="80" w:before="80" w:line="240" w:lineRule="auto"/>
            </w:pPr>
            <w:r>
              <w:rPr>
                <w:rFonts w:ascii="Calibri" w:hAnsi="Calibri"/>
                <w:sz w:val="19"/>
              </w:rPr>
              <w:t>1810,0</w:t>
            </w:r>
          </w:p>
        </w:tc>
        <w:tc>
          <w:tcPr>
            <w:tcW w:type="dxa" w:w="1656"/>
          </w:tcPr>
          <w:p>
            <w:pPr>
              <w:spacing w:after="80" w:before="80" w:line="240" w:lineRule="auto"/>
            </w:pPr>
            <w:r>
              <w:rPr>
                <w:rFonts w:ascii="Calibri" w:hAnsi="Calibri"/>
                <w:sz w:val="19"/>
              </w:rPr>
              <w:t>2,67</w:t>
            </w:r>
          </w:p>
        </w:tc>
        <w:tc>
          <w:tcPr>
            <w:tcW w:type="dxa" w:w="1584"/>
          </w:tcPr>
          <w:p>
            <w:pPr>
              <w:spacing w:after="80" w:before="80" w:line="240" w:lineRule="auto"/>
            </w:pPr>
            <w:r>
              <w:rPr>
                <w:rFonts w:ascii="Calibri" w:hAnsi="Calibri"/>
                <w:sz w:val="19"/>
              </w:rPr>
              <w:t>1/1</w:t>
            </w:r>
          </w:p>
        </w:tc>
      </w:tr>
      <w:tr>
        <w:trPr>
          <w:cantSplit/>
        </w:trPr>
        <w:tc>
          <w:tcPr>
            <w:tcW w:type="dxa" w:w="1944"/>
          </w:tcPr>
          <w:p>
            <w:pPr>
              <w:spacing w:after="80" w:before="80" w:line="240" w:lineRule="auto"/>
            </w:pPr>
            <w:r>
              <w:rPr>
                <w:rFonts w:ascii="Calibri" w:hAnsi="Calibri"/>
                <w:sz w:val="19"/>
              </w:rPr>
              <w:t>A-n80-k10</w:t>
            </w:r>
          </w:p>
        </w:tc>
        <w:tc>
          <w:tcPr>
            <w:tcW w:type="dxa" w:w="2160"/>
          </w:tcPr>
          <w:p>
            <w:pPr>
              <w:spacing w:after="80" w:before="80" w:line="240" w:lineRule="auto"/>
            </w:pPr>
            <w:r>
              <w:rPr>
                <w:rFonts w:ascii="Calibri" w:hAnsi="Calibri"/>
                <w:sz w:val="19"/>
              </w:rPr>
              <w:t>GA selecionado</w:t>
            </w:r>
          </w:p>
        </w:tc>
        <w:tc>
          <w:tcPr>
            <w:tcW w:type="dxa" w:w="2016"/>
          </w:tcPr>
          <w:p>
            <w:pPr>
              <w:spacing w:after="80" w:before="80" w:line="240" w:lineRule="auto"/>
            </w:pPr>
            <w:r>
              <w:rPr>
                <w:rFonts w:ascii="Calibri" w:hAnsi="Calibri"/>
                <w:sz w:val="19"/>
              </w:rPr>
              <w:t>2398,0</w:t>
            </w:r>
          </w:p>
        </w:tc>
        <w:tc>
          <w:tcPr>
            <w:tcW w:type="dxa" w:w="1656"/>
          </w:tcPr>
          <w:p>
            <w:pPr>
              <w:spacing w:after="80" w:before="80" w:line="240" w:lineRule="auto"/>
            </w:pPr>
            <w:r>
              <w:rPr>
                <w:rFonts w:ascii="Calibri" w:hAnsi="Calibri"/>
                <w:sz w:val="19"/>
              </w:rPr>
              <w:t>36,02</w:t>
            </w:r>
          </w:p>
        </w:tc>
        <w:tc>
          <w:tcPr>
            <w:tcW w:type="dxa" w:w="1584"/>
          </w:tcPr>
          <w:p>
            <w:pPr>
              <w:spacing w:after="80" w:before="80" w:line="240" w:lineRule="auto"/>
            </w:pPr>
            <w:r>
              <w:rPr>
                <w:rFonts w:ascii="Calibri" w:hAnsi="Calibri"/>
                <w:sz w:val="19"/>
              </w:rPr>
              <w:t>10/10</w:t>
            </w:r>
          </w:p>
        </w:tc>
      </w:tr>
    </w:tbl>
    <w:p>
      <w:pPr>
        <w:spacing w:after="40"/>
      </w:pPr>
    </w:p>
    <w:p>
      <w:pPr>
        <w:keepNext/>
        <w:jc w:val="center"/>
      </w:pPr>
      <w:r>
        <w:drawing>
          <wp:inline xmlns:a="http://schemas.openxmlformats.org/drawingml/2006/main" xmlns:pic="http://schemas.openxmlformats.org/drawingml/2006/picture">
            <wp:extent cx="5943600" cy="2017764"/>
            <wp:docPr id="3" name="Picture 3"/>
            <wp:cNvGraphicFramePr>
              <a:graphicFrameLocks noChangeAspect="1"/>
            </wp:cNvGraphicFramePr>
            <a:graphic>
              <a:graphicData uri="http://schemas.openxmlformats.org/drawingml/2006/picture">
                <pic:pic>
                  <pic:nvPicPr>
                    <pic:cNvPr id="0" name="benchmark_gap.png"/>
                    <pic:cNvPicPr/>
                  </pic:nvPicPr>
                  <pic:blipFill>
                    <a:blip r:embed="rId13"/>
                    <a:stretch>
                      <a:fillRect/>
                    </a:stretch>
                  </pic:blipFill>
                  <pic:spPr>
                    <a:xfrm>
                      <a:off x="0" y="0"/>
                      <a:ext cx="5943600" cy="2017764"/>
                    </a:xfrm>
                    <a:prstGeom prst="rect"/>
                  </pic:spPr>
                </pic:pic>
              </a:graphicData>
            </a:graphic>
          </wp:inline>
        </w:drawing>
      </w:r>
    </w:p>
    <w:p>
      <w:pPr>
        <w:pStyle w:val="Caption"/>
      </w:pPr>
      <w:r>
        <w:t>Figura 3  Distância relativa aos custos publicados 784, 1167 e 1763.</w:t>
      </w:r>
    </w:p>
    <w:p>
      <w:r>
        <w:t>OR-Tools alcançou o custo publicado na instância A-n32-k5 e ficou mais próximo da referência nas demais. O genético permaneceu acima desses custos, com pequenas melhorias sobre o guloso em alguns casos. A-n80-k10 não apresentou ganho do GA sobre a construção inicial neste orçamento.</w:t>
      </w:r>
    </w:p>
    <w:p>
      <w:r>
        <w:t>Os gaps utilizam unidades originais do benchmark. Não são percentuais de quilômetros nem estimativas de atraso hospitalar. As soluções publicadas e todas as soluções experimentais viáveis respeitam a capacidade e o atendimento de cada cliente exatamente uma vez.</w:t>
      </w:r>
    </w:p>
    <w:p>
      <w:r>
        <w:br w:type="page"/>
      </w:r>
    </w:p>
    <w:p>
      <w:pPr>
        <w:pStyle w:val="Heading1"/>
      </w:pPr>
      <w:r>
        <w:t>9 Comparação com o TSP FIAP</w:t>
      </w:r>
    </w:p>
    <w:p>
      <w:pPr>
        <w:keepNext/>
        <w:jc w:val="center"/>
      </w:pPr>
      <w:r>
        <w:drawing>
          <wp:inline xmlns:a="http://schemas.openxmlformats.org/drawingml/2006/main" xmlns:pic="http://schemas.openxmlformats.org/drawingml/2006/picture">
            <wp:extent cx="5943600" cy="3012746"/>
            <wp:docPr id="4" name="Picture 4"/>
            <wp:cNvGraphicFramePr>
              <a:graphicFrameLocks noChangeAspect="1"/>
            </wp:cNvGraphicFramePr>
            <a:graphic>
              <a:graphicData uri="http://schemas.openxmlformats.org/drawingml/2006/picture">
                <pic:pic>
                  <pic:nvPicPr>
                    <pic:cNvPr id="0" name="fiap_tsp.png"/>
                    <pic:cNvPicPr/>
                  </pic:nvPicPr>
                  <pic:blipFill>
                    <a:blip r:embed="rId14"/>
                    <a:stretch>
                      <a:fillRect/>
                    </a:stretch>
                  </pic:blipFill>
                  <pic:spPr>
                    <a:xfrm>
                      <a:off x="0" y="0"/>
                      <a:ext cx="5943600" cy="3012746"/>
                    </a:xfrm>
                    <a:prstGeom prst="rect"/>
                  </pic:spPr>
                </pic:pic>
              </a:graphicData>
            </a:graphic>
          </wp:inline>
        </w:drawing>
      </w:r>
    </w:p>
    <w:p>
      <w:pPr>
        <w:pStyle w:val="Caption"/>
      </w:pPr>
      <w:r>
        <w:t>Figura 4  Comprimento dos circuitos no TSP original de 15 pontos.</w:t>
      </w:r>
    </w:p>
    <w:p>
      <w:r>
        <w:t>A referência FIAP apresentou média de 1619,286 unidades euclidianas. A configuração selecionada apresentou 1219,225. O guloso e OR-Tools alcançaram o mesmo valor observado pelo novo GA nesse cenário.</w:t>
      </w:r>
    </w:p>
    <w:p>
      <w:r>
        <w:t>Esse resultado mostra vantagem da implementação completa sobre a reprodução da referência, mas não isola o efeito da correção do crossover. Mudaram também a inicialização, a seleção, a mutação, o elitismo e o uso de construção gulosa. Como o novo GA coincide com a solução inicial nesse TSP, não atribuímos a redução exclusivamente à evolução genética.</w:t>
      </w:r>
    </w:p>
    <w:p>
      <w:r>
        <w:t>O comparador mantém a chamada OX com o mesmo pai e a mutação por troca de vizinhos. A nova versão opera com IDs exclusivos e separadores, mas, nesta comparação, usa somente um veículo e a distância euclidiana original. O experimento não mistura as restrições do problema médico com o TSP da fonte.</w:t>
      </w:r>
    </w:p>
    <w:p>
      <w:r>
        <w:br w:type="page"/>
      </w:r>
    </w:p>
    <w:p>
      <w:pPr>
        <w:pStyle w:val="Heading1"/>
      </w:pPr>
      <w:r>
        <w:t>10 Sensibilidade e restrições mais rígidas</w:t>
      </w:r>
    </w:p>
    <w:p>
      <w:pPr>
        <w:keepNext/>
        <w:jc w:val="center"/>
      </w:pPr>
      <w:r>
        <w:drawing>
          <wp:inline xmlns:a="http://schemas.openxmlformats.org/drawingml/2006/main" xmlns:pic="http://schemas.openxmlformats.org/drawingml/2006/picture">
            <wp:extent cx="4744676" cy="2743200"/>
            <wp:docPr id="5" name="Picture 5"/>
            <wp:cNvGraphicFramePr>
              <a:graphicFrameLocks noChangeAspect="1"/>
            </wp:cNvGraphicFramePr>
            <a:graphic>
              <a:graphicData uri="http://schemas.openxmlformats.org/drawingml/2006/picture">
                <pic:pic>
                  <pic:nvPicPr>
                    <pic:cNvPr id="0" name="priority_sensitivity.png"/>
                    <pic:cNvPicPr/>
                  </pic:nvPicPr>
                  <pic:blipFill>
                    <a:blip r:embed="rId15"/>
                    <a:stretch>
                      <a:fillRect/>
                    </a:stretch>
                  </pic:blipFill>
                  <pic:spPr>
                    <a:xfrm>
                      <a:off x="0" y="0"/>
                      <a:ext cx="4744676" cy="2743200"/>
                    </a:xfrm>
                    <a:prstGeom prst="rect"/>
                  </pic:spPr>
                </pic:pic>
              </a:graphicData>
            </a:graphic>
          </wp:inline>
        </w:drawing>
      </w:r>
    </w:p>
    <w:p>
      <w:pPr>
        <w:pStyle w:val="Caption"/>
      </w:pPr>
      <w:r>
        <w:t>Figura 5  Distância e chegada crítica ao variar o coeficiente de prioridade.</w:t>
      </w:r>
    </w:p>
    <w:p>
      <w:r>
        <w:t>A sensibilidade considera coeficientes 0, 0,01, 0,05 e 0,10 em um cenário de 30 entregas e uma semente. A distância e a chegada crítica podem variar sem uma relação monotônica, pois a busca é heurística e tem orçamento finito. Esse gráfico explora a premissa e não estabelece pesos clínicos nem causalidade.</w:t>
      </w:r>
    </w:p>
    <w:tbl>
      <w:tblPr>
        <w:tblStyle w:val="TableGrid"/>
        <w:tblW w:type="auto" w:w="0"/>
        <w:tblLayout w:type="fixed"/>
        <w:tblLook w:firstColumn="1" w:firstRow="1" w:lastColumn="0" w:lastRow="0" w:noHBand="0" w:noVBand="1" w:val="04A0"/>
      </w:tblPr>
      <w:tblGrid>
        <w:gridCol w:w="3168"/>
        <w:gridCol w:w="2376"/>
        <w:gridCol w:w="1872"/>
        <w:gridCol w:w="1944"/>
      </w:tblGrid>
      <w:tr>
        <w:trPr>
          <w:tblHeader/>
          <w:cantSplit/>
        </w:trPr>
        <w:tc>
          <w:tcPr>
            <w:tcW w:type="dxa" w:w="3168"/>
            <w:shd w:fill="F1F4F8"/>
          </w:tcPr>
          <w:p>
            <w:pPr>
              <w:spacing w:after="80" w:before="80" w:line="240" w:lineRule="auto"/>
            </w:pPr>
            <w:r>
              <w:rPr>
                <w:rFonts w:ascii="Calibri" w:hAnsi="Calibri"/>
                <w:b/>
                <w:color w:val="285B86"/>
                <w:sz w:val="19"/>
              </w:rPr>
              <w:t>Variação</w:t>
            </w:r>
          </w:p>
        </w:tc>
        <w:tc>
          <w:tcPr>
            <w:tcW w:type="dxa" w:w="2376"/>
            <w:shd w:fill="F1F4F8"/>
          </w:tcPr>
          <w:p>
            <w:pPr>
              <w:spacing w:after="80" w:before="80" w:line="240" w:lineRule="auto"/>
            </w:pPr>
            <w:r>
              <w:rPr>
                <w:rFonts w:ascii="Calibri" w:hAnsi="Calibri"/>
                <w:b/>
                <w:color w:val="285B86"/>
                <w:sz w:val="19"/>
              </w:rPr>
              <w:t>Método</w:t>
            </w:r>
          </w:p>
        </w:tc>
        <w:tc>
          <w:tcPr>
            <w:tcW w:type="dxa" w:w="1872"/>
            <w:shd w:fill="F1F4F8"/>
          </w:tcPr>
          <w:p>
            <w:pPr>
              <w:spacing w:after="80" w:before="80" w:line="240" w:lineRule="auto"/>
            </w:pPr>
            <w:r>
              <w:rPr>
                <w:rFonts w:ascii="Calibri" w:hAnsi="Calibri"/>
                <w:b/>
                <w:color w:val="285B86"/>
                <w:sz w:val="19"/>
              </w:rPr>
              <w:t>J</w:t>
            </w:r>
          </w:p>
        </w:tc>
        <w:tc>
          <w:tcPr>
            <w:tcW w:type="dxa" w:w="1944"/>
            <w:shd w:fill="F1F4F8"/>
          </w:tcPr>
          <w:p>
            <w:pPr>
              <w:spacing w:after="80" w:before="80" w:line="240" w:lineRule="auto"/>
            </w:pPr>
            <w:r>
              <w:rPr>
                <w:rFonts w:ascii="Calibri" w:hAnsi="Calibri"/>
                <w:b/>
                <w:color w:val="285B86"/>
                <w:sz w:val="19"/>
              </w:rPr>
              <w:t>Viáveis</w:t>
            </w:r>
          </w:p>
        </w:tc>
      </w:tr>
      <w:tr>
        <w:trPr>
          <w:cantSplit/>
        </w:trPr>
        <w:tc>
          <w:tcPr>
            <w:tcW w:type="dxa" w:w="3168"/>
          </w:tcPr>
          <w:p>
            <w:pPr>
              <w:spacing w:after="80" w:before="80" w:line="240" w:lineRule="auto"/>
            </w:pPr>
            <w:r>
              <w:rPr>
                <w:rFonts w:ascii="Calibri" w:hAnsi="Calibri"/>
                <w:sz w:val="19"/>
              </w:rPr>
              <w:t>Capacidade 82%</w:t>
            </w:r>
          </w:p>
        </w:tc>
        <w:tc>
          <w:tcPr>
            <w:tcW w:type="dxa" w:w="2376"/>
          </w:tcPr>
          <w:p>
            <w:pPr>
              <w:spacing w:after="80" w:before="80" w:line="240" w:lineRule="auto"/>
            </w:pPr>
            <w:r>
              <w:rPr>
                <w:rFonts w:ascii="Calibri" w:hAnsi="Calibri"/>
                <w:sz w:val="19"/>
              </w:rPr>
              <w:t>greedy</w:t>
            </w:r>
          </w:p>
        </w:tc>
        <w:tc>
          <w:tcPr>
            <w:tcW w:type="dxa" w:w="1872"/>
          </w:tcPr>
          <w:p>
            <w:pPr>
              <w:spacing w:after="80" w:before="80" w:line="240" w:lineRule="auto"/>
            </w:pPr>
            <w:r>
              <w:rPr>
                <w:rFonts w:ascii="Calibri" w:hAnsi="Calibri"/>
                <w:sz w:val="19"/>
              </w:rPr>
              <w:t>185,841</w:t>
            </w:r>
          </w:p>
        </w:tc>
        <w:tc>
          <w:tcPr>
            <w:tcW w:type="dxa" w:w="1944"/>
          </w:tcPr>
          <w:p>
            <w:pPr>
              <w:spacing w:after="80" w:before="80" w:line="240" w:lineRule="auto"/>
            </w:pPr>
            <w:r>
              <w:rPr>
                <w:rFonts w:ascii="Calibri" w:hAnsi="Calibri"/>
                <w:sz w:val="19"/>
              </w:rPr>
              <w:t>1/1</w:t>
            </w:r>
          </w:p>
        </w:tc>
      </w:tr>
      <w:tr>
        <w:trPr>
          <w:cantSplit/>
        </w:trPr>
        <w:tc>
          <w:tcPr>
            <w:tcW w:type="dxa" w:w="3168"/>
          </w:tcPr>
          <w:p>
            <w:pPr>
              <w:spacing w:after="80" w:before="80" w:line="240" w:lineRule="auto"/>
            </w:pPr>
            <w:r>
              <w:rPr>
                <w:rFonts w:ascii="Calibri" w:hAnsi="Calibri"/>
                <w:sz w:val="19"/>
              </w:rPr>
              <w:t>Capacidade 82%</w:t>
            </w:r>
          </w:p>
        </w:tc>
        <w:tc>
          <w:tcPr>
            <w:tcW w:type="dxa" w:w="2376"/>
          </w:tcPr>
          <w:p>
            <w:pPr>
              <w:spacing w:after="80" w:before="80" w:line="240" w:lineRule="auto"/>
            </w:pPr>
            <w:r>
              <w:rPr>
                <w:rFonts w:ascii="Calibri" w:hAnsi="Calibri"/>
                <w:sz w:val="19"/>
              </w:rPr>
              <w:t>ortools</w:t>
            </w:r>
          </w:p>
        </w:tc>
        <w:tc>
          <w:tcPr>
            <w:tcW w:type="dxa" w:w="1872"/>
          </w:tcPr>
          <w:p>
            <w:pPr>
              <w:spacing w:after="80" w:before="80" w:line="240" w:lineRule="auto"/>
            </w:pPr>
            <w:r>
              <w:rPr>
                <w:rFonts w:ascii="Calibri" w:hAnsi="Calibri"/>
                <w:sz w:val="19"/>
              </w:rPr>
              <w:t>176,021</w:t>
            </w:r>
          </w:p>
        </w:tc>
        <w:tc>
          <w:tcPr>
            <w:tcW w:type="dxa" w:w="1944"/>
          </w:tcPr>
          <w:p>
            <w:pPr>
              <w:spacing w:after="80" w:before="80" w:line="240" w:lineRule="auto"/>
            </w:pPr>
            <w:r>
              <w:rPr>
                <w:rFonts w:ascii="Calibri" w:hAnsi="Calibri"/>
                <w:sz w:val="19"/>
              </w:rPr>
              <w:t>1/1</w:t>
            </w:r>
          </w:p>
        </w:tc>
      </w:tr>
      <w:tr>
        <w:trPr>
          <w:cantSplit/>
        </w:trPr>
        <w:tc>
          <w:tcPr>
            <w:tcW w:type="dxa" w:w="3168"/>
          </w:tcPr>
          <w:p>
            <w:pPr>
              <w:spacing w:after="80" w:before="80" w:line="240" w:lineRule="auto"/>
            </w:pPr>
            <w:r>
              <w:rPr>
                <w:rFonts w:ascii="Calibri" w:hAnsi="Calibri"/>
                <w:sz w:val="19"/>
              </w:rPr>
              <w:t>Capacidade 82%</w:t>
            </w:r>
          </w:p>
        </w:tc>
        <w:tc>
          <w:tcPr>
            <w:tcW w:type="dxa" w:w="2376"/>
          </w:tcPr>
          <w:p>
            <w:pPr>
              <w:spacing w:after="80" w:before="80" w:line="240" w:lineRule="auto"/>
            </w:pPr>
            <w:r>
              <w:rPr>
                <w:rFonts w:ascii="Calibri" w:hAnsi="Calibri"/>
                <w:sz w:val="19"/>
              </w:rPr>
              <w:t>genetic</w:t>
            </w:r>
          </w:p>
        </w:tc>
        <w:tc>
          <w:tcPr>
            <w:tcW w:type="dxa" w:w="1872"/>
          </w:tcPr>
          <w:p>
            <w:pPr>
              <w:spacing w:after="80" w:before="80" w:line="240" w:lineRule="auto"/>
            </w:pPr>
            <w:r>
              <w:rPr>
                <w:rFonts w:ascii="Calibri" w:hAnsi="Calibri"/>
                <w:sz w:val="19"/>
              </w:rPr>
              <w:t>185,841</w:t>
            </w:r>
          </w:p>
        </w:tc>
        <w:tc>
          <w:tcPr>
            <w:tcW w:type="dxa" w:w="1944"/>
          </w:tcPr>
          <w:p>
            <w:pPr>
              <w:spacing w:after="80" w:before="80" w:line="240" w:lineRule="auto"/>
            </w:pPr>
            <w:r>
              <w:rPr>
                <w:rFonts w:ascii="Calibri" w:hAnsi="Calibri"/>
                <w:sz w:val="19"/>
              </w:rPr>
              <w:t>1/1</w:t>
            </w:r>
          </w:p>
        </w:tc>
      </w:tr>
      <w:tr>
        <w:trPr>
          <w:cantSplit/>
        </w:trPr>
        <w:tc>
          <w:tcPr>
            <w:tcW w:type="dxa" w:w="3168"/>
          </w:tcPr>
          <w:p>
            <w:pPr>
              <w:spacing w:after="80" w:before="80" w:line="240" w:lineRule="auto"/>
            </w:pPr>
            <w:r>
              <w:rPr>
                <w:rFonts w:ascii="Calibri" w:hAnsi="Calibri"/>
                <w:sz w:val="19"/>
              </w:rPr>
              <w:t>Autonomia 25 km</w:t>
            </w:r>
          </w:p>
        </w:tc>
        <w:tc>
          <w:tcPr>
            <w:tcW w:type="dxa" w:w="2376"/>
          </w:tcPr>
          <w:p>
            <w:pPr>
              <w:spacing w:after="80" w:before="80" w:line="240" w:lineRule="auto"/>
            </w:pPr>
            <w:r>
              <w:rPr>
                <w:rFonts w:ascii="Calibri" w:hAnsi="Calibri"/>
                <w:sz w:val="19"/>
              </w:rPr>
              <w:t>greedy</w:t>
            </w:r>
          </w:p>
        </w:tc>
        <w:tc>
          <w:tcPr>
            <w:tcW w:type="dxa" w:w="1872"/>
          </w:tcPr>
          <w:p>
            <w:pPr>
              <w:spacing w:after="80" w:before="80" w:line="240" w:lineRule="auto"/>
            </w:pPr>
            <w:r>
              <w:rPr>
                <w:rFonts w:ascii="Calibri" w:hAnsi="Calibri"/>
                <w:sz w:val="19"/>
              </w:rPr>
              <w:t>181,646</w:t>
            </w:r>
          </w:p>
        </w:tc>
        <w:tc>
          <w:tcPr>
            <w:tcW w:type="dxa" w:w="1944"/>
          </w:tcPr>
          <w:p>
            <w:pPr>
              <w:spacing w:after="80" w:before="80" w:line="240" w:lineRule="auto"/>
            </w:pPr>
            <w:r>
              <w:rPr>
                <w:rFonts w:ascii="Calibri" w:hAnsi="Calibri"/>
                <w:sz w:val="19"/>
              </w:rPr>
              <w:t>1/1</w:t>
            </w:r>
          </w:p>
        </w:tc>
      </w:tr>
      <w:tr>
        <w:trPr>
          <w:cantSplit/>
        </w:trPr>
        <w:tc>
          <w:tcPr>
            <w:tcW w:type="dxa" w:w="3168"/>
          </w:tcPr>
          <w:p>
            <w:pPr>
              <w:spacing w:after="80" w:before="80" w:line="240" w:lineRule="auto"/>
            </w:pPr>
            <w:r>
              <w:rPr>
                <w:rFonts w:ascii="Calibri" w:hAnsi="Calibri"/>
                <w:sz w:val="19"/>
              </w:rPr>
              <w:t>Autonomia 25 km</w:t>
            </w:r>
          </w:p>
        </w:tc>
        <w:tc>
          <w:tcPr>
            <w:tcW w:type="dxa" w:w="2376"/>
          </w:tcPr>
          <w:p>
            <w:pPr>
              <w:spacing w:after="80" w:before="80" w:line="240" w:lineRule="auto"/>
            </w:pPr>
            <w:r>
              <w:rPr>
                <w:rFonts w:ascii="Calibri" w:hAnsi="Calibri"/>
                <w:sz w:val="19"/>
              </w:rPr>
              <w:t>ortools</w:t>
            </w:r>
          </w:p>
        </w:tc>
        <w:tc>
          <w:tcPr>
            <w:tcW w:type="dxa" w:w="1872"/>
          </w:tcPr>
          <w:p>
            <w:pPr>
              <w:spacing w:after="80" w:before="80" w:line="240" w:lineRule="auto"/>
            </w:pPr>
            <w:r>
              <w:rPr>
                <w:rFonts w:ascii="Calibri" w:hAnsi="Calibri"/>
                <w:sz w:val="19"/>
              </w:rPr>
              <w:t>—</w:t>
            </w:r>
          </w:p>
        </w:tc>
        <w:tc>
          <w:tcPr>
            <w:tcW w:type="dxa" w:w="1944"/>
          </w:tcPr>
          <w:p>
            <w:pPr>
              <w:spacing w:after="80" w:before="80" w:line="240" w:lineRule="auto"/>
            </w:pPr>
            <w:r>
              <w:rPr>
                <w:rFonts w:ascii="Calibri" w:hAnsi="Calibri"/>
                <w:sz w:val="19"/>
              </w:rPr>
              <w:t>0/1</w:t>
            </w:r>
          </w:p>
        </w:tc>
      </w:tr>
      <w:tr>
        <w:trPr>
          <w:cantSplit/>
        </w:trPr>
        <w:tc>
          <w:tcPr>
            <w:tcW w:type="dxa" w:w="3168"/>
          </w:tcPr>
          <w:p>
            <w:pPr>
              <w:spacing w:after="80" w:before="80" w:line="240" w:lineRule="auto"/>
            </w:pPr>
            <w:r>
              <w:rPr>
                <w:rFonts w:ascii="Calibri" w:hAnsi="Calibri"/>
                <w:sz w:val="19"/>
              </w:rPr>
              <w:t>Autonomia 25 km</w:t>
            </w:r>
          </w:p>
        </w:tc>
        <w:tc>
          <w:tcPr>
            <w:tcW w:type="dxa" w:w="2376"/>
          </w:tcPr>
          <w:p>
            <w:pPr>
              <w:spacing w:after="80" w:before="80" w:line="240" w:lineRule="auto"/>
            </w:pPr>
            <w:r>
              <w:rPr>
                <w:rFonts w:ascii="Calibri" w:hAnsi="Calibri"/>
                <w:sz w:val="19"/>
              </w:rPr>
              <w:t>genetic</w:t>
            </w:r>
          </w:p>
        </w:tc>
        <w:tc>
          <w:tcPr>
            <w:tcW w:type="dxa" w:w="1872"/>
          </w:tcPr>
          <w:p>
            <w:pPr>
              <w:spacing w:after="80" w:before="80" w:line="240" w:lineRule="auto"/>
            </w:pPr>
            <w:r>
              <w:rPr>
                <w:rFonts w:ascii="Calibri" w:hAnsi="Calibri"/>
                <w:sz w:val="19"/>
              </w:rPr>
              <w:t>181,362</w:t>
            </w:r>
          </w:p>
        </w:tc>
        <w:tc>
          <w:tcPr>
            <w:tcW w:type="dxa" w:w="1944"/>
          </w:tcPr>
          <w:p>
            <w:pPr>
              <w:spacing w:after="80" w:before="80" w:line="240" w:lineRule="auto"/>
            </w:pPr>
            <w:r>
              <w:rPr>
                <w:rFonts w:ascii="Calibri" w:hAnsi="Calibri"/>
                <w:sz w:val="19"/>
              </w:rPr>
              <w:t>1/1</w:t>
            </w:r>
          </w:p>
        </w:tc>
      </w:tr>
    </w:tbl>
    <w:p>
      <w:pPr>
        <w:spacing w:after="40"/>
      </w:pPr>
    </w:p>
    <w:p>
      <w:r>
        <w:t>Na variação de autonomia, OR-Tools não encontrou solução com a estratégia configurada, embora o guloso e o GA tenham encontrado rotas viáveis. Essa falha de busca não prova impossibilidade do problema. O resultado foi mantido, com diagnóstico e sem publicar uma rota inválida.</w:t>
      </w:r>
    </w:p>
    <w:p>
      <w:r>
        <w:br w:type="page"/>
      </w:r>
    </w:p>
    <w:p>
      <w:pPr>
        <w:pStyle w:val="Heading1"/>
      </w:pPr>
      <w:r>
        <w:t>11 Rotas sobre as ruas de São Paulo</w:t>
      </w:r>
    </w:p>
    <w:p>
      <w:pPr>
        <w:keepNext/>
        <w:jc w:val="center"/>
      </w:pPr>
      <w:r>
        <w:drawing>
          <wp:inline xmlns:a="http://schemas.openxmlformats.org/drawingml/2006/main" xmlns:pic="http://schemas.openxmlformats.org/drawingml/2006/picture">
            <wp:extent cx="5212080" cy="4538300"/>
            <wp:docPr id="6" name="Picture 6"/>
            <wp:cNvGraphicFramePr>
              <a:graphicFrameLocks noChangeAspect="1"/>
            </wp:cNvGraphicFramePr>
            <a:graphic>
              <a:graphicData uri="http://schemas.openxmlformats.org/drawingml/2006/picture">
                <pic:pic>
                  <pic:nvPicPr>
                    <pic:cNvPr id="0" name="sp_evaluation_12.png"/>
                    <pic:cNvPicPr/>
                  </pic:nvPicPr>
                  <pic:blipFill>
                    <a:blip r:embed="rId16"/>
                    <a:stretch>
                      <a:fillRect/>
                    </a:stretch>
                  </pic:blipFill>
                  <pic:spPr>
                    <a:xfrm>
                      <a:off x="0" y="0"/>
                      <a:ext cx="5212080" cy="4538300"/>
                    </a:xfrm>
                    <a:prstGeom prst="rect"/>
                  </pic:spPr>
                </pic:pic>
              </a:graphicData>
            </a:graphic>
          </wp:inline>
        </w:drawing>
      </w:r>
    </w:p>
    <w:p>
      <w:pPr>
        <w:pStyle w:val="Caption"/>
      </w:pPr>
      <w:r>
        <w:t>Figura 6  Rotas certificadas do cenário de 12 entregas, semente 42.</w:t>
      </w:r>
    </w:p>
    <w:p>
      <w:r>
        <w:t>As linhas acompanham as ruas e retornam ao depósito marcado por uma estrela. As cores dos marcadores representam prioridades e as linhas distinguem os veículos. A geometria é a mesma utilizada nas matrizes. O HTML correspondente permite zoom e seleção de veículos sem carregar mapas ou JavaScript externos.</w:t>
      </w:r>
    </w:p>
    <w:p>
      <w:r>
        <w:t>O traçado demonstra coerência geográfica e respeito ao sentido das vias, mas não valida condições operacionais do dia. Trânsito, bloqueios e restrições de conversão exigiriam um modelo adicional.</w:t>
      </w:r>
    </w:p>
    <w:p>
      <w:r>
        <w:br w:type="page"/>
      </w:r>
    </w:p>
    <w:p>
      <w:pPr>
        <w:pStyle w:val="Heading1"/>
      </w:pPr>
      <w:r>
        <w:t>12 Frota e chegada das entregas críticas</w:t>
      </w:r>
    </w:p>
    <w:p>
      <w:pPr>
        <w:keepNext/>
        <w:jc w:val="center"/>
      </w:pPr>
      <w:r>
        <w:drawing>
          <wp:inline xmlns:a="http://schemas.openxmlformats.org/drawingml/2006/main" xmlns:pic="http://schemas.openxmlformats.org/drawingml/2006/picture">
            <wp:extent cx="4191130" cy="2423159"/>
            <wp:docPr id="7" name="Picture 7"/>
            <wp:cNvGraphicFramePr>
              <a:graphicFrameLocks noChangeAspect="1"/>
            </wp:cNvGraphicFramePr>
            <a:graphic>
              <a:graphicData uri="http://schemas.openxmlformats.org/drawingml/2006/picture">
                <pic:pic>
                  <pic:nvPicPr>
                    <pic:cNvPr id="0" name="fleet_capacity.png"/>
                    <pic:cNvPicPr/>
                  </pic:nvPicPr>
                  <pic:blipFill>
                    <a:blip r:embed="rId17"/>
                    <a:stretch>
                      <a:fillRect/>
                    </a:stretch>
                  </pic:blipFill>
                  <pic:spPr>
                    <a:xfrm>
                      <a:off x="0" y="0"/>
                      <a:ext cx="4191130" cy="2423159"/>
                    </a:xfrm>
                    <a:prstGeom prst="rect"/>
                  </pic:spPr>
                </pic:pic>
              </a:graphicData>
            </a:graphic>
          </wp:inline>
        </w:drawing>
      </w:r>
    </w:p>
    <w:p>
      <w:pPr>
        <w:pStyle w:val="Caption"/>
      </w:pPr>
      <w:r>
        <w:t>Figura 7  Carga inicial de cada veículo como percentual de sua capacidade.</w:t>
      </w:r>
    </w:p>
    <w:p>
      <w:r>
        <w:t>A carga inicial inclui todos os pedidos da rota. Os veículos não recebem novas cargas durante o percurso e não realizam coletas. A capacidade é conferida independentemente; utilizar menos de 100% não representa desperdício sem considerar localização, autonomia e prioridades.</w:t>
      </w:r>
    </w:p>
    <w:p>
      <w:pPr>
        <w:keepNext/>
        <w:jc w:val="center"/>
      </w:pPr>
      <w:r>
        <w:drawing>
          <wp:inline xmlns:a="http://schemas.openxmlformats.org/drawingml/2006/main" xmlns:pic="http://schemas.openxmlformats.org/drawingml/2006/picture">
            <wp:extent cx="5509358" cy="2240280"/>
            <wp:docPr id="8" name="Picture 8"/>
            <wp:cNvGraphicFramePr>
              <a:graphicFrameLocks noChangeAspect="1"/>
            </wp:cNvGraphicFramePr>
            <a:graphic>
              <a:graphicData uri="http://schemas.openxmlformats.org/drawingml/2006/picture">
                <pic:pic>
                  <pic:nvPicPr>
                    <pic:cNvPr id="0" name="runtime_critical.png"/>
                    <pic:cNvPicPr/>
                  </pic:nvPicPr>
                  <pic:blipFill>
                    <a:blip r:embed="rId18"/>
                    <a:stretch>
                      <a:fillRect/>
                    </a:stretch>
                  </pic:blipFill>
                  <pic:spPr>
                    <a:xfrm>
                      <a:off x="0" y="0"/>
                      <a:ext cx="5509358" cy="2240280"/>
                    </a:xfrm>
                    <a:prstGeom prst="rect"/>
                  </pic:spPr>
                </pic:pic>
              </a:graphicData>
            </a:graphic>
          </wp:inline>
        </w:drawing>
      </w:r>
    </w:p>
    <w:p>
      <w:pPr>
        <w:pStyle w:val="Caption"/>
      </w:pPr>
      <w:r>
        <w:t>Figura 8  Tempo de execução e chegada média das entregas críticas.</w:t>
      </w:r>
    </w:p>
    <w:p>
      <w:r>
        <w:t>As chegadas usam minutos após a saída de cada veículo. O tempo de execução é a duração computacional da busca. São medidas distintas. OR-Tools tem cinco segundos; o GA tem limites de fitness e tentativas. A diferença de orçamento impede interpretar estas curvas como uma comparação de eficiência com esforço idêntico.</w:t>
      </w:r>
    </w:p>
    <w:p>
      <w:r>
        <w:br w:type="page"/>
      </w:r>
    </w:p>
    <w:p>
      <w:pPr>
        <w:pStyle w:val="Heading1"/>
      </w:pPr>
      <w:r>
        <w:t>13 Integração com a LLM e controle factual</w:t>
      </w:r>
    </w:p>
    <w:p>
      <w:r>
        <w:t>Usamos gpt-6-luna pela Responses API com saída estruturada e raciocínio configurado como none. O modelo recebe fatos extraídos de soluções certificadas, a pergunta e as opções autorizadas de organização. Ele seleciona referências, agrupa seções e identifica a sequência de entregas de cada veículo.</w:t>
      </w:r>
    </w:p>
    <w:tbl>
      <w:tblPr>
        <w:tblStyle w:val="TableGrid"/>
        <w:tblW w:type="auto" w:w="0"/>
        <w:tblLayout w:type="fixed"/>
        <w:tblLook w:firstColumn="1" w:firstRow="1" w:lastColumn="0" w:lastRow="0" w:noHBand="0" w:noVBand="1" w:val="04A0"/>
      </w:tblPr>
      <w:tblGrid>
        <w:gridCol w:w="2088"/>
        <w:gridCol w:w="7272"/>
      </w:tblGrid>
      <w:tr>
        <w:trPr>
          <w:tblHeader/>
          <w:cantSplit/>
        </w:trPr>
        <w:tc>
          <w:tcPr>
            <w:tcW w:type="dxa" w:w="2088"/>
            <w:shd w:fill="F1F4F8"/>
          </w:tcPr>
          <w:p>
            <w:pPr>
              <w:spacing w:after="80" w:before="80" w:line="240" w:lineRule="auto"/>
            </w:pPr>
            <w:r>
              <w:rPr>
                <w:rFonts w:ascii="Calibri" w:hAnsi="Calibri"/>
                <w:b/>
                <w:color w:val="285B86"/>
                <w:sz w:val="19"/>
              </w:rPr>
              <w:t>Responsabilidade</w:t>
            </w:r>
          </w:p>
        </w:tc>
        <w:tc>
          <w:tcPr>
            <w:tcW w:type="dxa" w:w="7272"/>
            <w:shd w:fill="F1F4F8"/>
          </w:tcPr>
          <w:p>
            <w:pPr>
              <w:spacing w:after="80" w:before="80" w:line="240" w:lineRule="auto"/>
            </w:pPr>
            <w:r>
              <w:rPr>
                <w:rFonts w:ascii="Calibri" w:hAnsi="Calibri"/>
                <w:b/>
                <w:color w:val="285B86"/>
                <w:sz w:val="19"/>
              </w:rPr>
              <w:t>Implementação</w:t>
            </w:r>
          </w:p>
        </w:tc>
      </w:tr>
      <w:tr>
        <w:trPr>
          <w:cantSplit/>
        </w:trPr>
        <w:tc>
          <w:tcPr>
            <w:tcW w:type="dxa" w:w="2088"/>
          </w:tcPr>
          <w:p>
            <w:pPr>
              <w:spacing w:after="80" w:before="80" w:line="240" w:lineRule="auto"/>
            </w:pPr>
            <w:r>
              <w:rPr>
                <w:rFonts w:ascii="Calibri" w:hAnsi="Calibri"/>
                <w:sz w:val="19"/>
              </w:rPr>
              <w:t>Métricas e horários</w:t>
            </w:r>
          </w:p>
        </w:tc>
        <w:tc>
          <w:tcPr>
            <w:tcW w:type="dxa" w:w="7272"/>
          </w:tcPr>
          <w:p>
            <w:pPr>
              <w:spacing w:after="80" w:before="80" w:line="240" w:lineRule="auto"/>
            </w:pPr>
            <w:r>
              <w:rPr>
                <w:rFonts w:ascii="Calibri" w:hAnsi="Calibri"/>
                <w:sz w:val="19"/>
              </w:rPr>
              <w:t>Calculados e certificados em Python</w:t>
            </w:r>
          </w:p>
        </w:tc>
      </w:tr>
      <w:tr>
        <w:trPr>
          <w:cantSplit/>
        </w:trPr>
        <w:tc>
          <w:tcPr>
            <w:tcW w:type="dxa" w:w="2088"/>
          </w:tcPr>
          <w:p>
            <w:pPr>
              <w:spacing w:after="80" w:before="80" w:line="240" w:lineRule="auto"/>
            </w:pPr>
            <w:r>
              <w:rPr>
                <w:rFonts w:ascii="Calibri" w:hAnsi="Calibri"/>
                <w:sz w:val="19"/>
              </w:rPr>
              <w:t>Instruções</w:t>
            </w:r>
          </w:p>
        </w:tc>
        <w:tc>
          <w:tcPr>
            <w:tcW w:type="dxa" w:w="7272"/>
          </w:tcPr>
          <w:p>
            <w:pPr>
              <w:spacing w:after="80" w:before="80" w:line="240" w:lineRule="auto"/>
            </w:pPr>
            <w:r>
              <w:rPr>
                <w:rFonts w:ascii="Calibri" w:hAnsi="Calibri"/>
                <w:sz w:val="19"/>
              </w:rPr>
              <w:t>Veículo, solução e ordem integral de IDs conferidos</w:t>
            </w:r>
          </w:p>
        </w:tc>
      </w:tr>
      <w:tr>
        <w:trPr>
          <w:cantSplit/>
        </w:trPr>
        <w:tc>
          <w:tcPr>
            <w:tcW w:type="dxa" w:w="2088"/>
          </w:tcPr>
          <w:p>
            <w:pPr>
              <w:spacing w:after="80" w:before="80" w:line="240" w:lineRule="auto"/>
            </w:pPr>
            <w:r>
              <w:rPr>
                <w:rFonts w:ascii="Calibri" w:hAnsi="Calibri"/>
                <w:sz w:val="19"/>
              </w:rPr>
              <w:t>Relatórios</w:t>
            </w:r>
          </w:p>
        </w:tc>
        <w:tc>
          <w:tcPr>
            <w:tcW w:type="dxa" w:w="7272"/>
          </w:tcPr>
          <w:p>
            <w:pPr>
              <w:spacing w:after="80" w:before="80" w:line="240" w:lineRule="auto"/>
            </w:pPr>
            <w:r>
              <w:rPr>
                <w:rFonts w:ascii="Calibri" w:hAnsi="Calibri"/>
                <w:sz w:val="19"/>
              </w:rPr>
              <w:t>Fatos diários e agregações semanais previamente calculados</w:t>
            </w:r>
          </w:p>
        </w:tc>
      </w:tr>
      <w:tr>
        <w:trPr>
          <w:cantSplit/>
        </w:trPr>
        <w:tc>
          <w:tcPr>
            <w:tcW w:type="dxa" w:w="2088"/>
          </w:tcPr>
          <w:p>
            <w:pPr>
              <w:spacing w:after="80" w:before="80" w:line="240" w:lineRule="auto"/>
            </w:pPr>
            <w:r>
              <w:rPr>
                <w:rFonts w:ascii="Calibri" w:hAnsi="Calibri"/>
                <w:sz w:val="19"/>
              </w:rPr>
              <w:t>Perguntas</w:t>
            </w:r>
          </w:p>
        </w:tc>
        <w:tc>
          <w:tcPr>
            <w:tcW w:type="dxa" w:w="7272"/>
          </w:tcPr>
          <w:p>
            <w:pPr>
              <w:spacing w:after="80" w:before="80" w:line="240" w:lineRule="auto"/>
            </w:pPr>
            <w:r>
              <w:rPr>
                <w:rFonts w:ascii="Calibri" w:hAnsi="Calibri"/>
                <w:sz w:val="19"/>
              </w:rPr>
              <w:t>Seleção dos fatos pertinentes ou resposta de dados insuficientes</w:t>
            </w:r>
          </w:p>
        </w:tc>
      </w:tr>
      <w:tr>
        <w:trPr>
          <w:cantSplit/>
        </w:trPr>
        <w:tc>
          <w:tcPr>
            <w:tcW w:type="dxa" w:w="2088"/>
          </w:tcPr>
          <w:p>
            <w:pPr>
              <w:spacing w:after="80" w:before="80" w:line="240" w:lineRule="auto"/>
            </w:pPr>
            <w:r>
              <w:rPr>
                <w:rFonts w:ascii="Calibri" w:hAnsi="Calibri"/>
                <w:sz w:val="19"/>
              </w:rPr>
              <w:t>Sugestões</w:t>
            </w:r>
          </w:p>
        </w:tc>
        <w:tc>
          <w:tcPr>
            <w:tcW w:type="dxa" w:w="7272"/>
          </w:tcPr>
          <w:p>
            <w:pPr>
              <w:spacing w:after="80" w:before="80" w:line="240" w:lineRule="auto"/>
            </w:pPr>
            <w:r>
              <w:rPr>
                <w:rFonts w:ascii="Calibri" w:hAnsi="Calibri"/>
                <w:sz w:val="19"/>
              </w:rPr>
              <w:t>Ações condicionais de um vocabulário explícito, sem inventar nova otimização</w:t>
            </w:r>
          </w:p>
        </w:tc>
      </w:tr>
      <w:tr>
        <w:trPr>
          <w:cantSplit/>
        </w:trPr>
        <w:tc>
          <w:tcPr>
            <w:tcW w:type="dxa" w:w="2088"/>
          </w:tcPr>
          <w:p>
            <w:pPr>
              <w:spacing w:after="80" w:before="80" w:line="240" w:lineRule="auto"/>
            </w:pPr>
            <w:r>
              <w:rPr>
                <w:rFonts w:ascii="Calibri" w:hAnsi="Calibri"/>
                <w:sz w:val="19"/>
              </w:rPr>
              <w:t>Origem</w:t>
            </w:r>
          </w:p>
        </w:tc>
        <w:tc>
          <w:tcPr>
            <w:tcW w:type="dxa" w:w="7272"/>
          </w:tcPr>
          <w:p>
            <w:pPr>
              <w:spacing w:after="80" w:before="80" w:line="240" w:lineRule="auto"/>
            </w:pPr>
            <w:r>
              <w:rPr>
                <w:rFonts w:ascii="Calibri" w:hAnsi="Calibri"/>
                <w:sz w:val="19"/>
              </w:rPr>
              <w:t>API real, cache com origem original ou teste identificado</w:t>
            </w:r>
          </w:p>
        </w:tc>
      </w:tr>
    </w:tbl>
    <w:p>
      <w:pPr>
        <w:spacing w:after="40"/>
      </w:pPr>
    </w:p>
    <w:p>
      <w:r>
        <w:t>Os valores e as frases factuais são renderizados pelo Python. O esquema limita as referências aos fatos existentes e só permite instruções no tipo correspondente. A LLM seleciona e organiza esses fatos, sem escrever livremente novos números ou afirmações clínicas. Essa escolha limita a redação e permite conferência objetiva; a utilidade ainda depende da seleção pertinente ao pedido.</w:t>
      </w:r>
    </w:p>
    <w:p>
      <w:r>
        <w:t>O primeiro prompt apresenta o contrato de seleção de fatos. O segundo explicita o papel de intérprete, o tratamento de conteúdo não confiável, os dados que não podem ser inferidos e a preservação de rotas. Os mesmos 30 casos são usados nos dois prompts.</w:t>
      </w:r>
    </w:p>
    <w:p>
      <w:r>
        <w:t>Perguntas sobre pacientes, temperatura, estoque, trânsito atual, combustível, custo financeiro e prazos clínicos não têm suporte nos dados. A resposta deve reconhecer essa ausência. Uma sugestão de alteração operacional requer nova simulação e certificação; sua menção não comprova melhoria.</w:t>
      </w:r>
    </w:p>
    <w:p>
      <w:r>
        <w:br w:type="page"/>
      </w:r>
    </w:p>
    <w:p>
      <w:pPr>
        <w:pStyle w:val="Heading1"/>
      </w:pPr>
      <w:r>
        <w:t>14 Avaliação dos prompts e orçamento da LLM</w:t>
      </w:r>
    </w:p>
    <w:p>
      <w:r>
        <w:t>O conjunto fixo contém instruções, relatórios diários e semanais, perguntas respondíveis, oito pedidos de dados ausentes e duas tentativas de indução. Avaliamos status adequado, fatos necessários e preservação da ordem. Toda resposta aceita deve manter consistência factual; a taxa útil nos casos respondíveis deve ser de pelo menos 90%.</w:t>
      </w:r>
    </w:p>
    <w:tbl>
      <w:tblPr>
        <w:tblStyle w:val="TableGrid"/>
        <w:tblW w:type="auto" w:w="0"/>
        <w:tblLayout w:type="fixed"/>
        <w:tblLook w:firstColumn="1" w:firstRow="1" w:lastColumn="0" w:lastRow="0" w:noHBand="0" w:noVBand="1" w:val="04A0"/>
      </w:tblPr>
      <w:tblGrid>
        <w:gridCol w:w="1728"/>
        <w:gridCol w:w="1440"/>
        <w:gridCol w:w="1440"/>
        <w:gridCol w:w="2376"/>
        <w:gridCol w:w="2376"/>
      </w:tblGrid>
      <w:tr>
        <w:trPr>
          <w:tblHeader/>
          <w:cantSplit/>
        </w:trPr>
        <w:tc>
          <w:tcPr>
            <w:tcW w:type="dxa" w:w="1728"/>
            <w:shd w:fill="F1F4F8"/>
          </w:tcPr>
          <w:p>
            <w:pPr>
              <w:spacing w:after="80" w:before="80" w:line="240" w:lineRule="auto"/>
            </w:pPr>
            <w:r>
              <w:rPr>
                <w:rFonts w:ascii="Calibri" w:hAnsi="Calibri"/>
                <w:b/>
                <w:color w:val="285B86"/>
                <w:sz w:val="19"/>
              </w:rPr>
              <w:t>Prompt</w:t>
            </w:r>
          </w:p>
        </w:tc>
        <w:tc>
          <w:tcPr>
            <w:tcW w:type="dxa" w:w="1440"/>
            <w:shd w:fill="F1F4F8"/>
          </w:tcPr>
          <w:p>
            <w:pPr>
              <w:spacing w:after="80" w:before="80" w:line="240" w:lineRule="auto"/>
            </w:pPr>
            <w:r>
              <w:rPr>
                <w:rFonts w:ascii="Calibri" w:hAnsi="Calibri"/>
                <w:b/>
                <w:color w:val="285B86"/>
                <w:sz w:val="19"/>
              </w:rPr>
              <w:t>Casos</w:t>
            </w:r>
          </w:p>
        </w:tc>
        <w:tc>
          <w:tcPr>
            <w:tcW w:type="dxa" w:w="1440"/>
            <w:shd w:fill="F1F4F8"/>
          </w:tcPr>
          <w:p>
            <w:pPr>
              <w:spacing w:after="80" w:before="80" w:line="240" w:lineRule="auto"/>
            </w:pPr>
            <w:r>
              <w:rPr>
                <w:rFonts w:ascii="Calibri" w:hAnsi="Calibri"/>
                <w:b/>
                <w:color w:val="285B86"/>
                <w:sz w:val="19"/>
              </w:rPr>
              <w:t>Aceitas</w:t>
            </w:r>
          </w:p>
        </w:tc>
        <w:tc>
          <w:tcPr>
            <w:tcW w:type="dxa" w:w="2376"/>
            <w:shd w:fill="F1F4F8"/>
          </w:tcPr>
          <w:p>
            <w:pPr>
              <w:spacing w:after="80" w:before="80" w:line="240" w:lineRule="auto"/>
            </w:pPr>
            <w:r>
              <w:rPr>
                <w:rFonts w:ascii="Calibri" w:hAnsi="Calibri"/>
                <w:b/>
                <w:color w:val="285B86"/>
                <w:sz w:val="19"/>
              </w:rPr>
              <w:t>Utilidade</w:t>
            </w:r>
          </w:p>
        </w:tc>
        <w:tc>
          <w:tcPr>
            <w:tcW w:type="dxa" w:w="2376"/>
            <w:shd w:fill="F1F4F8"/>
          </w:tcPr>
          <w:p>
            <w:pPr>
              <w:spacing w:after="80" w:before="80" w:line="240" w:lineRule="auto"/>
            </w:pPr>
            <w:r>
              <w:rPr>
                <w:rFonts w:ascii="Calibri" w:hAnsi="Calibri"/>
                <w:b/>
                <w:color w:val="285B86"/>
                <w:sz w:val="19"/>
              </w:rPr>
              <w:t>Clareza</w:t>
            </w:r>
          </w:p>
        </w:tc>
      </w:tr>
      <w:tr>
        <w:trPr>
          <w:cantSplit/>
        </w:trPr>
        <w:tc>
          <w:tcPr>
            <w:tcW w:type="dxa" w:w="1728"/>
          </w:tcPr>
          <w:p>
            <w:pPr>
              <w:spacing w:after="80" w:before="80" w:line="240" w:lineRule="auto"/>
            </w:pPr>
            <w:r>
              <w:rPr>
                <w:rFonts w:ascii="Calibri" w:hAnsi="Calibri"/>
                <w:sz w:val="19"/>
              </w:rPr>
              <w:t>v1</w:t>
            </w:r>
          </w:p>
        </w:tc>
        <w:tc>
          <w:tcPr>
            <w:tcW w:type="dxa" w:w="1440"/>
          </w:tcPr>
          <w:p>
            <w:pPr>
              <w:spacing w:after="80" w:before="80" w:line="240" w:lineRule="auto"/>
            </w:pPr>
            <w:r>
              <w:rPr>
                <w:rFonts w:ascii="Calibri" w:hAnsi="Calibri"/>
                <w:sz w:val="19"/>
              </w:rPr>
              <w:t>30</w:t>
            </w:r>
          </w:p>
        </w:tc>
        <w:tc>
          <w:tcPr>
            <w:tcW w:type="dxa" w:w="1440"/>
          </w:tcPr>
          <w:p>
            <w:pPr>
              <w:spacing w:after="80" w:before="80" w:line="240" w:lineRule="auto"/>
            </w:pPr>
            <w:r>
              <w:rPr>
                <w:rFonts w:ascii="Calibri" w:hAnsi="Calibri"/>
                <w:sz w:val="19"/>
              </w:rPr>
              <w:t>27</w:t>
            </w:r>
          </w:p>
        </w:tc>
        <w:tc>
          <w:tcPr>
            <w:tcW w:type="dxa" w:w="2376"/>
          </w:tcPr>
          <w:p>
            <w:pPr>
              <w:spacing w:after="80" w:before="80" w:line="240" w:lineRule="auto"/>
            </w:pPr>
            <w:r>
              <w:rPr>
                <w:rFonts w:ascii="Calibri" w:hAnsi="Calibri"/>
                <w:sz w:val="19"/>
              </w:rPr>
              <w:t>90,9%</w:t>
            </w:r>
          </w:p>
        </w:tc>
        <w:tc>
          <w:tcPr>
            <w:tcW w:type="dxa" w:w="2376"/>
          </w:tcPr>
          <w:p>
            <w:pPr>
              <w:spacing w:after="80" w:before="80" w:line="240" w:lineRule="auto"/>
            </w:pPr>
            <w:r>
              <w:rPr>
                <w:rFonts w:ascii="Calibri" w:hAnsi="Calibri"/>
                <w:sz w:val="19"/>
              </w:rPr>
              <w:t>4,93</w:t>
            </w:r>
          </w:p>
        </w:tc>
      </w:tr>
      <w:tr>
        <w:trPr>
          <w:cantSplit/>
        </w:trPr>
        <w:tc>
          <w:tcPr>
            <w:tcW w:type="dxa" w:w="1728"/>
          </w:tcPr>
          <w:p>
            <w:pPr>
              <w:spacing w:after="80" w:before="80" w:line="240" w:lineRule="auto"/>
            </w:pPr>
            <w:r>
              <w:rPr>
                <w:rFonts w:ascii="Calibri" w:hAnsi="Calibri"/>
                <w:sz w:val="19"/>
              </w:rPr>
              <w:t>v2</w:t>
            </w:r>
          </w:p>
        </w:tc>
        <w:tc>
          <w:tcPr>
            <w:tcW w:type="dxa" w:w="1440"/>
          </w:tcPr>
          <w:p>
            <w:pPr>
              <w:spacing w:after="80" w:before="80" w:line="240" w:lineRule="auto"/>
            </w:pPr>
            <w:r>
              <w:rPr>
                <w:rFonts w:ascii="Calibri" w:hAnsi="Calibri"/>
                <w:sz w:val="19"/>
              </w:rPr>
              <w:t>30</w:t>
            </w:r>
          </w:p>
        </w:tc>
        <w:tc>
          <w:tcPr>
            <w:tcW w:type="dxa" w:w="1440"/>
          </w:tcPr>
          <w:p>
            <w:pPr>
              <w:spacing w:after="80" w:before="80" w:line="240" w:lineRule="auto"/>
            </w:pPr>
            <w:r>
              <w:rPr>
                <w:rFonts w:ascii="Calibri" w:hAnsi="Calibri"/>
                <w:sz w:val="19"/>
              </w:rPr>
              <w:t>30</w:t>
            </w:r>
          </w:p>
        </w:tc>
        <w:tc>
          <w:tcPr>
            <w:tcW w:type="dxa" w:w="2376"/>
          </w:tcPr>
          <w:p>
            <w:pPr>
              <w:spacing w:after="80" w:before="80" w:line="240" w:lineRule="auto"/>
            </w:pPr>
            <w:r>
              <w:rPr>
                <w:rFonts w:ascii="Calibri" w:hAnsi="Calibri"/>
                <w:sz w:val="19"/>
              </w:rPr>
              <w:t>100,0%</w:t>
            </w:r>
          </w:p>
        </w:tc>
        <w:tc>
          <w:tcPr>
            <w:tcW w:type="dxa" w:w="2376"/>
          </w:tcPr>
          <w:p>
            <w:pPr>
              <w:spacing w:after="80" w:before="80" w:line="240" w:lineRule="auto"/>
            </w:pPr>
            <w:r>
              <w:rPr>
                <w:rFonts w:ascii="Calibri" w:hAnsi="Calibri"/>
                <w:sz w:val="19"/>
              </w:rPr>
              <w:t>4,83</w:t>
            </w:r>
          </w:p>
        </w:tc>
      </w:tr>
    </w:tbl>
    <w:p>
      <w:pPr>
        <w:spacing w:after="40"/>
      </w:pPr>
    </w:p>
    <w:p>
      <w:r>
        <w:t>O resultado do aceite da LLM foi aprovado, com prompt selecionado v2. As respostas rejeitadas permanecem nos registros e reduzem a taxa de utilidade. A origem e o consumo das chamadas são preservados.</w:t>
      </w:r>
    </w:p>
    <w:p>
      <w:r>
        <w:t>A rubrica de clareza considera duplicação, excesso de seções e volume de fatos numa pergunta direta. Avalia uma apresentação controlada; não mede empatia, compreensão clínica ou qualidade de prosa livre. Esse limite deve acompanhar a interpretação das notas.</w:t>
      </w:r>
    </w:p>
    <w:p>
      <w:r>
        <w:t>A rodada inicial falhou: utilidade de 81,8% e 68,2%, com seis dos oito pedidos sem dados corretos em cada prompt. A segunda rodada ainda confundiu uma pergunta sobre recuperação clínica com premissas logísticas. Preservamos ambas e seus custos. Revisamos listas vazias, índices, indução e ausência de informação clínica, além de limitar referências aos fatos existentes. O contrato final é comum aos dois prompts. Como a revisão usou estes casos, as taxas não estimam generalização para perguntas novas.</w:t>
      </w:r>
    </w:p>
    <w:p>
      <w:r>
        <w:t>Antes de cada chamada, a API conta os tokens de entrada e o ledger SQLite reserva o custo máximo, dentro de US$ 1 acumulado. A reserva usa limite conservador de US$ 0,125/milhão de entrada e US$ 0,50/milhão de saída. O uso retornado é reconciliado, e timeouts sem consumo conhecido mantêm a reserva. Não há retries automáticos do SDK.</w:t>
      </w:r>
    </w:p>
    <w:p>
      <w:r>
        <w:t>Compromisso conservador acumulado: US$ 0,085726, em 180 chamadas contabilizadas. O teto inclui falhas, repetições e saídas incompletas.</w:t>
      </w:r>
    </w:p>
    <w:p>
      <w:r>
        <w:t>A chave fica fora do Git e dos notebooks. Respostas de cache são recertificadas contra os fatos atuais e mantêm a origem original. O snapshot JSON do ledger permite reconstruir o banco local conservando o gasto do projeto.</w:t>
      </w:r>
    </w:p>
    <w:p>
      <w:r>
        <w:br w:type="page"/>
      </w:r>
    </w:p>
    <w:p>
      <w:pPr>
        <w:pStyle w:val="Heading1"/>
      </w:pPr>
      <w:r>
        <w:t>15 Semana simulada</w:t>
      </w:r>
    </w:p>
    <w:p>
      <w:pPr>
        <w:keepNext/>
        <w:jc w:val="center"/>
      </w:pPr>
      <w:r>
        <w:drawing>
          <wp:inline xmlns:a="http://schemas.openxmlformats.org/drawingml/2006/main" xmlns:pic="http://schemas.openxmlformats.org/drawingml/2006/picture">
            <wp:extent cx="4780454" cy="2423160"/>
            <wp:docPr id="9" name="Picture 9"/>
            <wp:cNvGraphicFramePr>
              <a:graphicFrameLocks noChangeAspect="1"/>
            </wp:cNvGraphicFramePr>
            <a:graphic>
              <a:graphicData uri="http://schemas.openxmlformats.org/drawingml/2006/picture">
                <pic:pic>
                  <pic:nvPicPr>
                    <pic:cNvPr id="0" name="weekly_distance.png"/>
                    <pic:cNvPicPr/>
                  </pic:nvPicPr>
                  <pic:blipFill>
                    <a:blip r:embed="rId19"/>
                    <a:stretch>
                      <a:fillRect/>
                    </a:stretch>
                  </pic:blipFill>
                  <pic:spPr>
                    <a:xfrm>
                      <a:off x="0" y="0"/>
                      <a:ext cx="4780454" cy="2423160"/>
                    </a:xfrm>
                    <a:prstGeom prst="rect"/>
                  </pic:spPr>
                </pic:pic>
              </a:graphicData>
            </a:graphic>
          </wp:inline>
        </w:drawing>
      </w:r>
    </w:p>
    <w:p>
      <w:pPr>
        <w:pStyle w:val="Caption"/>
      </w:pPr>
      <w:r>
        <w:t>Figura 9  Distância diária dos sete cenários fictícios.</w:t>
      </w:r>
    </w:p>
    <w:tbl>
      <w:tblPr>
        <w:tblStyle w:val="TableGrid"/>
        <w:tblW w:type="auto" w:w="0"/>
        <w:tblLayout w:type="fixed"/>
        <w:tblLook w:firstColumn="1" w:firstRow="1" w:lastColumn="0" w:lastRow="0" w:noHBand="0" w:noVBand="1" w:val="04A0"/>
      </w:tblPr>
      <w:tblGrid>
        <w:gridCol w:w="2880"/>
        <w:gridCol w:w="1800"/>
        <w:gridCol w:w="2520"/>
        <w:gridCol w:w="2160"/>
      </w:tblGrid>
      <w:tr>
        <w:trPr>
          <w:tblHeader/>
          <w:cantSplit/>
        </w:trPr>
        <w:tc>
          <w:tcPr>
            <w:tcW w:type="dxa" w:w="2880"/>
            <w:shd w:fill="F1F4F8"/>
          </w:tcPr>
          <w:p>
            <w:pPr>
              <w:spacing w:after="80" w:before="80" w:line="240" w:lineRule="auto"/>
            </w:pPr>
            <w:r>
              <w:rPr>
                <w:rFonts w:ascii="Calibri" w:hAnsi="Calibri"/>
                <w:b/>
                <w:color w:val="285B86"/>
                <w:sz w:val="19"/>
              </w:rPr>
              <w:t>Dia simulado</w:t>
            </w:r>
          </w:p>
        </w:tc>
        <w:tc>
          <w:tcPr>
            <w:tcW w:type="dxa" w:w="1800"/>
            <w:shd w:fill="F1F4F8"/>
          </w:tcPr>
          <w:p>
            <w:pPr>
              <w:spacing w:after="80" w:before="80" w:line="240" w:lineRule="auto"/>
            </w:pPr>
            <w:r>
              <w:rPr>
                <w:rFonts w:ascii="Calibri" w:hAnsi="Calibri"/>
                <w:b/>
                <w:color w:val="285B86"/>
                <w:sz w:val="19"/>
              </w:rPr>
              <w:t>Entregas</w:t>
            </w:r>
          </w:p>
        </w:tc>
        <w:tc>
          <w:tcPr>
            <w:tcW w:type="dxa" w:w="2520"/>
            <w:shd w:fill="F1F4F8"/>
          </w:tcPr>
          <w:p>
            <w:pPr>
              <w:spacing w:after="80" w:before="80" w:line="240" w:lineRule="auto"/>
            </w:pPr>
            <w:r>
              <w:rPr>
                <w:rFonts w:ascii="Calibri" w:hAnsi="Calibri"/>
                <w:b/>
                <w:color w:val="285B86"/>
                <w:sz w:val="19"/>
              </w:rPr>
              <w:t>Distância km</w:t>
            </w:r>
          </w:p>
        </w:tc>
        <w:tc>
          <w:tcPr>
            <w:tcW w:type="dxa" w:w="2160"/>
            <w:shd w:fill="F1F4F8"/>
          </w:tcPr>
          <w:p>
            <w:pPr>
              <w:spacing w:after="80" w:before="80" w:line="240" w:lineRule="auto"/>
            </w:pPr>
            <w:r>
              <w:rPr>
                <w:rFonts w:ascii="Calibri" w:hAnsi="Calibri"/>
                <w:b/>
                <w:color w:val="285B86"/>
                <w:sz w:val="19"/>
              </w:rPr>
              <w:t>Veículos</w:t>
            </w:r>
          </w:p>
        </w:tc>
      </w:tr>
      <w:tr>
        <w:trPr>
          <w:cantSplit/>
        </w:trPr>
        <w:tc>
          <w:tcPr>
            <w:tcW w:type="dxa" w:w="2880"/>
          </w:tcPr>
          <w:p>
            <w:pPr>
              <w:spacing w:after="80" w:before="80" w:line="240" w:lineRule="auto"/>
            </w:pPr>
            <w:r>
              <w:rPr>
                <w:rFonts w:ascii="Calibri" w:hAnsi="Calibri"/>
                <w:sz w:val="19"/>
              </w:rPr>
              <w:t>2026-10-05</w:t>
            </w:r>
          </w:p>
        </w:tc>
        <w:tc>
          <w:tcPr>
            <w:tcW w:type="dxa" w:w="1800"/>
          </w:tcPr>
          <w:p>
            <w:pPr>
              <w:spacing w:after="80" w:before="80" w:line="240" w:lineRule="auto"/>
            </w:pPr>
            <w:r>
              <w:rPr>
                <w:rFonts w:ascii="Calibri" w:hAnsi="Calibri"/>
                <w:sz w:val="19"/>
              </w:rPr>
              <w:t>12</w:t>
            </w:r>
          </w:p>
        </w:tc>
        <w:tc>
          <w:tcPr>
            <w:tcW w:type="dxa" w:w="2520"/>
          </w:tcPr>
          <w:p>
            <w:pPr>
              <w:spacing w:after="80" w:before="80" w:line="240" w:lineRule="auto"/>
            </w:pPr>
            <w:r>
              <w:rPr>
                <w:rFonts w:ascii="Calibri" w:hAnsi="Calibri"/>
                <w:sz w:val="19"/>
              </w:rPr>
              <w:t>45,652</w:t>
            </w:r>
          </w:p>
        </w:tc>
        <w:tc>
          <w:tcPr>
            <w:tcW w:type="dxa" w:w="2160"/>
          </w:tcPr>
          <w:p>
            <w:pPr>
              <w:spacing w:after="80" w:before="80" w:line="240" w:lineRule="auto"/>
            </w:pPr>
            <w:r>
              <w:rPr>
                <w:rFonts w:ascii="Calibri" w:hAnsi="Calibri"/>
                <w:sz w:val="19"/>
              </w:rPr>
              <w:t>2</w:t>
            </w:r>
          </w:p>
        </w:tc>
      </w:tr>
      <w:tr>
        <w:trPr>
          <w:cantSplit/>
        </w:trPr>
        <w:tc>
          <w:tcPr>
            <w:tcW w:type="dxa" w:w="2880"/>
          </w:tcPr>
          <w:p>
            <w:pPr>
              <w:spacing w:after="80" w:before="80" w:line="240" w:lineRule="auto"/>
            </w:pPr>
            <w:r>
              <w:rPr>
                <w:rFonts w:ascii="Calibri" w:hAnsi="Calibri"/>
                <w:sz w:val="19"/>
              </w:rPr>
              <w:t>2026-10-06</w:t>
            </w:r>
          </w:p>
        </w:tc>
        <w:tc>
          <w:tcPr>
            <w:tcW w:type="dxa" w:w="1800"/>
          </w:tcPr>
          <w:p>
            <w:pPr>
              <w:spacing w:after="80" w:before="80" w:line="240" w:lineRule="auto"/>
            </w:pPr>
            <w:r>
              <w:rPr>
                <w:rFonts w:ascii="Calibri" w:hAnsi="Calibri"/>
                <w:sz w:val="19"/>
              </w:rPr>
              <w:t>12</w:t>
            </w:r>
          </w:p>
        </w:tc>
        <w:tc>
          <w:tcPr>
            <w:tcW w:type="dxa" w:w="2520"/>
          </w:tcPr>
          <w:p>
            <w:pPr>
              <w:spacing w:after="80" w:before="80" w:line="240" w:lineRule="auto"/>
            </w:pPr>
            <w:r>
              <w:rPr>
                <w:rFonts w:ascii="Calibri" w:hAnsi="Calibri"/>
                <w:sz w:val="19"/>
              </w:rPr>
              <w:t>49,233</w:t>
            </w:r>
          </w:p>
        </w:tc>
        <w:tc>
          <w:tcPr>
            <w:tcW w:type="dxa" w:w="2160"/>
          </w:tcPr>
          <w:p>
            <w:pPr>
              <w:spacing w:after="80" w:before="80" w:line="240" w:lineRule="auto"/>
            </w:pPr>
            <w:r>
              <w:rPr>
                <w:rFonts w:ascii="Calibri" w:hAnsi="Calibri"/>
                <w:sz w:val="19"/>
              </w:rPr>
              <w:t>2</w:t>
            </w:r>
          </w:p>
        </w:tc>
      </w:tr>
      <w:tr>
        <w:trPr>
          <w:cantSplit/>
        </w:trPr>
        <w:tc>
          <w:tcPr>
            <w:tcW w:type="dxa" w:w="2880"/>
          </w:tcPr>
          <w:p>
            <w:pPr>
              <w:spacing w:after="80" w:before="80" w:line="240" w:lineRule="auto"/>
            </w:pPr>
            <w:r>
              <w:rPr>
                <w:rFonts w:ascii="Calibri" w:hAnsi="Calibri"/>
                <w:sz w:val="19"/>
              </w:rPr>
              <w:t>2026-10-07</w:t>
            </w:r>
          </w:p>
        </w:tc>
        <w:tc>
          <w:tcPr>
            <w:tcW w:type="dxa" w:w="1800"/>
          </w:tcPr>
          <w:p>
            <w:pPr>
              <w:spacing w:after="80" w:before="80" w:line="240" w:lineRule="auto"/>
            </w:pPr>
            <w:r>
              <w:rPr>
                <w:rFonts w:ascii="Calibri" w:hAnsi="Calibri"/>
                <w:sz w:val="19"/>
              </w:rPr>
              <w:t>12</w:t>
            </w:r>
          </w:p>
        </w:tc>
        <w:tc>
          <w:tcPr>
            <w:tcW w:type="dxa" w:w="2520"/>
          </w:tcPr>
          <w:p>
            <w:pPr>
              <w:spacing w:after="80" w:before="80" w:line="240" w:lineRule="auto"/>
            </w:pPr>
            <w:r>
              <w:rPr>
                <w:rFonts w:ascii="Calibri" w:hAnsi="Calibri"/>
                <w:sz w:val="19"/>
              </w:rPr>
              <w:t>42,574</w:t>
            </w:r>
          </w:p>
        </w:tc>
        <w:tc>
          <w:tcPr>
            <w:tcW w:type="dxa" w:w="2160"/>
          </w:tcPr>
          <w:p>
            <w:pPr>
              <w:spacing w:after="80" w:before="80" w:line="240" w:lineRule="auto"/>
            </w:pPr>
            <w:r>
              <w:rPr>
                <w:rFonts w:ascii="Calibri" w:hAnsi="Calibri"/>
                <w:sz w:val="19"/>
              </w:rPr>
              <w:t>2</w:t>
            </w:r>
          </w:p>
        </w:tc>
      </w:tr>
      <w:tr>
        <w:trPr>
          <w:cantSplit/>
        </w:trPr>
        <w:tc>
          <w:tcPr>
            <w:tcW w:type="dxa" w:w="2880"/>
          </w:tcPr>
          <w:p>
            <w:pPr>
              <w:spacing w:after="80" w:before="80" w:line="240" w:lineRule="auto"/>
            </w:pPr>
            <w:r>
              <w:rPr>
                <w:rFonts w:ascii="Calibri" w:hAnsi="Calibri"/>
                <w:sz w:val="19"/>
              </w:rPr>
              <w:t>2026-10-08</w:t>
            </w:r>
          </w:p>
        </w:tc>
        <w:tc>
          <w:tcPr>
            <w:tcW w:type="dxa" w:w="1800"/>
          </w:tcPr>
          <w:p>
            <w:pPr>
              <w:spacing w:after="80" w:before="80" w:line="240" w:lineRule="auto"/>
            </w:pPr>
            <w:r>
              <w:rPr>
                <w:rFonts w:ascii="Calibri" w:hAnsi="Calibri"/>
                <w:sz w:val="19"/>
              </w:rPr>
              <w:t>12</w:t>
            </w:r>
          </w:p>
        </w:tc>
        <w:tc>
          <w:tcPr>
            <w:tcW w:type="dxa" w:w="2520"/>
          </w:tcPr>
          <w:p>
            <w:pPr>
              <w:spacing w:after="80" w:before="80" w:line="240" w:lineRule="auto"/>
            </w:pPr>
            <w:r>
              <w:rPr>
                <w:rFonts w:ascii="Calibri" w:hAnsi="Calibri"/>
                <w:sz w:val="19"/>
              </w:rPr>
              <w:t>46,786</w:t>
            </w:r>
          </w:p>
        </w:tc>
        <w:tc>
          <w:tcPr>
            <w:tcW w:type="dxa" w:w="2160"/>
          </w:tcPr>
          <w:p>
            <w:pPr>
              <w:spacing w:after="80" w:before="80" w:line="240" w:lineRule="auto"/>
            </w:pPr>
            <w:r>
              <w:rPr>
                <w:rFonts w:ascii="Calibri" w:hAnsi="Calibri"/>
                <w:sz w:val="19"/>
              </w:rPr>
              <w:t>2</w:t>
            </w:r>
          </w:p>
        </w:tc>
      </w:tr>
      <w:tr>
        <w:trPr>
          <w:cantSplit/>
        </w:trPr>
        <w:tc>
          <w:tcPr>
            <w:tcW w:type="dxa" w:w="2880"/>
          </w:tcPr>
          <w:p>
            <w:pPr>
              <w:spacing w:after="80" w:before="80" w:line="240" w:lineRule="auto"/>
            </w:pPr>
            <w:r>
              <w:rPr>
                <w:rFonts w:ascii="Calibri" w:hAnsi="Calibri"/>
                <w:sz w:val="19"/>
              </w:rPr>
              <w:t>2026-10-09</w:t>
            </w:r>
          </w:p>
        </w:tc>
        <w:tc>
          <w:tcPr>
            <w:tcW w:type="dxa" w:w="1800"/>
          </w:tcPr>
          <w:p>
            <w:pPr>
              <w:spacing w:after="80" w:before="80" w:line="240" w:lineRule="auto"/>
            </w:pPr>
            <w:r>
              <w:rPr>
                <w:rFonts w:ascii="Calibri" w:hAnsi="Calibri"/>
                <w:sz w:val="19"/>
              </w:rPr>
              <w:t>12</w:t>
            </w:r>
          </w:p>
        </w:tc>
        <w:tc>
          <w:tcPr>
            <w:tcW w:type="dxa" w:w="2520"/>
          </w:tcPr>
          <w:p>
            <w:pPr>
              <w:spacing w:after="80" w:before="80" w:line="240" w:lineRule="auto"/>
            </w:pPr>
            <w:r>
              <w:rPr>
                <w:rFonts w:ascii="Calibri" w:hAnsi="Calibri"/>
                <w:sz w:val="19"/>
              </w:rPr>
              <w:t>41,601</w:t>
            </w:r>
          </w:p>
        </w:tc>
        <w:tc>
          <w:tcPr>
            <w:tcW w:type="dxa" w:w="2160"/>
          </w:tcPr>
          <w:p>
            <w:pPr>
              <w:spacing w:after="80" w:before="80" w:line="240" w:lineRule="auto"/>
            </w:pPr>
            <w:r>
              <w:rPr>
                <w:rFonts w:ascii="Calibri" w:hAnsi="Calibri"/>
                <w:sz w:val="19"/>
              </w:rPr>
              <w:t>2</w:t>
            </w:r>
          </w:p>
        </w:tc>
      </w:tr>
      <w:tr>
        <w:trPr>
          <w:cantSplit/>
        </w:trPr>
        <w:tc>
          <w:tcPr>
            <w:tcW w:type="dxa" w:w="2880"/>
          </w:tcPr>
          <w:p>
            <w:pPr>
              <w:spacing w:after="80" w:before="80" w:line="240" w:lineRule="auto"/>
            </w:pPr>
            <w:r>
              <w:rPr>
                <w:rFonts w:ascii="Calibri" w:hAnsi="Calibri"/>
                <w:sz w:val="19"/>
              </w:rPr>
              <w:t>2026-10-10</w:t>
            </w:r>
          </w:p>
        </w:tc>
        <w:tc>
          <w:tcPr>
            <w:tcW w:type="dxa" w:w="1800"/>
          </w:tcPr>
          <w:p>
            <w:pPr>
              <w:spacing w:after="80" w:before="80" w:line="240" w:lineRule="auto"/>
            </w:pPr>
            <w:r>
              <w:rPr>
                <w:rFonts w:ascii="Calibri" w:hAnsi="Calibri"/>
                <w:sz w:val="19"/>
              </w:rPr>
              <w:t>12</w:t>
            </w:r>
          </w:p>
        </w:tc>
        <w:tc>
          <w:tcPr>
            <w:tcW w:type="dxa" w:w="2520"/>
          </w:tcPr>
          <w:p>
            <w:pPr>
              <w:spacing w:after="80" w:before="80" w:line="240" w:lineRule="auto"/>
            </w:pPr>
            <w:r>
              <w:rPr>
                <w:rFonts w:ascii="Calibri" w:hAnsi="Calibri"/>
                <w:sz w:val="19"/>
              </w:rPr>
              <w:t>40,437</w:t>
            </w:r>
          </w:p>
        </w:tc>
        <w:tc>
          <w:tcPr>
            <w:tcW w:type="dxa" w:w="2160"/>
          </w:tcPr>
          <w:p>
            <w:pPr>
              <w:spacing w:after="80" w:before="80" w:line="240" w:lineRule="auto"/>
            </w:pPr>
            <w:r>
              <w:rPr>
                <w:rFonts w:ascii="Calibri" w:hAnsi="Calibri"/>
                <w:sz w:val="19"/>
              </w:rPr>
              <w:t>2</w:t>
            </w:r>
          </w:p>
        </w:tc>
      </w:tr>
      <w:tr>
        <w:trPr>
          <w:cantSplit/>
        </w:trPr>
        <w:tc>
          <w:tcPr>
            <w:tcW w:type="dxa" w:w="2880"/>
          </w:tcPr>
          <w:p>
            <w:pPr>
              <w:spacing w:after="80" w:before="80" w:line="240" w:lineRule="auto"/>
            </w:pPr>
            <w:r>
              <w:rPr>
                <w:rFonts w:ascii="Calibri" w:hAnsi="Calibri"/>
                <w:sz w:val="19"/>
              </w:rPr>
              <w:t>2026-10-11</w:t>
            </w:r>
          </w:p>
        </w:tc>
        <w:tc>
          <w:tcPr>
            <w:tcW w:type="dxa" w:w="1800"/>
          </w:tcPr>
          <w:p>
            <w:pPr>
              <w:spacing w:after="80" w:before="80" w:line="240" w:lineRule="auto"/>
            </w:pPr>
            <w:r>
              <w:rPr>
                <w:rFonts w:ascii="Calibri" w:hAnsi="Calibri"/>
                <w:sz w:val="19"/>
              </w:rPr>
              <w:t>12</w:t>
            </w:r>
          </w:p>
        </w:tc>
        <w:tc>
          <w:tcPr>
            <w:tcW w:type="dxa" w:w="2520"/>
          </w:tcPr>
          <w:p>
            <w:pPr>
              <w:spacing w:after="80" w:before="80" w:line="240" w:lineRule="auto"/>
            </w:pPr>
            <w:r>
              <w:rPr>
                <w:rFonts w:ascii="Calibri" w:hAnsi="Calibri"/>
                <w:sz w:val="19"/>
              </w:rPr>
              <w:t>46,805</w:t>
            </w:r>
          </w:p>
        </w:tc>
        <w:tc>
          <w:tcPr>
            <w:tcW w:type="dxa" w:w="2160"/>
          </w:tcPr>
          <w:p>
            <w:pPr>
              <w:spacing w:after="80" w:before="80" w:line="240" w:lineRule="auto"/>
            </w:pPr>
            <w:r>
              <w:rPr>
                <w:rFonts w:ascii="Calibri" w:hAnsi="Calibri"/>
                <w:sz w:val="19"/>
              </w:rPr>
              <w:t>2</w:t>
            </w:r>
          </w:p>
        </w:tc>
      </w:tr>
    </w:tbl>
    <w:p>
      <w:pPr>
        <w:spacing w:after="40"/>
      </w:pPr>
    </w:p>
    <w:p>
      <w:r>
        <w:t>O período contém 84 entregas e 313,088 km planejados. A soma dos veículos usados em cada dia representa veículos-dia; não é uma contagem de veículos físicos distintos.</w:t>
      </w:r>
    </w:p>
    <w:p>
      <w:r>
        <w:t>A variação entre dias resulta das localizações, cargas e prioridades sorteadas. Não representa histórico de desempenho de hospitais. O relatório semanal interpreta os totais calculados e preserva as premissas de tempo e simulação.</w:t>
      </w:r>
    </w:p>
    <w:p>
      <w:r>
        <w:br w:type="page"/>
      </w:r>
    </w:p>
    <w:p>
      <w:pPr>
        <w:pStyle w:val="Heading1"/>
      </w:pPr>
      <w:r>
        <w:t>16 Verificação e reprodução</w:t>
      </w:r>
    </w:p>
    <w:p>
      <w:r>
        <w:t>O certificador independente recalcula visitas, carga, distância, autonomia, horários e métricas sem usar o fitness ou a reparação. O oráculo enumera permutações e divisões de rotas em casos pequenos. Os testes incluem limites exatos, assimetria, entregas no mesmo endereço, pedidos impossíveis, dados inválidos e adulterações de soluções.</w:t>
      </w:r>
    </w:p>
    <w:p>
      <w:r>
        <w:t>O último conjunto registrado contém 53 casos de teste. O XML e o log preservam os resultados e os nomes dos grupos executados.</w:t>
      </w:r>
    </w:p>
    <w:p>
      <w:r>
        <w:t>Na API, verificamos um processo Uvicorn com HTTP real: saúde, Swagger, otimização, consulta persistida e respostas a IDs inexistentes e solicitações inválidas. Os endpoints da LLM dependem de sua própria evidência real. Uma resposta de indisponibilidade não aprova a integração com o provedor.</w:t>
      </w:r>
    </w:p>
    <w:p>
      <w:r>
        <w:t>A conferência geográfica reconstrói matrizes e geometrias a partir do snapshot salvo. Os mapas são abertos no navegador e as figuras estáticas são inspecionadas. Os dois notebooks executam em kernels novos. O relatório é convertido em páginas PNG para conferir tabelas, figuras, quebras de página e legibilidade.</w:t>
      </w:r>
    </w:p>
    <w:tbl>
      <w:tblPr>
        <w:tblStyle w:val="TableGrid"/>
        <w:tblW w:type="auto" w:w="0"/>
        <w:tblLayout w:type="fixed"/>
        <w:tblLook w:firstColumn="1" w:firstRow="1" w:lastColumn="0" w:lastRow="0" w:noHBand="0" w:noVBand="1" w:val="04A0"/>
      </w:tblPr>
      <w:tblGrid>
        <w:gridCol w:w="5040"/>
        <w:gridCol w:w="4320"/>
      </w:tblGrid>
      <w:tr>
        <w:trPr>
          <w:tblHeader/>
          <w:cantSplit/>
        </w:trPr>
        <w:tc>
          <w:tcPr>
            <w:tcW w:type="dxa" w:w="5040"/>
            <w:shd w:fill="F1F4F8"/>
          </w:tcPr>
          <w:p>
            <w:pPr>
              <w:spacing w:after="80" w:before="80" w:line="240" w:lineRule="auto"/>
            </w:pPr>
            <w:r>
              <w:rPr>
                <w:rFonts w:ascii="Calibri" w:hAnsi="Calibri"/>
                <w:b/>
                <w:color w:val="285B86"/>
                <w:sz w:val="19"/>
              </w:rPr>
              <w:t>Comando</w:t>
            </w:r>
          </w:p>
        </w:tc>
        <w:tc>
          <w:tcPr>
            <w:tcW w:type="dxa" w:w="4320"/>
            <w:shd w:fill="F1F4F8"/>
          </w:tcPr>
          <w:p>
            <w:pPr>
              <w:spacing w:after="80" w:before="80" w:line="240" w:lineRule="auto"/>
            </w:pPr>
            <w:r>
              <w:rPr>
                <w:rFonts w:ascii="Calibri" w:hAnsi="Calibri"/>
                <w:b/>
                <w:color w:val="285B86"/>
                <w:sz w:val="19"/>
              </w:rPr>
              <w:t>Finalidade</w:t>
            </w:r>
          </w:p>
        </w:tc>
      </w:tr>
      <w:tr>
        <w:trPr>
          <w:cantSplit/>
        </w:trPr>
        <w:tc>
          <w:tcPr>
            <w:tcW w:type="dxa" w:w="5040"/>
          </w:tcPr>
          <w:p>
            <w:pPr>
              <w:spacing w:after="80" w:before="80" w:line="240" w:lineRule="auto"/>
            </w:pPr>
            <w:r>
              <w:rPr>
                <w:rFonts w:ascii="Calibri" w:hAnsi="Calibri"/>
                <w:sz w:val="19"/>
              </w:rPr>
              <w:t>tc2 experimentos</w:t>
            </w:r>
          </w:p>
        </w:tc>
        <w:tc>
          <w:tcPr>
            <w:tcW w:type="dxa" w:w="4320"/>
          </w:tcPr>
          <w:p>
            <w:pPr>
              <w:spacing w:after="80" w:before="80" w:line="240" w:lineRule="auto"/>
            </w:pPr>
            <w:r>
              <w:rPr>
                <w:rFonts w:ascii="Calibri" w:hAnsi="Calibri"/>
                <w:sz w:val="19"/>
              </w:rPr>
              <w:t>Executar ou retomar os experimentos com fingerprints</w:t>
            </w:r>
          </w:p>
        </w:tc>
      </w:tr>
      <w:tr>
        <w:trPr>
          <w:cantSplit/>
        </w:trPr>
        <w:tc>
          <w:tcPr>
            <w:tcW w:type="dxa" w:w="5040"/>
          </w:tcPr>
          <w:p>
            <w:pPr>
              <w:spacing w:after="80" w:before="80" w:line="240" w:lineRule="auto"/>
            </w:pPr>
            <w:r>
              <w:rPr>
                <w:rFonts w:ascii="Calibri" w:hAnsi="Calibri"/>
                <w:sz w:val="19"/>
              </w:rPr>
              <w:t>tc2 otimizar sp_evaluation_12 --mapa</w:t>
            </w:r>
          </w:p>
        </w:tc>
        <w:tc>
          <w:tcPr>
            <w:tcW w:type="dxa" w:w="4320"/>
          </w:tcPr>
          <w:p>
            <w:pPr>
              <w:spacing w:after="80" w:before="80" w:line="240" w:lineRule="auto"/>
            </w:pPr>
            <w:r>
              <w:rPr>
                <w:rFonts w:ascii="Calibri" w:hAnsi="Calibri"/>
                <w:sz w:val="19"/>
              </w:rPr>
              <w:t>Executar um cenário e gerar o mapa</w:t>
            </w:r>
          </w:p>
        </w:tc>
      </w:tr>
      <w:tr>
        <w:trPr>
          <w:cantSplit/>
        </w:trPr>
        <w:tc>
          <w:tcPr>
            <w:tcW w:type="dxa" w:w="5040"/>
          </w:tcPr>
          <w:p>
            <w:pPr>
              <w:spacing w:after="80" w:before="80" w:line="240" w:lineRule="auto"/>
            </w:pPr>
            <w:r>
              <w:rPr>
                <w:rFonts w:ascii="Calibri" w:hAnsi="Calibri"/>
                <w:sz w:val="19"/>
              </w:rPr>
              <w:t>tc2 api</w:t>
            </w:r>
          </w:p>
        </w:tc>
        <w:tc>
          <w:tcPr>
            <w:tcW w:type="dxa" w:w="4320"/>
          </w:tcPr>
          <w:p>
            <w:pPr>
              <w:spacing w:after="80" w:before="80" w:line="240" w:lineRule="auto"/>
            </w:pPr>
            <w:r>
              <w:rPr>
                <w:rFonts w:ascii="Calibri" w:hAnsi="Calibri"/>
                <w:sz w:val="19"/>
              </w:rPr>
              <w:t>Iniciar API local e Swagger</w:t>
            </w:r>
          </w:p>
        </w:tc>
      </w:tr>
      <w:tr>
        <w:trPr>
          <w:cantSplit/>
        </w:trPr>
        <w:tc>
          <w:tcPr>
            <w:tcW w:type="dxa" w:w="5040"/>
          </w:tcPr>
          <w:p>
            <w:pPr>
              <w:spacing w:after="80" w:before="80" w:line="240" w:lineRule="auto"/>
            </w:pPr>
            <w:r>
              <w:rPr>
                <w:rFonts w:ascii="Calibri" w:hAnsi="Calibri"/>
                <w:sz w:val="19"/>
              </w:rPr>
              <w:t>tc2 avaliar-llm</w:t>
            </w:r>
          </w:p>
        </w:tc>
        <w:tc>
          <w:tcPr>
            <w:tcW w:type="dxa" w:w="4320"/>
          </w:tcPr>
          <w:p>
            <w:pPr>
              <w:spacing w:after="80" w:before="80" w:line="240" w:lineRule="auto"/>
            </w:pPr>
            <w:r>
              <w:rPr>
                <w:rFonts w:ascii="Calibri" w:hAnsi="Calibri"/>
                <w:sz w:val="19"/>
              </w:rPr>
              <w:t>Executar ou retomar a avaliação dos dois prompts</w:t>
            </w:r>
          </w:p>
        </w:tc>
      </w:tr>
      <w:tr>
        <w:trPr>
          <w:cantSplit/>
        </w:trPr>
        <w:tc>
          <w:tcPr>
            <w:tcW w:type="dxa" w:w="5040"/>
          </w:tcPr>
          <w:p>
            <w:pPr>
              <w:spacing w:after="80" w:before="80" w:line="240" w:lineRule="auto"/>
            </w:pPr>
            <w:r>
              <w:rPr>
                <w:rFonts w:ascii="Calibri" w:hAnsi="Calibri"/>
                <w:sz w:val="19"/>
              </w:rPr>
              <w:t>python scripts/executar_notebooks.py</w:t>
            </w:r>
          </w:p>
        </w:tc>
        <w:tc>
          <w:tcPr>
            <w:tcW w:type="dxa" w:w="4320"/>
          </w:tcPr>
          <w:p>
            <w:pPr>
              <w:spacing w:after="80" w:before="80" w:line="240" w:lineRule="auto"/>
            </w:pPr>
            <w:r>
              <w:rPr>
                <w:rFonts w:ascii="Calibri" w:hAnsi="Calibri"/>
                <w:sz w:val="19"/>
              </w:rPr>
              <w:t>Executar os dois notebooks integralmente</w:t>
            </w:r>
          </w:p>
        </w:tc>
      </w:tr>
      <w:tr>
        <w:trPr>
          <w:cantSplit/>
        </w:trPr>
        <w:tc>
          <w:tcPr>
            <w:tcW w:type="dxa" w:w="5040"/>
          </w:tcPr>
          <w:p>
            <w:pPr>
              <w:spacing w:after="80" w:before="80" w:line="240" w:lineRule="auto"/>
            </w:pPr>
            <w:r>
              <w:rPr>
                <w:rFonts w:ascii="Calibri" w:hAnsi="Calibri"/>
                <w:sz w:val="19"/>
              </w:rPr>
              <w:t>tc2 validar --perfil entrega</w:t>
            </w:r>
          </w:p>
        </w:tc>
        <w:tc>
          <w:tcPr>
            <w:tcW w:type="dxa" w:w="4320"/>
          </w:tcPr>
          <w:p>
            <w:pPr>
              <w:spacing w:after="80" w:before="80" w:line="240" w:lineRule="auto"/>
            </w:pPr>
            <w:r>
              <w:rPr>
                <w:rFonts w:ascii="Calibri" w:hAnsi="Calibri"/>
                <w:sz w:val="19"/>
              </w:rPr>
              <w:t>Consolidar critérios como aprovado, falhou ou pendente</w:t>
            </w:r>
          </w:p>
        </w:tc>
      </w:tr>
    </w:tbl>
    <w:p>
      <w:pPr>
        <w:spacing w:after="40"/>
      </w:pPr>
    </w:p>
    <w:p>
      <w:r>
        <w:t>Os caminhos nos artefatos são relativos ao projeto. A instalação usa ambiente virtual e dependências fixadas após validação. Os arquivos de dados preservam origem, versão e licença. O aceite só é aprovado quando todas as evidências exigidas existem e concordam; pendências externas permanecem pendências.</w:t>
      </w:r>
    </w:p>
    <w:p>
      <w:r>
        <w:br w:type="page"/>
      </w:r>
    </w:p>
    <w:p>
      <w:pPr>
        <w:pStyle w:val="Heading1"/>
      </w:pPr>
      <w:r>
        <w:t>17 Conclusão e próximos passos</w:t>
      </w:r>
    </w:p>
    <w:p>
      <w:r>
        <w:t>A implementação estende o TSP da base FIAP para múltiplos veículos, prioridades, capacidade e autonomia, com dados geográficos e integração de linguagem fundamentada. A principal contribuição é um fluxo verificável: os algoritmos propõem rotas, o Python certifica e a camada de linguagem interpreta fatos autorizados.</w:t>
      </w:r>
    </w:p>
    <w:p>
      <w:r>
        <w:t>Os experimentos demonstram viabilidade e melhor desempenho que a referência FIAP no TSP compatível, mas não sustentam superioridade geral do genético. Nos problemas maiores, a reparação consome o orçamento e limita a evolução; OR-Tools apresenta custos mais próximos das referências. A análise mantém esses resultados desfavoráveis e distingue falha de busca de prova de impossibilidade.</w:t>
      </w:r>
    </w:p>
    <w:p>
      <w:r>
        <w:t>Como evolução, propomos reparação incremental, inicialização com diversidade viável e avaliação de limites maiores de busca. Essas alterações devem ser medidas novamente nos conjuntos separados. Também seriam necessários trânsito, restrições de conversão, janelas de atendimento e validação dos pesos com especialistas antes de considerar aplicação operacional.</w:t>
      </w:r>
    </w:p>
    <w:p>
      <w:r>
        <w:t>A integração com LLM utiliza apresentação controlada para reduzir erros factuais. Uma futura versão com prosa livre exigiria avaliação semântica mais abrangente, além da conferência de identificadores e valores. A rubrica atual mede seleção e organização de fatos, sem avaliar competência clínica.</w:t>
      </w:r>
    </w:p>
    <w:p>
      <w:r>
        <w:t>A equipe pode apresentar o problema, os operadores, os dados, as comparações, os mapas e a interpretação em até 14 minutos e 30 segundos. A gravação e a submissão serão realizadas pela equipe, a partir do roteiro e dos comandos incluídos.</w:t>
      </w:r>
    </w:p>
    <w:p>
      <w:r>
        <w:br w:type="page"/>
      </w:r>
    </w:p>
    <w:p>
      <w:pPr>
        <w:pStyle w:val="Heading1"/>
      </w:pPr>
      <w:r>
        <w:t>18 Referências e localização dos artefatos</w:t>
      </w:r>
    </w:p>
    <w:p>
      <w:r>
        <w:t>FIAP  Base de algoritmo genético TSP</w:t>
        <w:br/>
        <w:t>https://github.com/FIAP/genetic_algorithm_tsp</w:t>
      </w:r>
    </w:p>
    <w:p>
      <w:r>
        <w:t>CVRPLIB  Instâncias e soluções de referência</w:t>
        <w:br/>
        <w:t>https://galgos.inf.puc-rio.br/cvrplib/en/instances</w:t>
      </w:r>
    </w:p>
    <w:p>
      <w:r>
        <w:t>Espelho CVRPLIB mantido por Thibaut Vidal</w:t>
        <w:br/>
        <w:t>https://github.com/vidalt/CVRPLIB</w:t>
      </w:r>
    </w:p>
    <w:p>
      <w:r>
        <w:t>OSMnx  Preparação e análise da rede viária</w:t>
        <w:br/>
        <w:t>https://osmnx.readthedocs.io/en/stable/user-reference.html</w:t>
      </w:r>
    </w:p>
    <w:p>
      <w:r>
        <w:t>OpenStreetMap  Atribuição e licença</w:t>
        <w:br/>
        <w:t>https://www.openstreetmap.org/copyright</w:t>
      </w:r>
    </w:p>
    <w:p>
      <w:r>
        <w:t>OR-Tools  Vehicle routing problem</w:t>
        <w:br/>
        <w:t>https://developers.google.com/optimization/routing/vrp</w:t>
      </w:r>
    </w:p>
    <w:p>
      <w:r>
        <w:t>Plotly  Exportação de HTML interativo</w:t>
        <w:br/>
        <w:t>https://plotly.com/python/interactive-html-export/</w:t>
      </w:r>
    </w:p>
    <w:p>
      <w:r>
        <w:t>OpenAI  Modelo gpt-6-luna</w:t>
        <w:br/>
        <w:t>https://developers.openai.com/api/docs/models/gpt-6-luna</w:t>
      </w:r>
    </w:p>
    <w:p>
      <w:r>
        <w:t>OpenAI  Contagem de tokens</w:t>
        <w:br/>
        <w:t>https://developers.openai.com/api/docs/guides/token-counting</w:t>
      </w:r>
    </w:p>
    <w:p>
      <w:r>
        <w:t>OpenAI  Saídas estruturadas na Responses API</w:t>
        <w:br/>
        <w:t>https://developers.openai.com/api/docs/guides/structured-outputs?api-mode=responses</w:t>
      </w:r>
    </w:p>
    <w:p>
      <w:r>
        <w:t>Fontes consultadas em outubro de 2026. O enunciado IADT Fase 2 e o relatório da fase 1 foram utilizados como referências acadêmicas. Não são incorporados como instruções de execução da aplicação.</w:t>
      </w:r>
    </w:p>
    <w:tbl>
      <w:tblPr>
        <w:tblStyle w:val="TableGrid"/>
        <w:tblW w:type="auto" w:w="0"/>
        <w:tblLayout w:type="fixed"/>
        <w:tblLook w:firstColumn="1" w:firstRow="1" w:lastColumn="0" w:lastRow="0" w:noHBand="0" w:noVBand="1" w:val="04A0"/>
      </w:tblPr>
      <w:tblGrid>
        <w:gridCol w:w="2880"/>
        <w:gridCol w:w="6480"/>
      </w:tblGrid>
      <w:tr>
        <w:trPr>
          <w:tblHeader/>
          <w:cantSplit/>
        </w:trPr>
        <w:tc>
          <w:tcPr>
            <w:tcW w:type="dxa" w:w="2880"/>
            <w:shd w:fill="F1F4F8"/>
          </w:tcPr>
          <w:p>
            <w:pPr>
              <w:spacing w:after="80" w:before="80" w:line="240" w:lineRule="auto"/>
            </w:pPr>
            <w:r>
              <w:rPr>
                <w:rFonts w:ascii="Calibri" w:hAnsi="Calibri"/>
                <w:b/>
                <w:color w:val="285B86"/>
                <w:sz w:val="19"/>
              </w:rPr>
              <w:t>Pasta</w:t>
            </w:r>
          </w:p>
        </w:tc>
        <w:tc>
          <w:tcPr>
            <w:tcW w:type="dxa" w:w="6480"/>
            <w:shd w:fill="F1F4F8"/>
          </w:tcPr>
          <w:p>
            <w:pPr>
              <w:spacing w:after="80" w:before="80" w:line="240" w:lineRule="auto"/>
            </w:pPr>
            <w:r>
              <w:rPr>
                <w:rFonts w:ascii="Calibri" w:hAnsi="Calibri"/>
                <w:b/>
                <w:color w:val="285B86"/>
                <w:sz w:val="19"/>
              </w:rPr>
              <w:t>Conteúdo</w:t>
            </w:r>
          </w:p>
        </w:tc>
      </w:tr>
      <w:tr>
        <w:trPr>
          <w:cantSplit/>
        </w:trPr>
        <w:tc>
          <w:tcPr>
            <w:tcW w:type="dxa" w:w="2880"/>
          </w:tcPr>
          <w:p>
            <w:pPr>
              <w:spacing w:after="80" w:before="80" w:line="240" w:lineRule="auto"/>
            </w:pPr>
            <w:r>
              <w:rPr>
                <w:rFonts w:ascii="Calibri" w:hAnsi="Calibri"/>
                <w:sz w:val="19"/>
              </w:rPr>
              <w:t>src/rotas_medicas</w:t>
            </w:r>
          </w:p>
        </w:tc>
        <w:tc>
          <w:tcPr>
            <w:tcW w:type="dxa" w:w="6480"/>
          </w:tcPr>
          <w:p>
            <w:pPr>
              <w:spacing w:after="80" w:before="80" w:line="240" w:lineRule="auto"/>
            </w:pPr>
            <w:r>
              <w:rPr>
                <w:rFonts w:ascii="Calibri" w:hAnsi="Calibri"/>
                <w:sz w:val="19"/>
              </w:rPr>
              <w:t>Domínio, algoritmos, verificação, API, mapas e LLM</w:t>
            </w:r>
          </w:p>
        </w:tc>
      </w:tr>
      <w:tr>
        <w:trPr>
          <w:cantSplit/>
        </w:trPr>
        <w:tc>
          <w:tcPr>
            <w:tcW w:type="dxa" w:w="2880"/>
          </w:tcPr>
          <w:p>
            <w:pPr>
              <w:spacing w:after="80" w:before="80" w:line="240" w:lineRule="auto"/>
            </w:pPr>
            <w:r>
              <w:rPr>
                <w:rFonts w:ascii="Calibri" w:hAnsi="Calibri"/>
                <w:sz w:val="19"/>
              </w:rPr>
              <w:t>data</w:t>
            </w:r>
          </w:p>
        </w:tc>
        <w:tc>
          <w:tcPr>
            <w:tcW w:type="dxa" w:w="6480"/>
          </w:tcPr>
          <w:p>
            <w:pPr>
              <w:spacing w:after="80" w:before="80" w:line="240" w:lineRule="auto"/>
            </w:pPr>
            <w:r>
              <w:rPr>
                <w:rFonts w:ascii="Calibri" w:hAnsi="Calibri"/>
                <w:sz w:val="19"/>
              </w:rPr>
              <w:t>Cenários, matrizes e fontes preservadas</w:t>
            </w:r>
          </w:p>
        </w:tc>
      </w:tr>
      <w:tr>
        <w:trPr>
          <w:cantSplit/>
        </w:trPr>
        <w:tc>
          <w:tcPr>
            <w:tcW w:type="dxa" w:w="2880"/>
          </w:tcPr>
          <w:p>
            <w:pPr>
              <w:spacing w:after="80" w:before="80" w:line="240" w:lineRule="auto"/>
            </w:pPr>
            <w:r>
              <w:rPr>
                <w:rFonts w:ascii="Calibri" w:hAnsi="Calibri"/>
                <w:sz w:val="19"/>
              </w:rPr>
              <w:t>outputs/experiments</w:t>
            </w:r>
          </w:p>
        </w:tc>
        <w:tc>
          <w:tcPr>
            <w:tcW w:type="dxa" w:w="6480"/>
          </w:tcPr>
          <w:p>
            <w:pPr>
              <w:spacing w:after="80" w:before="80" w:line="240" w:lineRule="auto"/>
            </w:pPr>
            <w:r>
              <w:rPr>
                <w:rFonts w:ascii="Calibri" w:hAnsi="Calibri"/>
                <w:sz w:val="19"/>
              </w:rPr>
              <w:t>Soluções, tabelas e parâmetros</w:t>
            </w:r>
          </w:p>
        </w:tc>
      </w:tr>
      <w:tr>
        <w:trPr>
          <w:cantSplit/>
        </w:trPr>
        <w:tc>
          <w:tcPr>
            <w:tcW w:type="dxa" w:w="2880"/>
          </w:tcPr>
          <w:p>
            <w:pPr>
              <w:spacing w:after="80" w:before="80" w:line="240" w:lineRule="auto"/>
            </w:pPr>
            <w:r>
              <w:rPr>
                <w:rFonts w:ascii="Calibri" w:hAnsi="Calibri"/>
                <w:sz w:val="19"/>
              </w:rPr>
              <w:t>outputs/figures e maps</w:t>
            </w:r>
          </w:p>
        </w:tc>
        <w:tc>
          <w:tcPr>
            <w:tcW w:type="dxa" w:w="6480"/>
          </w:tcPr>
          <w:p>
            <w:pPr>
              <w:spacing w:after="80" w:before="80" w:line="240" w:lineRule="auto"/>
            </w:pPr>
            <w:r>
              <w:rPr>
                <w:rFonts w:ascii="Calibri" w:hAnsi="Calibri"/>
                <w:sz w:val="19"/>
              </w:rPr>
              <w:t>Gráficos, figuras e mapas HTML</w:t>
            </w:r>
          </w:p>
        </w:tc>
      </w:tr>
      <w:tr>
        <w:trPr>
          <w:cantSplit/>
        </w:trPr>
        <w:tc>
          <w:tcPr>
            <w:tcW w:type="dxa" w:w="2880"/>
          </w:tcPr>
          <w:p>
            <w:pPr>
              <w:spacing w:after="80" w:before="80" w:line="240" w:lineRule="auto"/>
            </w:pPr>
            <w:r>
              <w:rPr>
                <w:rFonts w:ascii="Calibri" w:hAnsi="Calibri"/>
                <w:sz w:val="19"/>
              </w:rPr>
              <w:t>outputs/validation</w:t>
            </w:r>
          </w:p>
        </w:tc>
        <w:tc>
          <w:tcPr>
            <w:tcW w:type="dxa" w:w="6480"/>
          </w:tcPr>
          <w:p>
            <w:pPr>
              <w:spacing w:after="80" w:before="80" w:line="240" w:lineRule="auto"/>
            </w:pPr>
            <w:r>
              <w:rPr>
                <w:rFonts w:ascii="Calibri" w:hAnsi="Calibri"/>
                <w:sz w:val="19"/>
              </w:rPr>
              <w:t>Evidências e relatório de aceite</w:t>
            </w:r>
          </w:p>
        </w:tc>
      </w:tr>
      <w:tr>
        <w:trPr>
          <w:cantSplit/>
        </w:trPr>
        <w:tc>
          <w:tcPr>
            <w:tcW w:type="dxa" w:w="2880"/>
          </w:tcPr>
          <w:p>
            <w:pPr>
              <w:spacing w:after="80" w:before="80" w:line="240" w:lineRule="auto"/>
            </w:pPr>
            <w:r>
              <w:rPr>
                <w:rFonts w:ascii="Calibri" w:hAnsi="Calibri"/>
                <w:sz w:val="19"/>
              </w:rPr>
              <w:t>notebooks e docs</w:t>
            </w:r>
          </w:p>
        </w:tc>
        <w:tc>
          <w:tcPr>
            <w:tcW w:type="dxa" w:w="6480"/>
          </w:tcPr>
          <w:p>
            <w:pPr>
              <w:spacing w:after="80" w:before="80" w:line="240" w:lineRule="auto"/>
            </w:pPr>
            <w:r>
              <w:rPr>
                <w:rFonts w:ascii="Calibri" w:hAnsi="Calibri"/>
                <w:sz w:val="19"/>
              </w:rPr>
              <w:t>Análises executáveis, arquitetura, plano e roteiro</w:t>
            </w:r>
          </w:p>
        </w:tc>
      </w:tr>
    </w:tbl>
    <w:p>
      <w:pPr>
        <w:spacing w:after="4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37181"/>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pPr>
    <w:r>
      <w:rPr>
        <w:color w:val="637181"/>
        <w:sz w:val="18"/>
      </w:rPr>
      <w:t>Tech Challenge Fase 2</w:t>
      <w:tab/>
      <w:t>IADT • FIAP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2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64"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865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Otimização de rotas médicas com algoritmo genético e LLM</dc:title>
  <dc:subject>Tech Challenge Fase 2 IADT FIAP</dc:subject>
  <dc:creator>Lucas dos Santos Batista; Eduardo Fagner Costalonga Ribeiro; Renan Gonçalves Micheletti</dc:creator>
  <cp:keywords/>
  <dc:description>generated by python-docx</dc:description>
  <cp:lastModifiedBy/>
  <cp:revision>1</cp:revision>
  <dcterms:created xsi:type="dcterms:W3CDTF">2013-12-23T23:15:00Z</dcterms:created>
  <dcterms:modified xsi:type="dcterms:W3CDTF">2013-12-23T23:15:00Z</dcterms:modified>
  <cp:category/>
</cp:coreProperties>
</file>