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</w:p>
    <w:p>
      <w:pPr>
        <w:pStyle w:val="Subtitle"/>
      </w:pPr>
      <w:r>
        <w:t xml:space="preserve">Publications,</w:t>
      </w:r>
      <w:r>
        <w:t xml:space="preserve"> </w:t>
      </w:r>
      <w:r>
        <w:t xml:space="preserve">projects,</w:t>
      </w:r>
      <w:r>
        <w:t xml:space="preserve"> </w:t>
      </w:r>
      <w:r>
        <w:t xml:space="preserve">and</w:t>
      </w:r>
      <w:r>
        <w:t xml:space="preserve"> </w:t>
      </w:r>
      <w:r>
        <w:t xml:space="preserve">academic</w:t>
      </w:r>
      <w:r>
        <w:t xml:space="preserve"> </w:t>
      </w:r>
      <w:r>
        <w:t xml:space="preserve">work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publications"/>
    <w:p>
      <w:pPr>
        <w:pStyle w:val="Heading2"/>
      </w:pPr>
      <w:r>
        <w:t xml:space="preserve">1 Publications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Topic Color Legend &amp; Filters:</w:t>
            </w:r>
            <w:r>
              <w:t xml:space="preserve"> </w:t>
            </w:r>
            <w:r>
              <w:t xml:space="preserve">Click any tag to filter publications by topic. Click again to remove filter.</w:t>
            </w:r>
          </w:p>
          <w:p>
            <w:pPr>
              <w:pStyle w:val="BodyText"/>
            </w:pPr>
            <w:r>
              <w:t xml:space="preserve">Military/Defense</w:t>
            </w:r>
            <w:r>
              <w:t xml:space="preserve"> </w:t>
            </w:r>
            <w:r>
              <w:t xml:space="preserve">Medical/Clinical</w:t>
            </w:r>
            <w:r>
              <w:t xml:space="preserve"> </w:t>
            </w:r>
            <w:r>
              <w:t xml:space="preserve">Technical/Neuroimaging</w:t>
            </w:r>
            <w:r>
              <w:t xml:space="preserve"> </w:t>
            </w:r>
            <w:r>
              <w:t xml:space="preserve">Healthcare/Pandemic</w:t>
            </w:r>
            <w:r>
              <w:t xml:space="preserve"> </w:t>
            </w:r>
            <w:r>
              <w:t xml:space="preserve">General Research</w:t>
            </w:r>
          </w:p>
          <w:p>
            <w:pPr>
              <w:pStyle w:val="BodyText"/>
            </w:pPr>
            <w:r>
              <w:t xml:space="preserve">Clear All Filters</w:t>
            </w:r>
          </w:p>
        </w:tc>
      </w:tr>
    </w:tbl>
    <w:bookmarkStart w:id="26" w:name="section"/>
    <w:p>
      <w:pPr>
        <w:pStyle w:val="Heading3"/>
      </w:pPr>
      <w:r>
        <w:t xml:space="preserve">1.1 2024</w:t>
      </w:r>
    </w:p>
    <w:p>
      <w:pPr>
        <w:pStyle w:val="FirstParagraph"/>
      </w:pPr>
      <w:r>
        <w:t xml:space="preserve">Cory McEvoy, Adam Crabtree, John Case, Gary E. Means, Peter Muench,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Rebecca A. Ivory, Jason Mihalik, and James S. Meabon,</w:t>
      </w:r>
      <w:r>
        <w:t xml:space="preserve"> </w:t>
      </w:r>
      <w:r>
        <w:t xml:space="preserve">“</w:t>
      </w:r>
      <w:r>
        <w:t xml:space="preserve">Cumulative blast impulse is predictive for changes in chronic neurobehavioral symptoms following low level blast exposure during military training,</w:t>
      </w:r>
      <w:r>
        <w:t xml:space="preserve">”</w:t>
      </w:r>
      <w:r>
        <w:t xml:space="preserve"> </w:t>
      </w:r>
      <w:r>
        <w:rPr>
          <w:i/>
          <w:iCs/>
        </w:rPr>
        <w:t xml:space="preserve">Military Medicine</w:t>
      </w:r>
      <w:r>
        <w:t xml:space="preserve"> </w:t>
      </w:r>
      <w:r>
        <w:t xml:space="preserve">(2024): e2069-e2077, doi: 10.1093/milmed/usae206</w:t>
      </w:r>
    </w:p>
    <w:p>
      <w:pPr>
        <w:pStyle w:val="BodyText"/>
      </w:pPr>
      <w:r>
        <w:t xml:space="preserve">Military health</w:t>
      </w:r>
      <w:r>
        <w:t xml:space="preserve"> </w:t>
      </w:r>
      <w:r>
        <w:t xml:space="preserve">Traumatic brain injury</w:t>
      </w:r>
      <w:r>
        <w:t xml:space="preserve"> </w:t>
      </w:r>
      <w:r>
        <w:t xml:space="preserve">Biomarkers</w:t>
      </w:r>
      <w:r>
        <w:t xml:space="preserve"> </w:t>
      </w:r>
      <w:r>
        <w:t xml:space="preserve">Longitudinal studies</w:t>
      </w:r>
    </w:p>
    <w:p>
      <w:pPr>
        <w:pStyle w:val="BodyText"/>
      </w:pPr>
      <w:hyperlink r:id="rId23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Douglas Galasko, Martin R. Farlow, Brendan P. Lucey, Lawrence S. Honig, Donald Elbert, Randall Bateman, Jeremiah Momper,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Robert A. Rissman, Judy Pa, et al.,</w:t>
      </w:r>
      <w:r>
        <w:t xml:space="preserve"> </w:t>
      </w:r>
      <w:r>
        <w:t xml:space="preserve">“</w:t>
      </w:r>
      <w:r>
        <w:t xml:space="preserve">A multicenter, randomized, double-blind, placebo-controlled ascending dose study to evaluate the safety, tolerability, pharmacokinetics (PK) and pharmacodynamic (PD) effects of Posiphen in subjects with Early Alzheimer’s Disease,</w:t>
      </w:r>
      <w:r>
        <w:t xml:space="preserve">”</w:t>
      </w:r>
      <w:r>
        <w:t xml:space="preserve"> </w:t>
      </w:r>
      <w:r>
        <w:rPr>
          <w:i/>
          <w:iCs/>
        </w:rPr>
        <w:t xml:space="preserve">Alzheimer’s Research &amp; Therapy</w:t>
      </w:r>
      <w:r>
        <w:t xml:space="preserve"> </w:t>
      </w:r>
      <w:r>
        <w:t xml:space="preserve">16, no. 1 (2024): 151, doi: 10.1186/s13195-024-01540-z</w:t>
      </w:r>
    </w:p>
    <w:p>
      <w:pPr>
        <w:pStyle w:val="BodyText"/>
      </w:pPr>
      <w:r>
        <w:t xml:space="preserve">Alzheimer’s disease</w:t>
      </w:r>
      <w:r>
        <w:t xml:space="preserve"> </w:t>
      </w:r>
      <w:r>
        <w:t xml:space="preserve">Clinical trials</w:t>
      </w:r>
      <w:r>
        <w:t xml:space="preserve"> </w:t>
      </w:r>
      <w:r>
        <w:t xml:space="preserve">Drug development</w:t>
      </w:r>
      <w:r>
        <w:t xml:space="preserve"> </w:t>
      </w:r>
      <w:r>
        <w:t xml:space="preserve">Pharmacokinetics</w:t>
      </w:r>
    </w:p>
    <w:p>
      <w:pPr>
        <w:pStyle w:val="BodyText"/>
      </w:pPr>
      <w:hyperlink r:id="rId24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Garth Terry, Kathleen F. Pagulayan, Mark Muzi, Cynthia Mayer, Daniel R. Murray, Abigail G. Schindler, Todd L. Richards, Cory McEvoy, Adam Crabtree, Chris McNamara,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et al.,</w:t>
      </w:r>
      <w:r>
        <w:t xml:space="preserve"> </w:t>
      </w:r>
      <w:r>
        <w:t xml:space="preserve">“</w:t>
      </w:r>
      <w:r>
        <w:t xml:space="preserve">Increased [18F] Fluorodeoxyglucose Uptake in the Left Pallidum in Military Veterans with Blast-Related Mild Traumatic Brain Injury: Potential as an Imaging Biomarker and Mediation with Executive Dysfunction and Cognitive Impairment,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Neurotrauma</w:t>
      </w:r>
      <w:r>
        <w:t xml:space="preserve"> </w:t>
      </w:r>
      <w:r>
        <w:t xml:space="preserve">(2024), doi: 10.1089/neu.2024.0142</w:t>
      </w:r>
    </w:p>
    <w:p>
      <w:pPr>
        <w:pStyle w:val="BodyText"/>
      </w:pPr>
      <w:r>
        <w:t xml:space="preserve">Neuroimaging</w:t>
      </w:r>
      <w:r>
        <w:t xml:space="preserve"> </w:t>
      </w:r>
      <w:r>
        <w:t xml:space="preserve">PET imaging</w:t>
      </w:r>
      <w:r>
        <w:t xml:space="preserve"> </w:t>
      </w:r>
      <w:r>
        <w:t xml:space="preserve">Military health</w:t>
      </w:r>
      <w:r>
        <w:t xml:space="preserve"> </w:t>
      </w:r>
      <w:r>
        <w:t xml:space="preserve">Brain injury</w:t>
      </w:r>
    </w:p>
    <w:p>
      <w:pPr>
        <w:pStyle w:val="BodyText"/>
      </w:pPr>
      <w:hyperlink r:id="rId25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📄 PDF</w:t>
        </w:r>
      </w:hyperlink>
    </w:p>
    <w:bookmarkEnd w:id="26"/>
    <w:bookmarkStart w:id="44" w:name="section-1"/>
    <w:p>
      <w:pPr>
        <w:pStyle w:val="Heading3"/>
      </w:pPr>
      <w:r>
        <w:t xml:space="preserve">1.2 2023</w:t>
      </w:r>
    </w:p>
    <w:p>
      <w:pPr>
        <w:pStyle w:val="FirstParagraph"/>
      </w:pPr>
      <w:r>
        <w:t xml:space="preserve">Rebecca C. Hendrickson, Catherine A. McCall, Aaron F. Rosser, Kathleen F. Pagulayan, Bernard P. Chang, Ellen D. Sano,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and Murray A. Raskind,</w:t>
      </w:r>
      <w:r>
        <w:t xml:space="preserve"> </w:t>
      </w:r>
      <w:r>
        <w:t xml:space="preserve">“</w:t>
      </w:r>
      <w:r>
        <w:t xml:space="preserve">The relative contribution of COVID-19 infection versus COVID-19 related occupational stressors to insomnia in healthcare workers,</w:t>
      </w:r>
      <w:r>
        <w:t xml:space="preserve">”</w:t>
      </w:r>
      <w:r>
        <w:t xml:space="preserve"> </w:t>
      </w:r>
      <w:r>
        <w:rPr>
          <w:i/>
          <w:iCs/>
        </w:rPr>
        <w:t xml:space="preserve">Sleep Medicine: X</w:t>
      </w:r>
      <w:r>
        <w:t xml:space="preserve"> </w:t>
      </w:r>
      <w:r>
        <w:t xml:space="preserve">5 (2023): 100067, doi: 10.1016/j.sleepx.2022.100067</w:t>
      </w:r>
    </w:p>
    <w:p>
      <w:pPr>
        <w:pStyle w:val="BodyText"/>
      </w:pPr>
      <w:r>
        <w:t xml:space="preserve">COVID-19</w:t>
      </w:r>
      <w:r>
        <w:t xml:space="preserve"> </w:t>
      </w:r>
      <w:r>
        <w:t xml:space="preserve">Healthcare workers</w:t>
      </w:r>
      <w:r>
        <w:t xml:space="preserve"> </w:t>
      </w:r>
      <w:r>
        <w:t xml:space="preserve">Sleep disorders</w:t>
      </w:r>
      <w:r>
        <w:t xml:space="preserve"> </w:t>
      </w:r>
      <w:r>
        <w:t xml:space="preserve">Occupational health</w:t>
      </w:r>
    </w:p>
    <w:p>
      <w:pPr>
        <w:pStyle w:val="BodyText"/>
      </w:pPr>
      <w:hyperlink r:id="rId27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Samantha A. Keil, Abigail G. Schindler, Marie X. Wang, Juan Piantino, Lisa C. Silbert, Jonathan E. Elliott, Madeleine L. Werhane,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Sherry Willis, Miranda M. Lim, et al.,</w:t>
      </w:r>
      <w:r>
        <w:t xml:space="preserve"> </w:t>
      </w:r>
      <w:r>
        <w:t xml:space="preserve">“</w:t>
      </w:r>
      <w:r>
        <w:t xml:space="preserve">Longitudinal Sleep Patterns and Cognitive Impairment in Older Adults,</w:t>
      </w:r>
      <w:r>
        <w:t xml:space="preserve">”</w:t>
      </w:r>
      <w:r>
        <w:t xml:space="preserve"> </w:t>
      </w:r>
      <w:r>
        <w:rPr>
          <w:i/>
          <w:iCs/>
        </w:rPr>
        <w:t xml:space="preserve">JAMA Network Open</w:t>
      </w:r>
      <w:r>
        <w:t xml:space="preserve"> </w:t>
      </w:r>
      <w:r>
        <w:t xml:space="preserve">6, no. 12 (2023): e2346006, doi: 10.1001/jamanetworkopen.2023.46006</w:t>
      </w:r>
    </w:p>
    <w:p>
      <w:pPr>
        <w:pStyle w:val="BodyText"/>
      </w:pPr>
      <w:r>
        <w:t xml:space="preserve">Sleep patterns</w:t>
      </w:r>
      <w:r>
        <w:t xml:space="preserve"> </w:t>
      </w:r>
      <w:r>
        <w:t xml:space="preserve">Cognitive decline</w:t>
      </w:r>
      <w:r>
        <w:t xml:space="preserve"> </w:t>
      </w:r>
      <w:r>
        <w:t xml:space="preserve">Aging</w:t>
      </w:r>
      <w:r>
        <w:t xml:space="preserve"> </w:t>
      </w:r>
      <w:r>
        <w:t xml:space="preserve">Longitudinal studies</w:t>
      </w:r>
    </w:p>
    <w:p>
      <w:pPr>
        <w:pStyle w:val="BodyText"/>
      </w:pPr>
      <w:hyperlink r:id="rId28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Murray A. Raskind, Tammy Williams, Hollie Holmes, Kim Hart, Laura Crews, Eileen L. Poupore,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Jolee Darnell, Colin Daniels, Kevin Goke, et al.,</w:t>
      </w:r>
      <w:r>
        <w:t xml:space="preserve"> </w:t>
      </w:r>
      <w:r>
        <w:t xml:space="preserve">“</w:t>
      </w:r>
      <w:r>
        <w:t xml:space="preserve">A randomized controlled clinical trial of prazosin for alcohol use disorder in active duty soldiers: Predictive effects of elevated cardiovascular parameters,</w:t>
      </w:r>
      <w:r>
        <w:t xml:space="preserve">”</w:t>
      </w:r>
      <w:r>
        <w:t xml:space="preserve"> </w:t>
      </w:r>
      <w:r>
        <w:rPr>
          <w:i/>
          <w:iCs/>
        </w:rPr>
        <w:t xml:space="preserve">Alcoholism: Clinical and Experimental Research</w:t>
      </w:r>
      <w:r>
        <w:t xml:space="preserve"> </w:t>
      </w:r>
      <w:r>
        <w:t xml:space="preserve">47, no. 2 (2023): 348-360, doi: 10.1111/acer.15008</w:t>
      </w:r>
    </w:p>
    <w:p>
      <w:pPr>
        <w:pStyle w:val="BodyText"/>
      </w:pPr>
      <w:r>
        <w:t xml:space="preserve">Clinical trials</w:t>
      </w:r>
      <w:r>
        <w:t xml:space="preserve"> </w:t>
      </w:r>
      <w:r>
        <w:t xml:space="preserve">Military health</w:t>
      </w:r>
      <w:r>
        <w:t xml:space="preserve"> </w:t>
      </w:r>
      <w:r>
        <w:t xml:space="preserve">Substance abuse</w:t>
      </w:r>
      <w:r>
        <w:t xml:space="preserve"> </w:t>
      </w:r>
      <w:r>
        <w:t xml:space="preserve">Cardiovascular risk</w:t>
      </w:r>
    </w:p>
    <w:p>
      <w:pPr>
        <w:pStyle w:val="BodyText"/>
      </w:pPr>
      <w:hyperlink r:id="rId29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Eric M. Reiman, Jeremy J. Pruzin, Silvia Rios-Romenets, Chris Brown, Margarita Giraldo, Natalia Acosta-Baena, Carlos Tobon, Nan Hu, Yinghua Chen, Valentina Ghisays,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et al.,</w:t>
      </w:r>
      <w:r>
        <w:t xml:space="preserve"> </w:t>
      </w:r>
      <w:r>
        <w:t xml:space="preserve">“</w:t>
      </w:r>
      <w:r>
        <w:t xml:space="preserve">A public resource of baseline data from the Alzheimer’s Prevention Initiative Autosomal-Dominant Alzheimer’s Disease Trial,</w:t>
      </w:r>
      <w:r>
        <w:t xml:space="preserve">”</w:t>
      </w:r>
      <w:r>
        <w:t xml:space="preserve"> </w:t>
      </w:r>
      <w:r>
        <w:rPr>
          <w:i/>
          <w:iCs/>
        </w:rPr>
        <w:t xml:space="preserve">Alzheimer’s &amp; Dementia</w:t>
      </w:r>
      <w:r>
        <w:t xml:space="preserve"> </w:t>
      </w:r>
      <w:r>
        <w:t xml:space="preserve">19, no. 5 (2023): 1938-1946, doi: 10.1002/alz.12923</w:t>
      </w:r>
    </w:p>
    <w:p>
      <w:pPr>
        <w:pStyle w:val="BodyText"/>
      </w:pPr>
      <w:r>
        <w:t xml:space="preserve">Alzheimer’s disease</w:t>
      </w:r>
      <w:r>
        <w:t xml:space="preserve"> </w:t>
      </w:r>
      <w:r>
        <w:t xml:space="preserve">Prevention trials</w:t>
      </w:r>
      <w:r>
        <w:t xml:space="preserve"> </w:t>
      </w:r>
      <w:r>
        <w:t xml:space="preserve">Open data</w:t>
      </w:r>
      <w:r>
        <w:t xml:space="preserve"> </w:t>
      </w:r>
      <w:r>
        <w:t xml:space="preserve">Genetic risk</w:t>
      </w:r>
    </w:p>
    <w:p>
      <w:pPr>
        <w:pStyle w:val="BodyText"/>
      </w:pPr>
      <w:hyperlink r:id="rId30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📄 PDF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💾 Data</w:t>
        </w:r>
      </w:hyperlink>
    </w:p>
    <w:bookmarkStart w:id="34" w:name="section-2"/>
    <w:p>
      <w:pPr>
        <w:pStyle w:val="Heading3"/>
      </w:pPr>
      <w:r>
        <w:t xml:space="preserve">1.3 2022</w:t>
      </w:r>
    </w:p>
    <w:p>
      <w:pPr>
        <w:pStyle w:val="FirstParagraph"/>
      </w:pPr>
      <w:r>
        <w:t xml:space="preserve">Rebecca C. Hendrickson, Roisín A. Slevin, Katherine D. Hoerster, Bernard P. Chang, Ellen Sano, Catherine A. McCall, Gillian R. Monty,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and Murray A. Raskind,</w:t>
      </w:r>
      <w:r>
        <w:t xml:space="preserve"> </w:t>
      </w:r>
      <w:r>
        <w:t xml:space="preserve">“</w:t>
      </w:r>
      <w:r>
        <w:t xml:space="preserve">The impact of the COVID-19 pandemic on mental health, occupational functioning, and professional retention among health care workers and first responders,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General Internal Medicine</w:t>
      </w:r>
      <w:r>
        <w:t xml:space="preserve"> </w:t>
      </w:r>
      <w:r>
        <w:t xml:space="preserve">37, no. 2 (2022): 397-408, doi: 10.1007/s11606-021-07252-z</w:t>
      </w:r>
    </w:p>
    <w:p>
      <w:pPr>
        <w:pStyle w:val="BodyText"/>
      </w:pPr>
      <w:r>
        <w:t xml:space="preserve">COVID-19</w:t>
      </w:r>
      <w:r>
        <w:t xml:space="preserve"> </w:t>
      </w:r>
      <w:r>
        <w:t xml:space="preserve">Healthcare workers</w:t>
      </w:r>
      <w:r>
        <w:t xml:space="preserve"> </w:t>
      </w:r>
      <w:r>
        <w:t xml:space="preserve">Mental health</w:t>
      </w:r>
      <w:r>
        <w:t xml:space="preserve"> </w:t>
      </w:r>
      <w:r>
        <w:t xml:space="preserve">Occupational stress</w:t>
      </w:r>
    </w:p>
    <w:p>
      <w:pPr>
        <w:pStyle w:val="BodyText"/>
      </w:pPr>
      <w:hyperlink r:id="rId31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Clara Vila-Castelar, Pierre N. Tariot, Kaycee M. Sink, David Clayton, Jessica B. Langbaum,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Yinghua Chen, Yi Su, Kewei Chen, Nan Hu, et al.,</w:t>
      </w:r>
      <w:r>
        <w:t xml:space="preserve"> </w:t>
      </w:r>
      <w:r>
        <w:t xml:space="preserve">“</w:t>
      </w:r>
      <w:r>
        <w:t xml:space="preserve">Sex differences in cognitive resilience in preclinical autosomal-dominant Alzheimer’s disease carriers and non-carriers: baseline findings from the API ADAD Colombia Trial,</w:t>
      </w:r>
      <w:r>
        <w:t xml:space="preserve">”</w:t>
      </w:r>
      <w:r>
        <w:t xml:space="preserve"> </w:t>
      </w:r>
      <w:r>
        <w:rPr>
          <w:i/>
          <w:iCs/>
        </w:rPr>
        <w:t xml:space="preserve">Alzheimer’s &amp; Dementia</w:t>
      </w:r>
      <w:r>
        <w:t xml:space="preserve"> </w:t>
      </w:r>
      <w:r>
        <w:t xml:space="preserve">18, no. 11 (2022): 2272-2282, doi: 10.1002/alz.12571</w:t>
      </w:r>
    </w:p>
    <w:p>
      <w:pPr>
        <w:pStyle w:val="BodyText"/>
      </w:pPr>
      <w:r>
        <w:t xml:space="preserve">Alzheimer’s disease</w:t>
      </w:r>
      <w:r>
        <w:t xml:space="preserve"> </w:t>
      </w:r>
      <w:r>
        <w:t xml:space="preserve">Sex differences</w:t>
      </w:r>
      <w:r>
        <w:t xml:space="preserve"> </w:t>
      </w:r>
      <w:r>
        <w:t xml:space="preserve">Cognitive resilience</w:t>
      </w:r>
      <w:r>
        <w:t xml:space="preserve"> </w:t>
      </w:r>
      <w:r>
        <w:t xml:space="preserve">Prevention trials</w:t>
      </w:r>
    </w:p>
    <w:p>
      <w:pPr>
        <w:pStyle w:val="BodyText"/>
      </w:pPr>
      <w:hyperlink r:id="rId32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Aladdin H. Shadyab, Andrea Z. LaCroix, Genevieve Matthews, Daniel Bennett, Alexandre A. Shadyab, Donna Tan,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Jennifer Mason, Alex Lopez, Brianna Askew, et al.,</w:t>
      </w:r>
      <w:r>
        <w:t xml:space="preserve"> </w:t>
      </w:r>
      <w:r>
        <w:t xml:space="preserve">“</w:t>
      </w:r>
      <w:r>
        <w:t xml:space="preserve">T2 Protect AD: Achieving a rapid recruitment timeline in a multisite clinical trial for individuals with mild to moderate Alzheimer’s disease,</w:t>
      </w:r>
      <w:r>
        <w:t xml:space="preserve">”</w:t>
      </w:r>
      <w:r>
        <w:t xml:space="preserve"> </w:t>
      </w:r>
      <w:r>
        <w:rPr>
          <w:i/>
          <w:iCs/>
        </w:rPr>
        <w:t xml:space="preserve">Alzheimer’s &amp; Dementia: Translational Research &amp; Clinical Interventions</w:t>
      </w:r>
      <w:r>
        <w:t xml:space="preserve"> </w:t>
      </w:r>
      <w:r>
        <w:t xml:space="preserve">8, no. 1 (2022): e12265, doi: 10.1002/trc2.12265</w:t>
      </w:r>
    </w:p>
    <w:p>
      <w:pPr>
        <w:pStyle w:val="BodyText"/>
      </w:pPr>
      <w:r>
        <w:t xml:space="preserve">Clinical trials</w:t>
      </w:r>
      <w:r>
        <w:t xml:space="preserve"> </w:t>
      </w:r>
      <w:r>
        <w:t xml:space="preserve">Recruitment strategies</w:t>
      </w:r>
      <w:r>
        <w:t xml:space="preserve"> </w:t>
      </w:r>
      <w:r>
        <w:t xml:space="preserve">Alzheimer’s disease</w:t>
      </w:r>
      <w:r>
        <w:t xml:space="preserve"> </w:t>
      </w:r>
      <w:r>
        <w:t xml:space="preserve">Study design</w:t>
      </w:r>
    </w:p>
    <w:p>
      <w:pPr>
        <w:pStyle w:val="BodyText"/>
      </w:pPr>
      <w:hyperlink r:id="rId33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📄 PDF</w:t>
        </w:r>
      </w:hyperlink>
    </w:p>
    <w:bookmarkEnd w:id="34"/>
    <w:bookmarkStart w:id="35" w:name="working-papers-preprints"/>
    <w:p>
      <w:pPr>
        <w:pStyle w:val="Heading3"/>
      </w:pPr>
      <w:r>
        <w:t xml:space="preserve">1.4 Working Papers &amp; Preprints</w:t>
      </w:r>
    </w:p>
    <w:p>
      <w:pPr>
        <w:pStyle w:val="FirstParagraph"/>
      </w:pPr>
      <w:r>
        <w:rPr>
          <w:i/>
          <w:iCs/>
        </w:rPr>
        <w:t xml:space="preserve">Coming soon: Links to preprints, working papers, and manuscripts under review</w:t>
      </w:r>
    </w:p>
    <w:p>
      <w:r>
        <w:pict>
          <v:rect style="width:0;height:1.5pt" o:hralign="center" o:hrstd="t" o:hr="t"/>
        </w:pict>
      </w:r>
    </w:p>
    <w:bookmarkEnd w:id="35"/>
    <w:bookmarkStart w:id="37" w:name="white-papers-technical-reports"/>
    <w:p>
      <w:pPr>
        <w:pStyle w:val="Heading2"/>
      </w:pPr>
      <w:r>
        <w:t xml:space="preserve">2</w:t>
      </w:r>
      <w:r>
        <w:t xml:space="preserve"> </w:t>
      </w:r>
      <w:hyperlink r:id="rId36">
        <w:r>
          <w:rPr>
            <w:rStyle w:val="Hyperlink"/>
          </w:rPr>
          <w:t xml:space="preserve">White Papers &amp; Technical Reports</w:t>
        </w:r>
      </w:hyperlink>
    </w:p>
    <w:p>
      <w:pPr>
        <w:pStyle w:val="FirstParagraph"/>
      </w:pPr>
      <w:r>
        <w:t xml:space="preserve">In-depth technical analyses, methodological frameworks, and implementation guides covering research workflows, statistical computing environments, and data science applications.</w:t>
      </w:r>
    </w:p>
    <w:p>
      <w:pPr>
        <w:pStyle w:val="BodyText"/>
      </w:pPr>
      <w:hyperlink r:id="rId36">
        <w:r>
          <w:rPr>
            <w:rStyle w:val="Hyperlink"/>
          </w:rPr>
          <w:t xml:space="preserve">View All White Papers →</w:t>
        </w:r>
      </w:hyperlink>
    </w:p>
    <w:bookmarkEnd w:id="37"/>
    <w:bookmarkStart w:id="40" w:name="current-projects"/>
    <w:p>
      <w:pPr>
        <w:pStyle w:val="Heading2"/>
      </w:pPr>
      <w:r>
        <w:t xml:space="preserve">3 Current Projects</w:t>
      </w:r>
    </w:p>
    <w:bookmarkStart w:id="38" w:name="statistical-methods-development"/>
    <w:p>
      <w:pPr>
        <w:pStyle w:val="Heading3"/>
      </w:pPr>
      <w:r>
        <w:t xml:space="preserve">3.1 Statistical Methods Development</w:t>
      </w:r>
    </w:p>
    <w:p>
      <w:pPr>
        <w:pStyle w:val="Compact"/>
        <w:numPr>
          <w:ilvl w:val="0"/>
          <w:numId w:val="1001"/>
        </w:numPr>
      </w:pPr>
      <w:r>
        <w:t xml:space="preserve">Novel approaches to clinical trial design</w:t>
      </w:r>
    </w:p>
    <w:p>
      <w:pPr>
        <w:pStyle w:val="Compact"/>
        <w:numPr>
          <w:ilvl w:val="0"/>
          <w:numId w:val="1001"/>
        </w:numPr>
      </w:pPr>
      <w:r>
        <w:t xml:space="preserve">Bayesian methods for biomarker analysis</w:t>
      </w:r>
    </w:p>
    <w:p>
      <w:pPr>
        <w:pStyle w:val="Compact"/>
        <w:numPr>
          <w:ilvl w:val="0"/>
          <w:numId w:val="1001"/>
        </w:numPr>
      </w:pPr>
      <w:r>
        <w:t xml:space="preserve">Reproducible research workflows</w:t>
      </w:r>
    </w:p>
    <w:bookmarkEnd w:id="38"/>
    <w:bookmarkStart w:id="39" w:name="collaborative-research"/>
    <w:p>
      <w:pPr>
        <w:pStyle w:val="Heading3"/>
      </w:pPr>
      <w:r>
        <w:t xml:space="preserve">3.2 Collaborative Research</w:t>
      </w:r>
    </w:p>
    <w:p>
      <w:pPr>
        <w:pStyle w:val="Compact"/>
        <w:numPr>
          <w:ilvl w:val="0"/>
          <w:numId w:val="1002"/>
        </w:numPr>
      </w:pPr>
      <w:r>
        <w:t xml:space="preserve">Multi-institutional studies</w:t>
      </w:r>
    </w:p>
    <w:p>
      <w:pPr>
        <w:pStyle w:val="Compact"/>
        <w:numPr>
          <w:ilvl w:val="0"/>
          <w:numId w:val="1002"/>
        </w:numPr>
      </w:pPr>
      <w:r>
        <w:t xml:space="preserve">Open science initiatives</w:t>
      </w:r>
    </w:p>
    <w:p>
      <w:pPr>
        <w:pStyle w:val="Compact"/>
        <w:numPr>
          <w:ilvl w:val="0"/>
          <w:numId w:val="1002"/>
        </w:numPr>
      </w:pPr>
      <w:r>
        <w:t xml:space="preserve">Methodological consulting</w:t>
      </w:r>
    </w:p>
    <w:bookmarkEnd w:id="39"/>
    <w:bookmarkEnd w:id="40"/>
    <w:bookmarkStart w:id="42" w:name="data-and-code"/>
    <w:p>
      <w:pPr>
        <w:pStyle w:val="Heading2"/>
      </w:pPr>
      <w:r>
        <w:t xml:space="preserve">4 Data and Code</w:t>
      </w:r>
    </w:p>
    <w:p>
      <w:pPr>
        <w:pStyle w:val="FirstParagraph"/>
      </w:pPr>
      <w:r>
        <w:t xml:space="preserve">Reproducible research materials, datasets, and computational resources supporting published work.</w:t>
      </w:r>
    </w:p>
    <w:bookmarkStart w:id="41" w:name="open-science-contributions"/>
    <w:p>
      <w:pPr>
        <w:pStyle w:val="Heading3"/>
      </w:pPr>
      <w:r>
        <w:t xml:space="preserve">4.1 Open Science Contributions</w:t>
      </w:r>
    </w:p>
    <w:p>
      <w:pPr>
        <w:pStyle w:val="Compact"/>
        <w:numPr>
          <w:ilvl w:val="0"/>
          <w:numId w:val="1003"/>
        </w:numPr>
      </w:pPr>
      <w:r>
        <w:t xml:space="preserve">R packages for statistical analysis</w:t>
      </w:r>
    </w:p>
    <w:p>
      <w:pPr>
        <w:pStyle w:val="Compact"/>
        <w:numPr>
          <w:ilvl w:val="0"/>
          <w:numId w:val="1003"/>
        </w:numPr>
      </w:pPr>
      <w:r>
        <w:t xml:space="preserve">Data analysis pipelines</w:t>
      </w:r>
    </w:p>
    <w:p>
      <w:pPr>
        <w:pStyle w:val="Compact"/>
        <w:numPr>
          <w:ilvl w:val="0"/>
          <w:numId w:val="1003"/>
        </w:numPr>
      </w:pPr>
      <w:r>
        <w:t xml:space="preserve">Methodology implementations</w:t>
      </w:r>
    </w:p>
    <w:bookmarkEnd w:id="41"/>
    <w:bookmarkEnd w:id="42"/>
    <w:bookmarkStart w:id="43" w:name="comprehensive-tag-collection"/>
    <w:p>
      <w:pPr>
        <w:pStyle w:val="Heading2"/>
      </w:pPr>
      <w:r>
        <w:t xml:space="preserve">5 Comprehensive Tag Collection</w:t>
      </w:r>
    </w:p>
    <w:p>
      <w:pPr>
        <w:pStyle w:val="FirstParagraph"/>
      </w:pPr>
      <w:r>
        <w:t xml:space="preserve">Based on analysis of leading R/biostatistics blogs, here are the most relevant research tags for data science and biostatistics:</w:t>
      </w:r>
    </w:p>
    <w:p>
      <w:pPr>
        <w:pStyle w:val="BodyText"/>
      </w:pPr>
      <w:r>
        <w:rPr>
          <w:b/>
          <w:bCs/>
        </w:rPr>
        <w:t xml:space="preserve">Core R &amp; Data Science:</w:t>
      </w:r>
      <w:r>
        <w:t xml:space="preserve"> </w:t>
      </w:r>
      <w:r>
        <w:t xml:space="preserve">R Programming, Data Science, Statistics, Data Analysis, Data Visualization, Predictive Modeling, Statistical Learning, Computational Methods, Simulation</w:t>
      </w:r>
    </w:p>
    <w:p>
      <w:pPr>
        <w:pStyle w:val="BodyText"/>
      </w:pPr>
      <w:r>
        <w:rPr>
          <w:b/>
          <w:bCs/>
        </w:rPr>
        <w:t xml:space="preserve">Biostatistics &amp; Medical:</w:t>
      </w:r>
      <w:r>
        <w:t xml:space="preserve"> </w:t>
      </w:r>
      <w:r>
        <w:t xml:space="preserve">Biostatistics, Clinical Trials, Epidemiology, Survival Analysis, Medical Research, Drug Development, Pharmacokinetics, Prevention Trials</w:t>
      </w:r>
    </w:p>
    <w:p>
      <w:pPr>
        <w:pStyle w:val="BodyText"/>
      </w:pPr>
      <w:r>
        <w:rPr>
          <w:b/>
          <w:bCs/>
        </w:rPr>
        <w:t xml:space="preserve">Advanced Methods:</w:t>
      </w:r>
      <w:r>
        <w:t xml:space="preserve"> </w:t>
      </w:r>
      <w:r>
        <w:t xml:space="preserve">Machine Learning, Neural Networks, Bayesian Methods, Forecasting, Ecological Statistics, Genomics</w:t>
      </w:r>
    </w:p>
    <w:p>
      <w:pPr>
        <w:pStyle w:val="BodyText"/>
      </w:pPr>
      <w:r>
        <w:rPr>
          <w:b/>
          <w:bCs/>
        </w:rPr>
        <w:t xml:space="preserve">Specialized Areas:</w:t>
      </w:r>
      <w:r>
        <w:t xml:space="preserve"> </w:t>
      </w:r>
      <w:r>
        <w:t xml:space="preserve">Military Health, Healthcare, COVID-19, Neuroimaging, Alzheimer’s Disease, Sleep Research, Cognitive Assessment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6" Target="../research/white-papers/" TargetMode="External" /><Relationship Type="http://schemas.openxmlformats.org/officeDocument/2006/relationships/hyperlink" Id="rId28" Target="https://doi.org/10.1001/jamanetworkopen.2023.46006" TargetMode="External" /><Relationship Type="http://schemas.openxmlformats.org/officeDocument/2006/relationships/hyperlink" Id="rId32" Target="https://doi.org/10.1002/alz.12571" TargetMode="External" /><Relationship Type="http://schemas.openxmlformats.org/officeDocument/2006/relationships/hyperlink" Id="rId30" Target="https://doi.org/10.1002/alz.12923" TargetMode="External" /><Relationship Type="http://schemas.openxmlformats.org/officeDocument/2006/relationships/hyperlink" Id="rId33" Target="https://doi.org/10.1002/trc2.12265" TargetMode="External" /><Relationship Type="http://schemas.openxmlformats.org/officeDocument/2006/relationships/hyperlink" Id="rId31" Target="https://doi.org/10.1007/s11606-021-07252-z" TargetMode="External" /><Relationship Type="http://schemas.openxmlformats.org/officeDocument/2006/relationships/hyperlink" Id="rId27" Target="https://doi.org/10.1016/j.sleepx.2022.100067" TargetMode="External" /><Relationship Type="http://schemas.openxmlformats.org/officeDocument/2006/relationships/hyperlink" Id="rId25" Target="https://doi.org/10.1089/neu.2024.0142" TargetMode="External" /><Relationship Type="http://schemas.openxmlformats.org/officeDocument/2006/relationships/hyperlink" Id="rId23" Target="https://doi.org/10.1093/milmed/usae206" TargetMode="External" /><Relationship Type="http://schemas.openxmlformats.org/officeDocument/2006/relationships/hyperlink" Id="rId29" Target="https://doi.org/10.1111/acer.15008" TargetMode="External" /><Relationship Type="http://schemas.openxmlformats.org/officeDocument/2006/relationships/hyperlink" Id="rId24" Target="https://doi.org/10.1186/s13195-024-01540-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../research/white-papers/" TargetMode="External" /><Relationship Type="http://schemas.openxmlformats.org/officeDocument/2006/relationships/hyperlink" Id="rId28" Target="https://doi.org/10.1001/jamanetworkopen.2023.46006" TargetMode="External" /><Relationship Type="http://schemas.openxmlformats.org/officeDocument/2006/relationships/hyperlink" Id="rId32" Target="https://doi.org/10.1002/alz.12571" TargetMode="External" /><Relationship Type="http://schemas.openxmlformats.org/officeDocument/2006/relationships/hyperlink" Id="rId30" Target="https://doi.org/10.1002/alz.12923" TargetMode="External" /><Relationship Type="http://schemas.openxmlformats.org/officeDocument/2006/relationships/hyperlink" Id="rId33" Target="https://doi.org/10.1002/trc2.12265" TargetMode="External" /><Relationship Type="http://schemas.openxmlformats.org/officeDocument/2006/relationships/hyperlink" Id="rId31" Target="https://doi.org/10.1007/s11606-021-07252-z" TargetMode="External" /><Relationship Type="http://schemas.openxmlformats.org/officeDocument/2006/relationships/hyperlink" Id="rId27" Target="https://doi.org/10.1016/j.sleepx.2022.100067" TargetMode="External" /><Relationship Type="http://schemas.openxmlformats.org/officeDocument/2006/relationships/hyperlink" Id="rId25" Target="https://doi.org/10.1089/neu.2024.0142" TargetMode="External" /><Relationship Type="http://schemas.openxmlformats.org/officeDocument/2006/relationships/hyperlink" Id="rId23" Target="https://doi.org/10.1093/milmed/usae206" TargetMode="External" /><Relationship Type="http://schemas.openxmlformats.org/officeDocument/2006/relationships/hyperlink" Id="rId29" Target="https://doi.org/10.1111/acer.15008" TargetMode="External" /><Relationship Type="http://schemas.openxmlformats.org/officeDocument/2006/relationships/hyperlink" Id="rId24" Target="https://doi.org/10.1186/s13195-024-01540-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/>
  <cp:keywords/>
  <dcterms:created xsi:type="dcterms:W3CDTF">2025-07-01T22:16:17Z</dcterms:created>
  <dcterms:modified xsi:type="dcterms:W3CDTF">2025-07-01T22:16:17Z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Publications, projects, and academic work</vt:lpwstr>
  </property>
  <property fmtid="{D5CDD505-2E9C-101B-9397-08002B2CF9AE}" pid="9" name="toc-title">
    <vt:lpwstr>Table of contents</vt:lpwstr>
  </property>
</Properties>
</file>