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/>
      </w:pPr>
      <w:r>
        <w:rPr>
          <w:vanish/>
        </w:rPr>
        <w:t>Capa</w:t>
      </w:r>
    </w:p>
    <w:p>
      <w:pPr>
        <w:spacing w:line="240" w:lineRule="auto" w:before="0" w:after="0"/>
        <w:jc w:val="center"/>
      </w:pPr>
      <w:r>
        <w:rPr>
          <w:b/>
          <w:sz w:val="28"/>
          <w:highlight w:val="yellow"/>
        </w:rPr>
        <w:t>[NOME DA INSTITUIÇÃO]</w:t>
      </w:r>
    </w:p>
    <w:p>
      <w:pPr>
        <w:spacing w:line="240" w:lineRule="auto" w:before="80" w:after="720"/>
        <w:jc w:val="center"/>
      </w:pPr>
      <w:r>
        <w:rPr>
          <w:b w:val="0"/>
          <w:sz w:val="24"/>
          <w:highlight w:val="yellow"/>
        </w:rPr>
        <w:t>[CURSO / DISCIPLINA]</w:t>
      </w:r>
    </w:p>
    <w:p>
      <w:pPr>
        <w:spacing w:line="240" w:lineRule="auto" w:before="0" w:after="120"/>
        <w:jc w:val="center"/>
      </w:pPr>
      <w:r>
        <w:rPr>
          <w:b w:val="0"/>
          <w:sz w:val="24"/>
          <w:highlight w:val="yellow"/>
        </w:rPr>
        <w:t>[NOME COMPLETO DO ALUNO 1]</w:t>
      </w:r>
      <w:r>
        <w:rPr>
          <w:sz w:val="24"/>
        </w:rPr>
        <w:t xml:space="preserve"> – RA: </w:t>
      </w:r>
      <w:r>
        <w:rPr>
          <w:b w:val="0"/>
          <w:sz w:val="24"/>
          <w:highlight w:val="yellow"/>
        </w:rPr>
        <w:t>[RA]</w:t>
      </w:r>
    </w:p>
    <w:p>
      <w:pPr>
        <w:spacing w:line="240" w:lineRule="auto" w:before="0" w:after="120"/>
        <w:jc w:val="center"/>
      </w:pPr>
      <w:r>
        <w:rPr>
          <w:b w:val="0"/>
          <w:sz w:val="24"/>
          <w:highlight w:val="yellow"/>
        </w:rPr>
        <w:t>[NOME COMPLETO DO ALUNO 2]</w:t>
      </w:r>
      <w:r>
        <w:rPr>
          <w:sz w:val="24"/>
        </w:rPr>
        <w:t xml:space="preserve"> – RA: </w:t>
      </w:r>
      <w:r>
        <w:rPr>
          <w:b w:val="0"/>
          <w:sz w:val="24"/>
          <w:highlight w:val="yellow"/>
        </w:rPr>
        <w:t>[RA]</w:t>
      </w:r>
    </w:p>
    <w:p>
      <w:pPr>
        <w:spacing w:line="240" w:lineRule="auto" w:before="0" w:after="120"/>
        <w:jc w:val="center"/>
      </w:pPr>
      <w:r>
        <w:rPr>
          <w:b w:val="0"/>
          <w:sz w:val="24"/>
          <w:highlight w:val="yellow"/>
        </w:rPr>
        <w:t>[NOME COMPLETO DO ALUNO 3]</w:t>
      </w:r>
      <w:r>
        <w:rPr>
          <w:sz w:val="24"/>
        </w:rPr>
        <w:t xml:space="preserve"> – RA: </w:t>
      </w:r>
      <w:r>
        <w:rPr>
          <w:b w:val="0"/>
          <w:sz w:val="24"/>
          <w:highlight w:val="yellow"/>
        </w:rPr>
        <w:t>[RA]</w:t>
      </w:r>
    </w:p>
    <w:p>
      <w:pPr>
        <w:spacing w:line="240" w:lineRule="auto" w:before="0" w:after="120"/>
        <w:jc w:val="center"/>
      </w:pPr>
      <w:r>
        <w:rPr>
          <w:b w:val="0"/>
          <w:sz w:val="24"/>
          <w:highlight w:val="yellow"/>
        </w:rPr>
        <w:t>[NOME COMPLETO DO ALUNO 4]</w:t>
      </w:r>
      <w:r>
        <w:rPr>
          <w:sz w:val="24"/>
        </w:rPr>
        <w:t xml:space="preserve"> – RA: </w:t>
      </w:r>
      <w:r>
        <w:rPr>
          <w:b w:val="0"/>
          <w:sz w:val="24"/>
          <w:highlight w:val="yellow"/>
        </w:rPr>
        <w:t>[RA]</w:t>
      </w:r>
    </w:p>
    <w:p>
      <w:pPr>
        <w:spacing w:line="240" w:lineRule="auto" w:before="2200" w:after="360"/>
        <w:jc w:val="center"/>
      </w:pPr>
      <w:r>
        <w:rPr>
          <w:b/>
          <w:sz w:val="36"/>
        </w:rPr>
        <w:t>Sistema de Microsserviços para Gestão e Análise de Desempenho de Entregas em Logística Urbana</w:t>
      </w:r>
    </w:p>
    <w:p>
      <w:pPr>
        <w:spacing w:line="240" w:lineRule="auto" w:before="0" w:after="0"/>
        <w:jc w:val="center"/>
      </w:pPr>
      <w:r>
        <w:rPr>
          <w:sz w:val="24"/>
        </w:rPr>
        <w:t>Atividade para Nota 2 – Arquitetura de microsserviços com Docker e Docker Compose</w:t>
      </w:r>
    </w:p>
    <w:p>
      <w:pPr>
        <w:spacing w:line="240" w:lineRule="auto" w:before="3000" w:after="0"/>
        <w:jc w:val="center"/>
      </w:pPr>
      <w:r>
        <w:rPr>
          <w:b w:val="0"/>
          <w:sz w:val="24"/>
          <w:highlight w:val="yellow"/>
        </w:rPr>
        <w:t>[CIDADE]</w:t>
      </w:r>
    </w:p>
    <w:p>
      <w:pPr>
        <w:spacing w:line="240" w:lineRule="auto" w:before="0" w:after="0"/>
        <w:jc w:val="center"/>
      </w:pPr>
      <w:r>
        <w:rPr>
          <w:b/>
          <w:sz w:val="24"/>
        </w:rPr>
        <w:t>2026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 Introdução</w:t>
      </w:r>
    </w:p>
    <w:p>
      <w:pPr>
        <w:pStyle w:val="Heading2"/>
      </w:pPr>
      <w:r>
        <w:t>1.1 Cenário escolhido</w:t>
      </w:r>
    </w:p>
    <w:p>
      <w:pPr>
        <w:ind w:firstLine="709"/>
      </w:pPr>
      <w:r>
        <w:rPr/>
        <w:t>O cenário escolhido é o de uma transportadora urbana de médio porte que realiza entregas de mercadorias em cinco regiões de uma grande cidade (Centro, Zona Norte, Zona Sul, Zona Leste e Zona Oeste), com uma frota composta por motos, vans e caminhões e uma equipe de motoristas. Cada entrega tem um prazo previsto, um veículo e um motorista responsáveis, uma distância percorrida e um custo associado. Ao final de cada ciclo, a gestão precisa saber se a operação está cumprindo os prazos, quanto custa cada quilômetro rodado e quais regiões e motoristas exigem atenção.</w:t>
      </w:r>
    </w:p>
    <w:p>
      <w:pPr>
        <w:ind w:firstLine="709"/>
      </w:pPr>
      <w:r>
        <w:rPr/>
        <w:t>Trata-se de um cenário não trivial porque envolve múltiplas entidades relacionadas (motoristas, veículos e entregas), regras de negócio derivadas (como o cálculo de atraso a partir de duas datas), agregações em diferentes níveis (geral, por região e por motorista) e a detecção de casos atípicos, como atrasos críticos e custos fora do padrão. Os dados utilizados são sintéticos e gerados de forma determinística, o que permite reproduzir exatamente os mesmos resultados a cada execução.</w:t>
      </w:r>
    </w:p>
    <w:p>
      <w:pPr>
        <w:pStyle w:val="Heading2"/>
      </w:pPr>
      <w:r>
        <w:t>1.2 Problema</w:t>
      </w:r>
    </w:p>
    <w:p>
      <w:pPr>
        <w:ind w:firstLine="709"/>
      </w:pPr>
      <w:r>
        <w:rPr/>
        <w:t>Sem uma visão consolidada, a gestão da transportadora decide com base em percepções isoladas. Faltam respostas objetivas para perguntas como: qual percentual das entregas chega no prazo? Qual é o atraso médio quando ocorre? Em que região a operação é mais lenta ou mais cara? Quais motoristas são mais pontuais? Existem entregas com atrasos graves ou custos atípicos que merecem investigação? Além disso, os dados brutos precisam chegar à gestão em formatos adequados a cada uso: JSON para integração com outros sistemas, CSV para planilhas e HTML para leitura direta.</w:t>
      </w:r>
    </w:p>
    <w:p>
      <w:pPr>
        <w:pStyle w:val="Heading2"/>
      </w:pPr>
      <w:r>
        <w:t>1.3 Objetivos</w:t>
      </w:r>
    </w:p>
    <w:p>
      <w:pPr>
        <w:ind w:firstLine="709"/>
      </w:pPr>
      <w:r>
        <w:rPr>
          <w:b/>
        </w:rPr>
        <w:t>Objetivo geral:</w:t>
      </w:r>
      <w:r>
        <w:rPr/>
        <w:t xml:space="preserve"> construir um sistema organizado em microsserviços, que se comunicam por HTTP, capaz de armazenar os dados operacionais de entregas, calcular indicadores de desempenho e gerar um relatório final consolidado, com todos os serviços containerizados com Docker e orquestrados com Docker Compose.</w:t>
      </w:r>
    </w:p>
    <w:p>
      <w:r>
        <w:rPr>
          <w:b/>
        </w:rPr>
        <w:t>Objetivos específicos:</w:t>
      </w:r>
    </w:p>
    <w:p>
      <w:pPr>
        <w:pStyle w:val="ListBullet"/>
      </w:pPr>
      <w:r>
        <w:rPr/>
        <w:t>implementar um Serviço de Dados com banco relacional (PostgreSQL) e endpoints de leitura e escrita;</w:t>
      </w:r>
    </w:p>
    <w:p>
      <w:pPr>
        <w:pStyle w:val="ListBullet"/>
      </w:pPr>
      <w:r>
        <w:rPr/>
        <w:t>implementar um Serviço de Processamento que consome os dados exclusivamente via HTTP e aplica a lógica de cálculo de indicadores (pontualidade, atrasos, custo por quilômetro, ranking e outliers);</w:t>
      </w:r>
    </w:p>
    <w:p>
      <w:pPr>
        <w:pStyle w:val="ListBullet"/>
      </w:pPr>
      <w:r>
        <w:rPr/>
        <w:t>implementar um Serviço de Relatório que orquestra os demais serviços e entrega o resultado em JSON, CSV e HTML;</w:t>
      </w:r>
    </w:p>
    <w:p>
      <w:pPr>
        <w:pStyle w:val="ListBullet"/>
      </w:pPr>
      <w:r>
        <w:rPr/>
        <w:t>empacotar cada serviço em seu próprio Dockerfile e orquestrá-los com Docker Compose, com verificações de saúde (healthchecks) e ordem de inicialização;</w:t>
      </w:r>
    </w:p>
    <w:p>
      <w:pPr>
        <w:pStyle w:val="ListBullet"/>
      </w:pPr>
      <w:r>
        <w:rPr/>
        <w:t>validar o funcionamento com testes automatizados e com um roteiro de verificação de ponta a ponta, registrando as evidências.</w:t>
      </w:r>
    </w:p>
    <w:p>
      <w:pPr>
        <w:pStyle w:val="Heading2"/>
      </w:pPr>
      <w:r>
        <w:t>1.4 Atendimento aos requisitos da atividade</w:t>
      </w:r>
    </w:p>
    <w:p>
      <w:pPr>
        <w:ind w:firstLine="709"/>
      </w:pPr>
      <w:r>
        <w:rPr/>
        <w:t>A Tabela 1 relaciona cada requisito do enunciado da atividade à parte do sistema que o atende.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1 – Requisitos da atividade e como foram atendidos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3118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5953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Como foi atendido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Pelo menos três microsserviços comunicando-se via HTTP</w:t>
            </w:r>
          </w:p>
        </w:tc>
        <w:tc>
          <w:tcPr>
            <w:tcW w:type="dxa" w:w="595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Três serviços (Dados, Processamento e Relatório) que se chamam por HTTP/JSON, mais o banco PostgreSQL.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Serviço de Dados (banco + leitura/escrita)</w:t>
            </w:r>
          </w:p>
        </w:tc>
        <w:tc>
          <w:tcPr>
            <w:tcW w:type="dxa" w:w="595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sz w:val="18"/>
              </w:rPr>
              <w:t>servico-dados</w:t>
            </w:r>
            <w:r>
              <w:rPr>
                <w:sz w:val="20"/>
              </w:rPr>
              <w:t>, com PostgreSQL e endpoints GET, POST e PATCH sobre motoristas, veículos e entregas.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Serviço de Processamento</w:t>
            </w:r>
          </w:p>
        </w:tc>
        <w:tc>
          <w:tcPr>
            <w:tcW w:type="dxa" w:w="595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sz w:val="18"/>
              </w:rPr>
              <w:t>servico-processamento</w:t>
            </w:r>
            <w:r>
              <w:rPr>
                <w:sz w:val="20"/>
              </w:rPr>
              <w:t>, que obtém os dados via HTTP e calcula indicadores, ranking e outliers.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Serviço de Relatório (orquestração)</w:t>
            </w:r>
          </w:p>
        </w:tc>
        <w:tc>
          <w:tcPr>
            <w:tcW w:type="dxa" w:w="595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sz w:val="18"/>
              </w:rPr>
              <w:t>servico-relatorio</w:t>
            </w:r>
            <w:r>
              <w:rPr>
                <w:sz w:val="20"/>
              </w:rPr>
              <w:t>, que chama Dados e Processamento e gera o relatório em JSON, CSV ou HTML.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Um Dockerfile por serviço</w:t>
            </w:r>
          </w:p>
        </w:tc>
        <w:tc>
          <w:tcPr>
            <w:tcW w:type="dxa" w:w="595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Três Dockerfiles, um em cada diretório de serviço.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Orquestração com Docker Compose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sz w:val="18"/>
              </w:rPr>
              <w:t>docker-compose.yml</w:t>
            </w:r>
            <w:r>
              <w:rPr>
                <w:sz w:val="20"/>
              </w:rPr>
              <w:t xml:space="preserve"> com rede própria, healthchecks, </w:t>
            </w:r>
            <w:r>
              <w:rPr>
                <w:rFonts w:ascii="Courier New" w:hAnsi="Courier New" w:eastAsia="Courier New"/>
                <w:b w:val="0"/>
                <w:sz w:val="18"/>
              </w:rPr>
              <w:t>depends_on</w:t>
            </w:r>
            <w:r>
              <w:rPr>
                <w:sz w:val="20"/>
              </w:rPr>
              <w:t xml:space="preserve"> e portas publicadas.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elaborado pelos autores (2026).</w:t>
      </w:r>
    </w:p>
    <w:p>
      <w:pPr>
        <w:pStyle w:val="Heading1"/>
      </w:pPr>
      <w:r>
        <w:t>2 Metodologia</w:t>
      </w:r>
    </w:p>
    <w:p>
      <w:pPr>
        <w:pStyle w:val="Heading2"/>
      </w:pPr>
      <w:r>
        <w:t>2.1 Arquitetura geral</w:t>
      </w:r>
    </w:p>
    <w:p>
      <w:pPr>
        <w:ind w:firstLine="709"/>
      </w:pPr>
      <w:r>
        <w:rPr/>
        <w:t>A arquitetura segue a ideia central de microsserviços descrita por Fowler e Lewis (2014): o sistema é dividido em serviços pequenos, cada um com uma responsabilidade bem definida, executando em seu próprio processo e comunicando-se por mecanismos leves, tipicamente uma API HTTP. Newman (2021) destaca que essa separação favorece a implantação independente e a evolução isolada de cada parte, ao custo de maior complexidade de comunicação e operação, aspecto tratado neste trabalho com healthchecks e tratamento de falhas entre serviços.</w:t>
      </w:r>
    </w:p>
    <w:p>
      <w:pPr>
        <w:ind w:firstLine="709"/>
      </w:pPr>
      <w:r>
        <w:rPr/>
        <w:t xml:space="preserve">A Figura 1 apresenta o diagrama de arquitetura. O cliente (navegador ou </w:t>
      </w:r>
      <w:r>
        <w:rPr>
          <w:rFonts w:ascii="Courier New" w:hAnsi="Courier New" w:eastAsia="Courier New"/>
          <w:b w:val="0"/>
          <w:sz w:val="22"/>
        </w:rPr>
        <w:t>curl</w:t>
      </w:r>
      <w:r>
        <w:rPr/>
        <w:t>) acessa apenas o Serviço de Relatório (porta 8003). Este chama o Serviço de Processamento (porta 8002), que por sua vez consulta o Serviço de Dados (porta 8001). O Serviço de Relatório também consulta diretamente o Serviço de Dados para obter o inventário da base. Somente o Serviço de Dados acessa o PostgreSQL, que não tem porta publicada no computador hospedeiro.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Figura 1 – Arquitetura do sistema de microsserviços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8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0"/>
        </w:rPr>
        <w:t>Fonte: elaborado pelos autores (2026).</w:t>
      </w:r>
    </w:p>
    <w:p>
      <w:pPr>
        <w:pStyle w:val="Heading2"/>
      </w:pPr>
      <w:r>
        <w:t>2.2 Tecnologias e justificativas</w:t>
      </w:r>
    </w:p>
    <w:p>
      <w:pPr>
        <w:ind w:firstLine="709"/>
      </w:pPr>
      <w:r>
        <w:rPr/>
        <w:t>A Tabela 2 lista as tecnologias adotadas e o motivo de cada escolha. O critério geral foi usar o menor conjunto de ferramentas capaz de cumprir os requisitos, todas amplamente documentadas e fáceis de explicar e reproduzir.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2 – Tecnologias adotadas e justificativas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041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Tecnologia</w:t>
            </w:r>
          </w:p>
        </w:tc>
        <w:tc>
          <w:tcPr>
            <w:tcW w:type="dxa" w:w="215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Papel</w:t>
            </w:r>
          </w:p>
        </w:tc>
        <w:tc>
          <w:tcPr>
            <w:tcW w:type="dxa" w:w="4876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Justificativa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Python 3.12 e Flask 3.0.3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API HTTP dos três serviços</w:t>
            </w:r>
          </w:p>
        </w:tc>
        <w:tc>
          <w:tcPr>
            <w:tcW w:type="dxa" w:w="48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Microframework enxuto, com poucas linhas por endpoint e documentação extensa (PALLETS, s.d.; PYTHON SOFTWARE FOUNDATION, s.d.). Mantém o foco na arquitetura, não no framework.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Gunicorn 22.0.0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Servidor WSGI nos contêineres</w:t>
            </w:r>
          </w:p>
        </w:tc>
        <w:tc>
          <w:tcPr>
            <w:tcW w:type="dxa" w:w="48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Evita executar o servidor de desenvolvimento do Flask; dois processos de trabalho por serviço.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PostgreSQL 16.10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Banco relacional do Serviço de Dados</w:t>
            </w:r>
          </w:p>
        </w:tc>
        <w:tc>
          <w:tcPr>
            <w:tcW w:type="dxa" w:w="48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 xml:space="preserve">As entidades têm relacionamentos claros; chaves estrangeiras e restrições </w:t>
            </w:r>
            <w:r>
              <w:rPr>
                <w:rFonts w:ascii="Courier New" w:hAnsi="Courier New" w:eastAsia="Courier New"/>
                <w:b w:val="0"/>
                <w:sz w:val="18"/>
              </w:rPr>
              <w:t>CHECK</w:t>
            </w:r>
            <w:r>
              <w:rPr>
                <w:sz w:val="20"/>
              </w:rPr>
              <w:t xml:space="preserve"> garantem integridade (POSTGRESQL GLOBAL DEVELOPMENT GROUP, s.d.).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psycopg2-binary 2.9.9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Acesso ao banco</w:t>
            </w:r>
          </w:p>
        </w:tc>
        <w:tc>
          <w:tcPr>
            <w:tcW w:type="dxa" w:w="48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SQL puro e parametrizado (sem concatenação de texto), com pool de conexões; sem ORM, para que cada consulta seja explicável.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requests 2.32.3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Cliente HTTP entre serviços</w:t>
            </w:r>
          </w:p>
        </w:tc>
        <w:tc>
          <w:tcPr>
            <w:tcW w:type="dxa" w:w="48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Sessões, tempo limite e novas tentativas simples para chamadas entre Relatório, Processamento e Dados.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Docker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Empacotamento de cada serviço</w:t>
            </w:r>
          </w:p>
        </w:tc>
        <w:tc>
          <w:tcPr>
            <w:tcW w:type="dxa" w:w="48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 xml:space="preserve">Um Dockerfile por serviço, imagem base </w:t>
            </w:r>
            <w:r>
              <w:rPr>
                <w:rFonts w:ascii="Courier New" w:hAnsi="Courier New" w:eastAsia="Courier New"/>
                <w:b w:val="0"/>
                <w:sz w:val="18"/>
              </w:rPr>
              <w:t>python:3.12.12-slim</w:t>
            </w:r>
            <w:r>
              <w:rPr>
                <w:sz w:val="20"/>
              </w:rPr>
              <w:t xml:space="preserve"> (versão de patch fixada), usuário sem privilégios; garante ambiente idêntico em qualquer máquina (DOCKER INC., s.d.).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Docker Compose</w:t>
            </w:r>
          </w:p>
        </w:tc>
        <w:tc>
          <w:tcPr>
            <w:tcW w:type="dxa" w:w="215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Orquestração local</w:t>
            </w:r>
          </w:p>
        </w:tc>
        <w:tc>
          <w:tcPr>
            <w:tcW w:type="dxa" w:w="48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Sobe todos os serviços com um comando, define rede, ordem de inicialização e healthchecks (COMPOSE SPECIFICATION, s.d.).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pytest 8.2.2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Testes automatizados</w:t>
            </w:r>
          </w:p>
        </w:tc>
        <w:tc>
          <w:tcPr>
            <w:tcW w:type="dxa" w:w="487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Valida cálculos, cliente HTTP, rotas e validações dos três serviços sem depender de Docker, rede ou banco (HTTP e banco simulados).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elaborado pelos autores (2026).</w:t>
      </w:r>
    </w:p>
    <w:p>
      <w:pPr>
        <w:pStyle w:val="Heading2"/>
      </w:pPr>
      <w:r>
        <w:t>2.3 Serviço de Dados</w:t>
      </w:r>
    </w:p>
    <w:p>
      <w:pPr>
        <w:ind w:firstLine="709"/>
      </w:pPr>
      <w:r>
        <w:rPr/>
        <w:t xml:space="preserve">O Serviço de Dados é o único componente que acessa o banco. Ele cria o esquema e carrega os dados sintéticos na inicialização, por meio do script </w:t>
      </w:r>
      <w:r>
        <w:rPr>
          <w:rFonts w:ascii="Courier New" w:hAnsi="Courier New" w:eastAsia="Courier New"/>
          <w:b w:val="0"/>
          <w:sz w:val="22"/>
        </w:rPr>
        <w:t>init_db.py</w:t>
      </w:r>
      <w:r>
        <w:rPr/>
        <w:t>, executado antes do servidor Gunicorn. O script aguarda o banco ficar disponível (tentativas a cada 2 segundos, por até 60 segundos), aplica o esquema de forma idempotente e só semeia os dados se a tabela de motoristas estiver vazia, evitando duplicação quando o contêiner é reiniciado.</w:t>
      </w:r>
    </w:p>
    <w:p>
      <w:pPr>
        <w:ind w:firstLine="709"/>
      </w:pPr>
      <w:r>
        <w:rPr/>
        <w:t>A carga inicial usa uma semente fixa (42) e uma data base fixa, de modo que o conjunto é sempre idêntico: 20 motoristas, 12 veículos e 400 entregas, com datas de saída entre março e maio de 2026. Cada motorista recebe uma propensão a atraso própria e cada região, um fator de distância e tráfego, para que a análise apresente diferenças reais entre eles. A Tabela 3 resume o modelo de dados.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3 – Modelo de dados do Serviço de 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47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Tabela</w:t>
            </w:r>
          </w:p>
        </w:tc>
        <w:tc>
          <w:tcPr>
            <w:tcW w:type="dxa" w:w="3628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Colunas principais</w:t>
            </w:r>
          </w:p>
        </w:tc>
        <w:tc>
          <w:tcPr>
            <w:tcW w:type="dxa" w:w="3969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Restrições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motoristas</w:t>
            </w:r>
          </w:p>
        </w:tc>
        <w:tc>
          <w:tcPr>
            <w:tcW w:type="dxa" w:w="362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id, nome, cnh_categoria, cidade_base, data_admissao</w:t>
            </w:r>
          </w:p>
        </w:tc>
        <w:tc>
          <w:tcPr>
            <w:tcW w:type="dxa" w:w="39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 xml:space="preserve">Chave primária </w:t>
            </w:r>
            <w:r>
              <w:rPr>
                <w:rFonts w:ascii="Courier New" w:hAnsi="Courier New" w:eastAsia="Courier New"/>
                <w:b w:val="0"/>
                <w:sz w:val="18"/>
              </w:rPr>
              <w:t>id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veiculos</w:t>
            </w:r>
          </w:p>
        </w:tc>
        <w:tc>
          <w:tcPr>
            <w:tcW w:type="dxa" w:w="362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id, placa, tipo, capacidade_kg, ano</w:t>
            </w:r>
          </w:p>
        </w:tc>
        <w:tc>
          <w:tcPr>
            <w:tcW w:type="dxa" w:w="39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eastAsia="Courier New"/>
                <w:b w:val="0"/>
                <w:sz w:val="18"/>
              </w:rPr>
              <w:t>placa</w:t>
            </w:r>
            <w:r>
              <w:rPr>
                <w:sz w:val="20"/>
              </w:rPr>
              <w:t xml:space="preserve"> única; </w:t>
            </w:r>
            <w:r>
              <w:rPr>
                <w:rFonts w:ascii="Courier New" w:hAnsi="Courier New" w:eastAsia="Courier New"/>
                <w:b w:val="0"/>
                <w:sz w:val="18"/>
              </w:rPr>
              <w:t>capacidade_kg</w:t>
            </w:r>
            <w:r>
              <w:rPr>
                <w:sz w:val="20"/>
              </w:rPr>
              <w:t xml:space="preserve"> &gt; 0; tipos MOTO, VAN, CAMINHAO_LEVE e CAMINHAO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entregas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id, motorista_id, veiculo_id, regiao, status, distancia_km, custo, peso_kg, data_saida, prazo_previsto, entregue_em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 xml:space="preserve">Chaves estrangeiras para motoristas e veículos; </w:t>
            </w:r>
            <w:r>
              <w:rPr>
                <w:rFonts w:ascii="Courier New" w:hAnsi="Courier New" w:eastAsia="Courier New"/>
                <w:b w:val="0"/>
                <w:sz w:val="18"/>
              </w:rPr>
              <w:t>status</w:t>
            </w:r>
            <w:r>
              <w:rPr>
                <w:sz w:val="20"/>
              </w:rPr>
              <w:t xml:space="preserve"> em ENTREGUE, EM_ROTA, CANCELADA ou FALHA; </w:t>
            </w:r>
            <w:r>
              <w:rPr>
                <w:rFonts w:ascii="Courier New" w:hAnsi="Courier New" w:eastAsia="Courier New"/>
                <w:b w:val="0"/>
                <w:sz w:val="18"/>
              </w:rPr>
              <w:t>distancia_km</w:t>
            </w:r>
            <w:r>
              <w:rPr>
                <w:sz w:val="20"/>
              </w:rPr>
              <w:t xml:space="preserve"> e </w:t>
            </w:r>
            <w:r>
              <w:rPr>
                <w:rFonts w:ascii="Courier New" w:hAnsi="Courier New" w:eastAsia="Courier New"/>
                <w:b w:val="0"/>
                <w:sz w:val="18"/>
              </w:rPr>
              <w:t>custo</w:t>
            </w:r>
            <w:r>
              <w:rPr>
                <w:sz w:val="20"/>
              </w:rPr>
              <w:t xml:space="preserve"> não negativos; </w:t>
            </w:r>
            <w:r>
              <w:rPr>
                <w:rFonts w:ascii="Courier New" w:hAnsi="Courier New" w:eastAsia="Courier New"/>
                <w:b w:val="0"/>
                <w:sz w:val="18"/>
              </w:rPr>
              <w:t>peso_kg</w:t>
            </w:r>
            <w:r>
              <w:rPr>
                <w:sz w:val="20"/>
              </w:rPr>
              <w:t xml:space="preserve"> &gt; 0; </w:t>
            </w:r>
            <w:r>
              <w:rPr>
                <w:rFonts w:ascii="Courier New" w:hAnsi="Courier New" w:eastAsia="Courier New"/>
                <w:b w:val="0"/>
                <w:sz w:val="18"/>
              </w:rPr>
              <w:t>entregue_em</w:t>
            </w:r>
            <w:r>
              <w:rPr>
                <w:sz w:val="20"/>
              </w:rPr>
              <w:t xml:space="preserve"> nulo quando não entregue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elaborado pelos autores (2026).</w:t>
      </w:r>
    </w:p>
    <w:p>
      <w:pPr>
        <w:ind w:firstLine="709"/>
      </w:pPr>
      <w:r>
        <w:rPr/>
        <w:t xml:space="preserve">O atraso não é armazenado: é derivado de </w:t>
      </w:r>
      <w:r>
        <w:rPr>
          <w:rFonts w:ascii="Courier New" w:hAnsi="Courier New" w:eastAsia="Courier New"/>
          <w:b w:val="0"/>
          <w:sz w:val="22"/>
        </w:rPr>
        <w:t>entregue_em</w:t>
      </w:r>
      <w:r>
        <w:rPr/>
        <w:t xml:space="preserve"> e </w:t>
      </w:r>
      <w:r>
        <w:rPr>
          <w:rFonts w:ascii="Courier New" w:hAnsi="Courier New" w:eastAsia="Courier New"/>
          <w:b w:val="0"/>
          <w:sz w:val="22"/>
        </w:rPr>
        <w:t>prazo_previsto</w:t>
      </w:r>
      <w:r>
        <w:rPr/>
        <w:t xml:space="preserve"> pelo Serviço de Processamento, o que evita redundância e inconsistência. A Tabela 4 apresenta os endpoints. Entradas inválidas resultam em resposta JSON com status 400, recursos inexistentes em 404, método não permitido em 405, placa duplicada em 409, erro interno em 500 e banco indisponível em 503. Os timestamps são armazenados sem fuso horário: um deslocamento enviado na requisição (por exemplo </w:t>
      </w:r>
      <w:r>
        <w:rPr>
          <w:rFonts w:ascii="Courier New" w:hAnsi="Courier New" w:eastAsia="Courier New"/>
          <w:b w:val="0"/>
          <w:sz w:val="22"/>
        </w:rPr>
        <w:t>-03:00</w:t>
      </w:r>
      <w:r>
        <w:rPr/>
        <w:t>) é descartado e o horário informado é mantido. Todas as consultas usam parâmetros do driver, nunca concatenação de texto.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4 – Endpoints do Serviço de Dados (porta 8001)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13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175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Caminho</w:t>
            </w:r>
          </w:p>
        </w:tc>
        <w:tc>
          <w:tcPr>
            <w:tcW w:type="dxa" w:w="4762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/health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Saúde do serviço e do banco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/resumo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Contagem de motoristas, veículos e entregas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/motoristas, /motoristas/&lt;id&gt;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 xml:space="preserve">Lista paginada (filtro </w:t>
            </w:r>
            <w:r>
              <w:rPr>
                <w:rFonts w:ascii="Courier New" w:hAnsi="Courier New" w:eastAsia="Courier New"/>
                <w:b w:val="0"/>
                <w:sz w:val="18"/>
              </w:rPr>
              <w:t>cidade_base</w:t>
            </w:r>
            <w:r>
              <w:rPr>
                <w:sz w:val="20"/>
              </w:rPr>
              <w:t>) e detalhe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/motoristas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Cria motorista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/veiculos, /veiculos/&lt;id&gt;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 xml:space="preserve">Lista paginada (filtro </w:t>
            </w:r>
            <w:r>
              <w:rPr>
                <w:rFonts w:ascii="Courier New" w:hAnsi="Courier New" w:eastAsia="Courier New"/>
                <w:b w:val="0"/>
                <w:sz w:val="18"/>
              </w:rPr>
              <w:t>tipo</w:t>
            </w:r>
            <w:r>
              <w:rPr>
                <w:sz w:val="20"/>
              </w:rPr>
              <w:t>) e detalhe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/veiculos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Cria veículo (placa duplicada: 409)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/entregas, /entregas/&lt;id&gt;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 xml:space="preserve">Lista paginada com filtros </w:t>
            </w:r>
            <w:r>
              <w:rPr>
                <w:rFonts w:ascii="Courier New" w:hAnsi="Courier New" w:eastAsia="Courier New"/>
                <w:b w:val="0"/>
                <w:sz w:val="18"/>
              </w:rPr>
              <w:t>regiao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sz w:val="18"/>
              </w:rPr>
              <w:t>status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sz w:val="18"/>
              </w:rPr>
              <w:t>motorista_id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sz w:val="18"/>
              </w:rPr>
              <w:t>veiculo_id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sz w:val="18"/>
              </w:rPr>
              <w:t>data_inicio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sz w:val="18"/>
              </w:rPr>
              <w:t>data_fim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/entregas</w:t>
            </w:r>
          </w:p>
        </w:tc>
        <w:tc>
          <w:tcPr>
            <w:tcW w:type="dxa" w:w="476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Cria entrega, validando chaves estrangeiras, status e datas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PATCH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/entregas/&lt;id&gt;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 xml:space="preserve">Atualiza </w:t>
            </w:r>
            <w:r>
              <w:rPr>
                <w:rFonts w:ascii="Courier New" w:hAnsi="Courier New" w:eastAsia="Courier New"/>
                <w:b w:val="0"/>
                <w:sz w:val="18"/>
              </w:rPr>
              <w:t>status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sz w:val="18"/>
              </w:rPr>
              <w:t>entregue_em</w:t>
            </w:r>
            <w:r>
              <w:rPr>
                <w:sz w:val="20"/>
              </w:rPr>
              <w:t xml:space="preserve"> e/ou </w:t>
            </w:r>
            <w:r>
              <w:rPr>
                <w:rFonts w:ascii="Courier New" w:hAnsi="Courier New" w:eastAsia="Courier New"/>
                <w:b w:val="0"/>
                <w:sz w:val="18"/>
              </w:rPr>
              <w:t>custo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elaborado pelos autores (2026).</w:t>
      </w:r>
    </w:p>
    <w:p>
      <w:pPr>
        <w:ind w:firstLine="709"/>
      </w:pPr>
      <w:r>
        <w:rPr/>
        <w:t xml:space="preserve">A paginação usa os parâmetros </w:t>
      </w:r>
      <w:r>
        <w:rPr>
          <w:rFonts w:ascii="Courier New" w:hAnsi="Courier New" w:eastAsia="Courier New"/>
          <w:b w:val="0"/>
          <w:sz w:val="22"/>
        </w:rPr>
        <w:t>limit</w:t>
      </w:r>
      <w:r>
        <w:rPr/>
        <w:t xml:space="preserve"> (padrão 100, máximo 1.000) e </w:t>
      </w:r>
      <w:r>
        <w:rPr>
          <w:rFonts w:ascii="Courier New" w:hAnsi="Courier New" w:eastAsia="Courier New"/>
          <w:b w:val="0"/>
          <w:sz w:val="22"/>
        </w:rPr>
        <w:t>offset</w:t>
      </w:r>
      <w:r>
        <w:rPr/>
        <w:t xml:space="preserve">, e a resposta tem o formato </w:t>
      </w:r>
      <w:r>
        <w:rPr>
          <w:rFonts w:ascii="Courier New" w:hAnsi="Courier New" w:eastAsia="Courier New"/>
          <w:b w:val="0"/>
          <w:sz w:val="22"/>
        </w:rPr>
        <w:t>total</w:t>
      </w:r>
      <w:r>
        <w:rPr/>
        <w:t xml:space="preserve">, </w:t>
      </w:r>
      <w:r>
        <w:rPr>
          <w:rFonts w:ascii="Courier New" w:hAnsi="Courier New" w:eastAsia="Courier New"/>
          <w:b w:val="0"/>
          <w:sz w:val="22"/>
        </w:rPr>
        <w:t>limit</w:t>
      </w:r>
      <w:r>
        <w:rPr/>
        <w:t xml:space="preserve">, </w:t>
      </w:r>
      <w:r>
        <w:rPr>
          <w:rFonts w:ascii="Courier New" w:hAnsi="Courier New" w:eastAsia="Courier New"/>
          <w:b w:val="0"/>
          <w:sz w:val="22"/>
        </w:rPr>
        <w:t>offset</w:t>
      </w:r>
      <w:r>
        <w:rPr/>
        <w:t xml:space="preserve"> e </w:t>
      </w:r>
      <w:r>
        <w:rPr>
          <w:rFonts w:ascii="Courier New" w:hAnsi="Courier New" w:eastAsia="Courier New"/>
          <w:b w:val="0"/>
          <w:sz w:val="22"/>
        </w:rPr>
        <w:t>itens</w:t>
      </w:r>
      <w:r>
        <w:rPr/>
        <w:t>.</w:t>
      </w:r>
    </w:p>
    <w:p>
      <w:pPr>
        <w:pStyle w:val="Heading2"/>
      </w:pPr>
      <w:r>
        <w:t>2.4 Serviço de Processamento</w:t>
      </w:r>
    </w:p>
    <w:p>
      <w:pPr>
        <w:ind w:firstLine="709"/>
      </w:pPr>
      <w:r>
        <w:rPr/>
        <w:t xml:space="preserve">O Serviço de Processamento não possui driver de banco de dados: todos os dados chegam por HTTP do Serviço de Dados. O módulo </w:t>
      </w:r>
      <w:r>
        <w:rPr>
          <w:rFonts w:ascii="Courier New" w:hAnsi="Courier New" w:eastAsia="Courier New"/>
          <w:b w:val="0"/>
          <w:sz w:val="22"/>
        </w:rPr>
        <w:t>cliente_dados.py</w:t>
      </w:r>
      <w:r>
        <w:rPr/>
        <w:t xml:space="preserve"> percorre as páginas de 1.000 itens, usa tempo limite de 5 segundos e duas tentativas com espera de 1 segundo (pior caso de cerca de 11 segundos por chamada); se o Serviço de Dados estiver indisponível, a resposta é 502, e parâmetros inválidos resultam em 400. A lógica de negócio fica em </w:t>
      </w:r>
      <w:r>
        <w:rPr>
          <w:rFonts w:ascii="Courier New" w:hAnsi="Courier New" w:eastAsia="Courier New"/>
          <w:b w:val="0"/>
          <w:sz w:val="22"/>
        </w:rPr>
        <w:t>calculos.py</w:t>
      </w:r>
      <w:r>
        <w:rPr/>
        <w:t>, composto por funções puras (sem entrada e saída), o que facilita o teste unitário. A Tabela 5 apresenta os indicadores e suas definições.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5 – Indicadores calculados pelo Serviço de Processamento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2381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6690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Atraso (min)</w:t>
            </w:r>
          </w:p>
        </w:tc>
        <w:tc>
          <w:tcPr>
            <w:tcW w:type="dxa" w:w="669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Para entregas ENTREGUE: máximo entre 0 e (</w:t>
            </w:r>
            <w:r>
              <w:rPr>
                <w:rFonts w:ascii="Courier New" w:hAnsi="Courier New" w:eastAsia="Courier New"/>
                <w:b w:val="0"/>
                <w:sz w:val="18"/>
              </w:rPr>
              <w:t>entregue_em</w:t>
            </w:r>
            <w:r>
              <w:rPr>
                <w:sz w:val="20"/>
              </w:rPr>
              <w:t xml:space="preserve"> − </w:t>
            </w:r>
            <w:r>
              <w:rPr>
                <w:rFonts w:ascii="Courier New" w:hAnsi="Courier New" w:eastAsia="Courier New"/>
                <w:b w:val="0"/>
                <w:sz w:val="18"/>
              </w:rPr>
              <w:t>prazo_previsto</w:t>
            </w:r>
            <w:r>
              <w:rPr>
                <w:sz w:val="20"/>
              </w:rPr>
              <w:t>), em minutos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No prazo</w:t>
            </w:r>
          </w:p>
        </w:tc>
        <w:tc>
          <w:tcPr>
            <w:tcW w:type="dxa" w:w="669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Entrega concluída com atraso igual a 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% no prazo</w:t>
            </w:r>
          </w:p>
        </w:tc>
        <w:tc>
          <w:tcPr>
            <w:tcW w:type="dxa" w:w="669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Entregas no prazo ÷ entregas concluídas × 100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Atraso médio</w:t>
            </w:r>
          </w:p>
        </w:tc>
        <w:tc>
          <w:tcPr>
            <w:tcW w:type="dxa" w:w="669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Média dos atrasos maiores que 0 (entregas atrasadas)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Atraso médio geral</w:t>
            </w:r>
          </w:p>
        </w:tc>
        <w:tc>
          <w:tcPr>
            <w:tcW w:type="dxa" w:w="669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Média do atraso sobre todas as entregas concluídas, incluindo as pontuais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Custo por km</w:t>
            </w:r>
          </w:p>
        </w:tc>
        <w:tc>
          <w:tcPr>
            <w:tcW w:type="dxa" w:w="669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Soma dos custos ÷ soma das distâncias, apenas entregas concluídas (0 se não houver distância)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Ranking de motoristas</w:t>
            </w:r>
          </w:p>
        </w:tc>
        <w:tc>
          <w:tcPr>
            <w:tcW w:type="dxa" w:w="669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Ordenado por % no prazo (decrescente), depois atraso médio (crescente) e nome; só entra quem tem pelo menos 5 entregas concluídas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Atraso crítico</w:t>
            </w:r>
          </w:p>
        </w:tc>
        <w:tc>
          <w:tcPr>
            <w:tcW w:type="dxa" w:w="669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Entrega concluída com atraso de 120 minutos ou mais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Outlier de custo por km</w:t>
            </w:r>
          </w:p>
        </w:tc>
        <w:tc>
          <w:tcPr>
            <w:tcW w:type="dxa" w:w="669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Regra do IQR sobre o custo por km de cada entrega: valores acima de Q3 + 1,5 × (Q3 − Q1)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elaborado pelos autores (2026).</w:t>
      </w:r>
    </w:p>
    <w:p>
      <w:pPr>
        <w:ind w:firstLine="709"/>
      </w:pPr>
      <w:r>
        <w:rPr/>
        <w:t xml:space="preserve">Os principais endpoints são </w:t>
      </w:r>
      <w:r>
        <w:rPr>
          <w:rFonts w:ascii="Courier New" w:hAnsi="Courier New" w:eastAsia="Courier New"/>
          <w:b w:val="0"/>
          <w:sz w:val="22"/>
        </w:rPr>
        <w:t>/metricas/resumo</w:t>
      </w:r>
      <w:r>
        <w:rPr/>
        <w:t xml:space="preserve">, </w:t>
      </w:r>
      <w:r>
        <w:rPr>
          <w:rFonts w:ascii="Courier New" w:hAnsi="Courier New" w:eastAsia="Courier New"/>
          <w:b w:val="0"/>
          <w:sz w:val="22"/>
        </w:rPr>
        <w:t>/metricas/status</w:t>
      </w:r>
      <w:r>
        <w:rPr/>
        <w:t xml:space="preserve">, </w:t>
      </w:r>
      <w:r>
        <w:rPr>
          <w:rFonts w:ascii="Courier New" w:hAnsi="Courier New" w:eastAsia="Courier New"/>
          <w:b w:val="0"/>
          <w:sz w:val="22"/>
        </w:rPr>
        <w:t>/metricas/regioes</w:t>
      </w:r>
      <w:r>
        <w:rPr/>
        <w:t xml:space="preserve">, </w:t>
      </w:r>
      <w:r>
        <w:rPr>
          <w:rFonts w:ascii="Courier New" w:hAnsi="Courier New" w:eastAsia="Courier New"/>
          <w:b w:val="0"/>
          <w:sz w:val="22"/>
        </w:rPr>
        <w:t>/metricas/motoristas/ranking</w:t>
      </w:r>
      <w:r>
        <w:rPr/>
        <w:t xml:space="preserve">, </w:t>
      </w:r>
      <w:r>
        <w:rPr>
          <w:rFonts w:ascii="Courier New" w:hAnsi="Courier New" w:eastAsia="Courier New"/>
          <w:b w:val="0"/>
          <w:sz w:val="22"/>
        </w:rPr>
        <w:t>/metricas/atrasos-criticos</w:t>
      </w:r>
      <w:r>
        <w:rPr/>
        <w:t xml:space="preserve">, </w:t>
      </w:r>
      <w:r>
        <w:rPr>
          <w:rFonts w:ascii="Courier New" w:hAnsi="Courier New" w:eastAsia="Courier New"/>
          <w:b w:val="0"/>
          <w:sz w:val="22"/>
        </w:rPr>
        <w:t>/metricas/outliers-custo</w:t>
      </w:r>
      <w:r>
        <w:rPr/>
        <w:t xml:space="preserve"> e </w:t>
      </w:r>
      <w:r>
        <w:rPr>
          <w:rFonts w:ascii="Courier New" w:hAnsi="Courier New" w:eastAsia="Courier New"/>
          <w:b w:val="0"/>
          <w:sz w:val="22"/>
        </w:rPr>
        <w:t>/metricas/completo</w:t>
      </w:r>
      <w:r>
        <w:rPr/>
        <w:t xml:space="preserve">. Este último reúne todos os blocos em uma única resposta, buscando os dados uma só vez, e é o utilizado pelo Serviço de Relatório. Todos aceitam os filtros opcionais </w:t>
      </w:r>
      <w:r>
        <w:rPr>
          <w:rFonts w:ascii="Courier New" w:hAnsi="Courier New" w:eastAsia="Courier New"/>
          <w:b w:val="0"/>
          <w:sz w:val="22"/>
        </w:rPr>
        <w:t>regiao</w:t>
      </w:r>
      <w:r>
        <w:rPr/>
        <w:t xml:space="preserve">, </w:t>
      </w:r>
      <w:r>
        <w:rPr>
          <w:rFonts w:ascii="Courier New" w:hAnsi="Courier New" w:eastAsia="Courier New"/>
          <w:b w:val="0"/>
          <w:sz w:val="22"/>
        </w:rPr>
        <w:t>data_inicio</w:t>
      </w:r>
      <w:r>
        <w:rPr/>
        <w:t xml:space="preserve"> e </w:t>
      </w:r>
      <w:r>
        <w:rPr>
          <w:rFonts w:ascii="Courier New" w:hAnsi="Courier New" w:eastAsia="Courier New"/>
          <w:b w:val="0"/>
          <w:sz w:val="22"/>
        </w:rPr>
        <w:t>data_fim</w:t>
      </w:r>
      <w:r>
        <w:rPr/>
        <w:t>. As funções de cálculo são cobertas por testes automatizados (pontual, atrasada e cancelada, divisão por zero, desempate do ranking, exclusão por mínimo de entregas, limite de 119 contra 120 minutos e detecção de outliers); a suíte completa é descrita na Seção 2.8.</w:t>
      </w:r>
    </w:p>
    <w:p>
      <w:pPr>
        <w:pStyle w:val="Heading2"/>
      </w:pPr>
      <w:r>
        <w:t>2.5 Serviço de Relatório</w:t>
      </w:r>
    </w:p>
    <w:p>
      <w:pPr>
        <w:ind w:firstLine="709"/>
      </w:pPr>
      <w:r>
        <w:rPr/>
        <w:t xml:space="preserve">O Serviço de Relatório orquestra o fluxo ao receber </w:t>
      </w:r>
      <w:r>
        <w:rPr>
          <w:rFonts w:ascii="Courier New" w:hAnsi="Courier New" w:eastAsia="Courier New"/>
          <w:b w:val="0"/>
          <w:sz w:val="22"/>
        </w:rPr>
        <w:t>GET /relatorio?formato=json|csv|html</w:t>
      </w:r>
      <w:r>
        <w:rPr/>
        <w:t xml:space="preserve"> (padrão </w:t>
      </w:r>
      <w:r>
        <w:rPr>
          <w:rFonts w:ascii="Courier New" w:hAnsi="Courier New" w:eastAsia="Courier New"/>
          <w:b w:val="0"/>
          <w:sz w:val="22"/>
        </w:rPr>
        <w:t>json</w:t>
      </w:r>
      <w:r>
        <w:rPr/>
        <w:t xml:space="preserve">). Primeiro consulta </w:t>
      </w:r>
      <w:r>
        <w:rPr>
          <w:rFonts w:ascii="Courier New" w:hAnsi="Courier New" w:eastAsia="Courier New"/>
          <w:b w:val="0"/>
          <w:sz w:val="22"/>
        </w:rPr>
        <w:t>/resumo</w:t>
      </w:r>
      <w:r>
        <w:rPr/>
        <w:t xml:space="preserve"> no Serviço de Dados, depois </w:t>
      </w:r>
      <w:r>
        <w:rPr>
          <w:rFonts w:ascii="Courier New" w:hAnsi="Courier New" w:eastAsia="Courier New"/>
          <w:b w:val="0"/>
          <w:sz w:val="22"/>
        </w:rPr>
        <w:t>/metricas/completo</w:t>
      </w:r>
      <w:r>
        <w:rPr/>
        <w:t xml:space="preserve"> no Serviço de Processamento, repassando os filtros opcionais, e então monta um relatório consolidado com título, data e hora de geração, filtros, fontes consultadas, inventário da base, indicadores e observações automáticas (melhor e pior região, líder do ranking e contagem de casos críticos). A Tabela 6 descreve os formatos de saída.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6 – Formatos de saída do Serviço de Relatório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247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Formato</w:t>
            </w:r>
          </w:p>
        </w:tc>
        <w:tc>
          <w:tcPr>
            <w:tcW w:type="dxa" w:w="2608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Content-Type</w:t>
            </w:r>
          </w:p>
        </w:tc>
        <w:tc>
          <w:tcPr>
            <w:tcW w:type="dxa" w:w="5216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json</w:t>
            </w:r>
          </w:p>
        </w:tc>
        <w:tc>
          <w:tcPr>
            <w:tcW w:type="dxa" w:w="260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application/json</w:t>
            </w:r>
          </w:p>
        </w:tc>
        <w:tc>
          <w:tcPr>
            <w:tcW w:type="dxa" w:w="52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Documento consolidado com todas as seções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csv</w:t>
            </w:r>
          </w:p>
        </w:tc>
        <w:tc>
          <w:tcPr>
            <w:tcW w:type="dxa" w:w="260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text/csv; charset=utf-8</w:t>
            </w:r>
          </w:p>
        </w:tc>
        <w:tc>
          <w:tcPr>
            <w:tcW w:type="dxa" w:w="52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 xml:space="preserve">Formato longo com colunas </w:t>
            </w:r>
            <w:r>
              <w:rPr>
                <w:rFonts w:ascii="Courier New" w:hAnsi="Courier New" w:eastAsia="Courier New"/>
                <w:b w:val="0"/>
                <w:sz w:val="18"/>
              </w:rPr>
              <w:t>secao,item,metrica,valor</w:t>
            </w:r>
            <w:r>
              <w:rPr>
                <w:sz w:val="20"/>
              </w:rPr>
              <w:t xml:space="preserve">, entregue como anexo </w:t>
            </w:r>
            <w:r>
              <w:rPr>
                <w:rFonts w:ascii="Courier New" w:hAnsi="Courier New" w:eastAsia="Courier New"/>
                <w:b w:val="0"/>
                <w:sz w:val="18"/>
              </w:rPr>
              <w:t>relatorio_entregas.csv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html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text/html; charset=utf-8</w:t>
            </w:r>
          </w:p>
        </w:tc>
        <w:tc>
          <w:tcPr>
            <w:tcW w:type="dxa" w:w="521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 xml:space="preserve">Página única com indicadores em destaque e tabelas de status, regiões, ranking, atrasos críticos e outliers; </w:t>
            </w:r>
            <w:r>
              <w:rPr>
                <w:rFonts w:ascii="Courier New" w:hAnsi="Courier New" w:eastAsia="Courier New"/>
                <w:b w:val="0"/>
                <w:sz w:val="18"/>
              </w:rPr>
              <w:t>lang="pt-BR"</w:t>
            </w:r>
            <w:r>
              <w:rPr>
                <w:sz w:val="20"/>
              </w:rPr>
              <w:t xml:space="preserve"> e cabeçalhos de tabela semânticos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elaborado pelos autores (2026).</w:t>
      </w:r>
    </w:p>
    <w:p>
      <w:pPr>
        <w:ind w:firstLine="709"/>
      </w:pPr>
      <w:r>
        <w:rPr/>
        <w:t xml:space="preserve">Um valor de </w:t>
      </w:r>
      <w:r>
        <w:rPr>
          <w:rFonts w:ascii="Courier New" w:hAnsi="Courier New" w:eastAsia="Courier New"/>
          <w:b w:val="0"/>
          <w:sz w:val="22"/>
        </w:rPr>
        <w:t>formato</w:t>
      </w:r>
      <w:r>
        <w:rPr/>
        <w:t xml:space="preserve"> inválido resulta em 400. Se o Serviço de Dados ou o de Processamento falhar, expirar o tempo limite ou responder com erro, o Serviço de Relatório devolve 502 com JSON que identifica o serviço dependente que falhou, em vez de propagar uma exceção. Os tempos limite formam uma hierarquia: Processamento→Dados 5 segundos com duas tentativas (cerca de 11 segundos por chamada), Relatório→Processamento 30 segundos e </w:t>
      </w:r>
      <w:r>
        <w:rPr>
          <w:rFonts w:ascii="Courier New" w:hAnsi="Courier New" w:eastAsia="Courier New"/>
          <w:b w:val="0"/>
          <w:sz w:val="22"/>
        </w:rPr>
        <w:t>--timeout 60</w:t>
      </w:r>
      <w:r>
        <w:rPr/>
        <w:t xml:space="preserve"> do Gunicorn no Processamento e no Relatório. Assim cada camada espera mais do que a de baixo leva no pior caso, e a falha é reportada pelo serviço mais próximo da causa.</w:t>
      </w:r>
    </w:p>
    <w:p>
      <w:pPr>
        <w:pStyle w:val="Heading2"/>
      </w:pPr>
      <w:r>
        <w:t>2.6 Containerização e orquestração</w:t>
      </w:r>
    </w:p>
    <w:p>
      <w:pPr>
        <w:ind w:firstLine="709"/>
      </w:pPr>
      <w:r>
        <w:rPr/>
        <w:t xml:space="preserve">Cada serviço possui seu próprio Dockerfile, baseado em </w:t>
      </w:r>
      <w:r>
        <w:rPr>
          <w:rFonts w:ascii="Courier New" w:hAnsi="Courier New" w:eastAsia="Courier New"/>
          <w:b w:val="0"/>
          <w:sz w:val="22"/>
        </w:rPr>
        <w:t>python:3.12.12-slim</w:t>
      </w:r>
      <w:r>
        <w:rPr/>
        <w:t>. As dependências são instaladas antes da cópia do código, para aproveitar o cache de camadas, e o contêiner executa com um usuário sem privilégios. Todas as dependências estão fixadas em versões exatas. O Dockerfile do Serviço de Dados é mostrado a seguir; os demais seguem o mesmo padrão e diferem na porta e no comando de inicialização.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FROM python:3.12.12-slim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ENV PYTHONDONTWRITEBYTECODE=1 \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   PYTHONUNBUFFERED=1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WORKDIR /app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COPY requirements.txt .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RUN pip install --no-cache-dir -r requirements.txt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COPY . .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RUN useradd -m app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USER app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EXPOSE 8001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CMD ["sh", "-c", "python init_db.py &amp;&amp; exec gunicorn -b 0.0.0.0:8001 -w 2 app:app"]</w:t>
      </w:r>
    </w:p>
    <w:p>
      <w:pPr>
        <w:spacing w:line="240" w:lineRule="auto"/>
      </w:pPr>
    </w:p>
    <w:p>
      <w:pPr>
        <w:ind w:firstLine="709"/>
      </w:pPr>
      <w:r>
        <w:rPr/>
        <w:t xml:space="preserve">O arquivo </w:t>
      </w:r>
      <w:r>
        <w:rPr>
          <w:rFonts w:ascii="Courier New" w:hAnsi="Courier New" w:eastAsia="Courier New"/>
          <w:b w:val="0"/>
          <w:sz w:val="22"/>
        </w:rPr>
        <w:t>docker-compose.yml</w:t>
      </w:r>
      <w:r>
        <w:rPr/>
        <w:t xml:space="preserve"> define o projeto </w:t>
      </w:r>
      <w:r>
        <w:rPr>
          <w:rFonts w:ascii="Courier New" w:hAnsi="Courier New" w:eastAsia="Courier New"/>
          <w:b w:val="0"/>
          <w:sz w:val="22"/>
        </w:rPr>
        <w:t>logistica</w:t>
      </w:r>
      <w:r>
        <w:rPr/>
        <w:t xml:space="preserve"> e a rede </w:t>
      </w:r>
      <w:r>
        <w:rPr>
          <w:rFonts w:ascii="Courier New" w:hAnsi="Courier New" w:eastAsia="Courier New"/>
          <w:b w:val="0"/>
          <w:sz w:val="22"/>
        </w:rPr>
        <w:t>logistica-net</w:t>
      </w:r>
      <w:r>
        <w:rPr/>
        <w:t xml:space="preserve">, o volume </w:t>
      </w:r>
      <w:r>
        <w:rPr>
          <w:rFonts w:ascii="Courier New" w:hAnsi="Courier New" w:eastAsia="Courier New"/>
          <w:b w:val="0"/>
          <w:sz w:val="22"/>
        </w:rPr>
        <w:t>pgdata</w:t>
      </w:r>
      <w:r>
        <w:rPr/>
        <w:t xml:space="preserve"> do banco e quatro serviços: </w:t>
      </w:r>
      <w:r>
        <w:rPr>
          <w:rFonts w:ascii="Courier New" w:hAnsi="Courier New" w:eastAsia="Courier New"/>
          <w:b w:val="0"/>
          <w:sz w:val="22"/>
        </w:rPr>
        <w:t>db</w:t>
      </w:r>
      <w:r>
        <w:rPr/>
        <w:t xml:space="preserve"> (PostgreSQL 16.10), </w:t>
      </w:r>
      <w:r>
        <w:rPr>
          <w:rFonts w:ascii="Courier New" w:hAnsi="Courier New" w:eastAsia="Courier New"/>
          <w:b w:val="0"/>
          <w:sz w:val="22"/>
        </w:rPr>
        <w:t>servico-dados</w:t>
      </w:r>
      <w:r>
        <w:rPr/>
        <w:t xml:space="preserve">, </w:t>
      </w:r>
      <w:r>
        <w:rPr>
          <w:rFonts w:ascii="Courier New" w:hAnsi="Courier New" w:eastAsia="Courier New"/>
          <w:b w:val="0"/>
          <w:sz w:val="22"/>
        </w:rPr>
        <w:t>servico-processamento</w:t>
      </w:r>
      <w:r>
        <w:rPr/>
        <w:t xml:space="preserve"> e </w:t>
      </w:r>
      <w:r>
        <w:rPr>
          <w:rFonts w:ascii="Courier New" w:hAnsi="Courier New" w:eastAsia="Courier New"/>
          <w:b w:val="0"/>
          <w:sz w:val="22"/>
        </w:rPr>
        <w:t>servico-relatorio</w:t>
      </w:r>
      <w:r>
        <w:rPr/>
        <w:t>. Os pontos principais do desenho são:</w:t>
      </w:r>
    </w:p>
    <w:p>
      <w:pPr>
        <w:pStyle w:val="ListBullet"/>
      </w:pPr>
      <w:r>
        <w:rPr>
          <w:b/>
        </w:rPr>
        <w:t>Comunicação por nome de serviço:</w:t>
      </w:r>
      <w:r>
        <w:rPr/>
        <w:t xml:space="preserve"> as URLs internas usam os nomes do Compose (por exemplo </w:t>
      </w:r>
      <w:r>
        <w:rPr>
          <w:rFonts w:ascii="Courier New" w:hAnsi="Courier New" w:eastAsia="Courier New"/>
          <w:b w:val="0"/>
          <w:sz w:val="22"/>
        </w:rPr>
        <w:t>http://servico-dados:8001</w:t>
      </w:r>
      <w:r>
        <w:rPr/>
        <w:t xml:space="preserve">), nunca </w:t>
      </w:r>
      <w:r>
        <w:rPr>
          <w:rFonts w:ascii="Courier New" w:hAnsi="Courier New" w:eastAsia="Courier New"/>
          <w:b w:val="0"/>
          <w:sz w:val="22"/>
        </w:rPr>
        <w:t>localhost</w:t>
      </w:r>
      <w:r>
        <w:rPr/>
        <w:t>;</w:t>
      </w:r>
    </w:p>
    <w:p>
      <w:pPr>
        <w:pStyle w:val="ListBullet"/>
      </w:pPr>
      <w:r>
        <w:rPr>
          <w:b/>
        </w:rPr>
        <w:t>Healthchecks:</w:t>
      </w:r>
      <w:r>
        <w:rPr/>
        <w:t xml:space="preserve"> o banco usa </w:t>
      </w:r>
      <w:r>
        <w:rPr>
          <w:rFonts w:ascii="Courier New" w:hAnsi="Courier New" w:eastAsia="Courier New"/>
          <w:b w:val="0"/>
          <w:sz w:val="22"/>
        </w:rPr>
        <w:t>pg_isready</w:t>
      </w:r>
      <w:r>
        <w:rPr/>
        <w:t xml:space="preserve">; os serviços Python consultam seu próprio </w:t>
      </w:r>
      <w:r>
        <w:rPr>
          <w:rFonts w:ascii="Courier New" w:hAnsi="Courier New" w:eastAsia="Courier New"/>
          <w:b w:val="0"/>
          <w:sz w:val="22"/>
        </w:rPr>
        <w:t>/health</w:t>
      </w:r>
      <w:r>
        <w:rPr/>
        <w:t xml:space="preserve"> com </w:t>
      </w:r>
      <w:r>
        <w:rPr>
          <w:rFonts w:ascii="Courier New" w:hAnsi="Courier New" w:eastAsia="Courier New"/>
          <w:b w:val="0"/>
          <w:sz w:val="22"/>
        </w:rPr>
        <w:t>urllib</w:t>
      </w:r>
      <w:r>
        <w:rPr/>
        <w:t xml:space="preserve">, pois a imagem </w:t>
      </w:r>
      <w:r>
        <w:rPr>
          <w:rFonts w:ascii="Courier New" w:hAnsi="Courier New" w:eastAsia="Courier New"/>
          <w:b w:val="0"/>
          <w:sz w:val="22"/>
        </w:rPr>
        <w:t>slim</w:t>
      </w:r>
      <w:r>
        <w:rPr/>
        <w:t xml:space="preserve"> não inclui </w:t>
      </w:r>
      <w:r>
        <w:rPr>
          <w:rFonts w:ascii="Courier New" w:hAnsi="Courier New" w:eastAsia="Courier New"/>
          <w:b w:val="0"/>
          <w:sz w:val="22"/>
        </w:rPr>
        <w:t>curl</w:t>
      </w:r>
      <w:r>
        <w:rPr/>
        <w:t>;</w:t>
      </w:r>
    </w:p>
    <w:p>
      <w:pPr>
        <w:pStyle w:val="ListBullet"/>
      </w:pPr>
      <w:r>
        <w:rPr>
          <w:b/>
        </w:rPr>
        <w:t>Ordem de inicialização:</w:t>
      </w:r>
      <w:r>
        <w:rPr/>
        <w:t xml:space="preserve"> </w:t>
      </w:r>
      <w:r>
        <w:rPr>
          <w:rFonts w:ascii="Courier New" w:hAnsi="Courier New" w:eastAsia="Courier New"/>
          <w:b w:val="0"/>
          <w:sz w:val="22"/>
        </w:rPr>
        <w:t>depends_on</w:t>
      </w:r>
      <w:r>
        <w:rPr/>
        <w:t xml:space="preserve"> com </w:t>
      </w:r>
      <w:r>
        <w:rPr>
          <w:rFonts w:ascii="Courier New" w:hAnsi="Courier New" w:eastAsia="Courier New"/>
          <w:b w:val="0"/>
          <w:sz w:val="22"/>
        </w:rPr>
        <w:t>condition: service_healthy</w:t>
      </w:r>
      <w:r>
        <w:rPr/>
        <w:t xml:space="preserve"> faz o Dados esperar o banco, o Processamento esperar o Dados e o Relatório esperar os dois;</w:t>
      </w:r>
    </w:p>
    <w:p>
      <w:pPr>
        <w:pStyle w:val="ListBullet"/>
      </w:pPr>
      <w:r>
        <w:rPr>
          <w:b/>
        </w:rPr>
        <w:t>Exposição mínima:</w:t>
      </w:r>
      <w:r>
        <w:rPr/>
        <w:t xml:space="preserve"> apenas as portas 8001, 8002 e 8003 são publicadas; o PostgreSQL fica restrito à rede interna;</w:t>
      </w:r>
    </w:p>
    <w:p>
      <w:pPr>
        <w:pStyle w:val="ListBullet"/>
      </w:pPr>
      <w:r>
        <w:rPr>
          <w:b/>
        </w:rPr>
        <w:t>Reinício automático:</w:t>
      </w:r>
      <w:r>
        <w:rPr/>
        <w:t xml:space="preserve"> </w:t>
      </w:r>
      <w:r>
        <w:rPr>
          <w:rFonts w:ascii="Courier New" w:hAnsi="Courier New" w:eastAsia="Courier New"/>
          <w:b w:val="0"/>
          <w:sz w:val="22"/>
        </w:rPr>
        <w:t>restart: unless-stopped</w:t>
      </w:r>
      <w:r>
        <w:rPr/>
        <w:t xml:space="preserve"> em todos os serviços;</w:t>
      </w:r>
    </w:p>
    <w:p>
      <w:pPr>
        <w:pStyle w:val="ListBullet"/>
      </w:pPr>
      <w:r>
        <w:rPr>
          <w:b/>
        </w:rPr>
        <w:t>Configuração por variáveis de ambiente</w:t>
      </w:r>
      <w:r>
        <w:rPr/>
        <w:t xml:space="preserve">, com valores padrão e possibilidade de sobrescrita por arquivo </w:t>
      </w:r>
      <w:r>
        <w:rPr>
          <w:rFonts w:ascii="Courier New" w:hAnsi="Courier New" w:eastAsia="Courier New"/>
          <w:b w:val="0"/>
          <w:sz w:val="22"/>
        </w:rPr>
        <w:t>.env</w:t>
      </w:r>
      <w:r>
        <w:rPr/>
        <w:t xml:space="preserve"> (modelo em </w:t>
      </w:r>
      <w:r>
        <w:rPr>
          <w:rFonts w:ascii="Courier New" w:hAnsi="Courier New" w:eastAsia="Courier New"/>
          <w:b w:val="0"/>
          <w:sz w:val="22"/>
        </w:rPr>
        <w:t>.env.example</w:t>
      </w:r>
      <w:r>
        <w:rPr/>
        <w:t>).</w:t>
      </w:r>
    </w:p>
    <w:p>
      <w:pPr>
        <w:pStyle w:val="Heading2"/>
      </w:pPr>
      <w:r>
        <w:t>2.7 Execução e verificação</w:t>
      </w:r>
    </w:p>
    <w:p>
      <w:pPr>
        <w:ind w:firstLine="709"/>
      </w:pPr>
      <w:r>
        <w:rPr/>
        <w:t>Para executar o sistema são necessários apenas Docker e Docker Compose. Na raiz do projeto: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docker compose up -d --build --wait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docker compose ps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curl http://localhost:8001/resumo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curl http://localhost:8002/metricas/completo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curl "http://localhost:8003/relatorio?formato=html"</w:t>
      </w:r>
    </w:p>
    <w:p>
      <w:pPr>
        <w:spacing w:line="240" w:lineRule="auto"/>
        <w:ind w:left="454" w:firstLine="0"/>
        <w:jc w:val="left"/>
        <w:shd w:val="clear" w:color="auto" w:fill="F2F2F2"/>
      </w:pPr>
      <w:r>
        <w:rPr>
          <w:rFonts w:ascii="Courier New" w:hAnsi="Courier New" w:eastAsia="Courier New"/>
          <w:sz w:val="18"/>
        </w:rPr>
        <w:t>docker compose down -v</w:t>
      </w:r>
    </w:p>
    <w:p>
      <w:pPr>
        <w:spacing w:line="240" w:lineRule="auto"/>
      </w:pPr>
    </w:p>
    <w:p>
      <w:pPr>
        <w:ind w:firstLine="709"/>
      </w:pPr>
      <w:r>
        <w:rPr/>
        <w:t>A verificação consistiu em: (i) testes automatizados dos três serviços (Seção 2.8); (ii) validação do arquivo do Compose e subida com espera de saúde; (iii) consultas aos três serviços, incluindo filtros, criação de registros, duplicidade de placa (409) e recurso inexistente (404); (iv) os três formatos do relatório e o formato inválido (400); (v) teste de resiliência, parando o Serviço de Processamento e, depois, o de Dados; (vi) teste de idempotência, reiniciando o Serviço de Dados; (vii) reinício do banco, para observar a resposta do Serviço de Dados durante a queda; e (viii) recriação completa (</w:t>
      </w:r>
      <w:r>
        <w:rPr>
          <w:rFonts w:ascii="Courier New" w:hAnsi="Courier New" w:eastAsia="Courier New"/>
          <w:b w:val="0"/>
          <w:sz w:val="22"/>
        </w:rPr>
        <w:t>down -v</w:t>
      </w:r>
      <w:r>
        <w:rPr/>
        <w:t xml:space="preserve"> seguido de nova subida) para confirmar que os números são idênticos. As saídas foram capturadas na pasta </w:t>
      </w:r>
      <w:r>
        <w:rPr>
          <w:rFonts w:ascii="Courier New" w:hAnsi="Courier New" w:eastAsia="Courier New"/>
          <w:b w:val="0"/>
          <w:sz w:val="22"/>
        </w:rPr>
        <w:t>docs/evidencias</w:t>
      </w:r>
      <w:r>
        <w:rPr/>
        <w:t>.</w:t>
      </w:r>
    </w:p>
    <w:p>
      <w:pPr>
        <w:pStyle w:val="Heading2"/>
      </w:pPr>
      <w:r>
        <w:t>2.8 Qualidade e testes</w:t>
      </w:r>
    </w:p>
    <w:p>
      <w:pPr>
        <w:ind w:firstLine="709"/>
      </w:pPr>
      <w:r>
        <w:rPr/>
        <w:t xml:space="preserve">A suíte automatizada totaliza </w:t>
      </w:r>
      <w:r>
        <w:rPr>
          <w:b/>
        </w:rPr>
        <w:t>121 testes</w:t>
      </w:r>
      <w:r>
        <w:rPr/>
        <w:t xml:space="preserve"> com pytest, executados com um único comando (</w:t>
      </w:r>
      <w:r>
        <w:rPr>
          <w:rFonts w:ascii="Courier New" w:hAnsi="Courier New" w:eastAsia="Courier New"/>
          <w:b w:val="0"/>
          <w:sz w:val="22"/>
        </w:rPr>
        <w:t>python rodar_testes.py</w:t>
      </w:r>
      <w:r>
        <w:rPr/>
        <w:t xml:space="preserve">), que roda o pytest uma vez por serviço: 67 no Serviço de Dados, 32 no de Processamento e 22 no de Relatório. Os testes não usam Docker, rede nem banco: as chamadas HTTP e o acesso ao PostgreSQL são simulados. Eles cobrem os cálculos, o cliente HTTP (paginação, retentativas e tratamento de erro 400 e 5xx), as rotas dos três serviços, a validação de entrada do Serviço de Dados (inclusive a rejeição de NaN e infinito), o gerador de dados sintéticos e a conversão para CSV. As dependências de teste ficam em arquivos </w:t>
      </w:r>
      <w:r>
        <w:rPr>
          <w:rFonts w:ascii="Courier New" w:hAnsi="Courier New" w:eastAsia="Courier New"/>
          <w:b w:val="0"/>
          <w:sz w:val="22"/>
        </w:rPr>
        <w:t>requirements-dev.txt</w:t>
      </w:r>
      <w:r>
        <w:rPr/>
        <w:t xml:space="preserve"> e não entram nas imagens de produção. O código também foi verificado com o analisador estático Ruff, sem pendências.</w:t>
      </w:r>
    </w:p>
    <w:p>
      <w:pPr>
        <w:ind w:firstLine="709"/>
      </w:pPr>
      <w:r>
        <w:rPr/>
        <w:t xml:space="preserve">Alguns pontos de robustez foram tratados a partir de uma revisão de qualidade do código: hierarquia de tempos limite entre os serviços; tratamento de conexão perdida com o banco como indisponibilidade (503), sem mascarar o erro original; ausência de senha padrão no código do Serviço de Dados, que passa a falhar cedo se </w:t>
      </w:r>
      <w:r>
        <w:rPr>
          <w:rFonts w:ascii="Courier New" w:hAnsi="Courier New" w:eastAsia="Courier New"/>
          <w:b w:val="0"/>
          <w:sz w:val="22"/>
        </w:rPr>
        <w:t>DB_PASSWORD</w:t>
      </w:r>
      <w:r>
        <w:rPr/>
        <w:t xml:space="preserve"> não for definida; restrição </w:t>
      </w:r>
      <w:r>
        <w:rPr>
          <w:rFonts w:ascii="Courier New" w:hAnsi="Courier New" w:eastAsia="Courier New"/>
          <w:b w:val="0"/>
          <w:sz w:val="22"/>
        </w:rPr>
        <w:t>CHECK</w:t>
      </w:r>
      <w:r>
        <w:rPr/>
        <w:t xml:space="preserve"> para </w:t>
      </w:r>
      <w:r>
        <w:rPr>
          <w:rFonts w:ascii="Courier New" w:hAnsi="Courier New" w:eastAsia="Courier New"/>
          <w:b w:val="0"/>
          <w:sz w:val="22"/>
        </w:rPr>
        <w:t>peso_kg</w:t>
      </w:r>
      <w:r>
        <w:rPr/>
        <w:t xml:space="preserve"> positivo; e versões de patch fixadas para as imagens base.</w:t>
      </w:r>
    </w:p>
    <w:p>
      <w:pPr>
        <w:pStyle w:val="Heading1"/>
      </w:pPr>
      <w:r>
        <w:t>3 Resultados</w:t>
      </w:r>
    </w:p>
    <w:p>
      <w:pPr>
        <w:pStyle w:val="Heading2"/>
      </w:pPr>
      <w:r>
        <w:t>3.1 Ambiente e conjunto de dados</w:t>
      </w:r>
    </w:p>
    <w:p>
      <w:pPr>
        <w:ind w:firstLine="709"/>
      </w:pPr>
      <w:r>
        <w:rPr/>
        <w:t xml:space="preserve">Os resultados apresentados a seguir foram obtidos com a pilha completa em execução e o banco recém-criado, de modo que refletem exclusivamente os dados semeados. O Serviço de Dados reportou </w:t>
      </w:r>
      <w:r>
        <w:rPr>
          <w:b/>
        </w:rPr>
        <w:t>20 motoristas</w:t>
      </w:r>
      <w:r>
        <w:rPr/>
        <w:t xml:space="preserve">, </w:t>
      </w:r>
      <w:r>
        <w:rPr>
          <w:b/>
        </w:rPr>
        <w:t>12 veículos</w:t>
      </w:r>
      <w:r>
        <w:rPr/>
        <w:t xml:space="preserve"> e </w:t>
      </w:r>
      <w:r>
        <w:rPr>
          <w:b/>
        </w:rPr>
        <w:t>400 entregas</w:t>
      </w:r>
      <w:r>
        <w:rPr/>
        <w:t>. O relatório analisado foi gerado em 23/10/2026 10:01. A Tabela 7 mostra o estado dos contêineres e a Figura 2, o número de entregas por status. Os 121 testes automatizados dos três serviços foram aprovados (67 em Dados, 32 em Processamento e 22 em Relatório).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7 – Estado dos contêineres (docker compose ps)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3175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Contêiner</w:t>
            </w:r>
          </w:p>
        </w:tc>
        <w:tc>
          <w:tcPr>
            <w:tcW w:type="dxa" w:w="2268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Serviço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Saúde</w:t>
            </w:r>
          </w:p>
        </w:tc>
        <w:tc>
          <w:tcPr>
            <w:tcW w:type="dxa" w:w="249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Porta (host→contêiner)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logistica-db-1</w:t>
            </w:r>
          </w:p>
        </w:tc>
        <w:tc>
          <w:tcPr>
            <w:tcW w:type="dxa" w:w="226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db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healthy</w:t>
            </w:r>
          </w:p>
        </w:tc>
        <w:tc>
          <w:tcPr>
            <w:tcW w:type="dxa" w:w="249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interna (5432), não publicada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logistica-servico-dados-1</w:t>
            </w:r>
          </w:p>
        </w:tc>
        <w:tc>
          <w:tcPr>
            <w:tcW w:type="dxa" w:w="226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servico-dados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healthy</w:t>
            </w:r>
          </w:p>
        </w:tc>
        <w:tc>
          <w:tcPr>
            <w:tcW w:type="dxa" w:w="249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8001→8001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logistica-servico-processamento-1</w:t>
            </w:r>
          </w:p>
        </w:tc>
        <w:tc>
          <w:tcPr>
            <w:tcW w:type="dxa" w:w="226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servico-processamento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healthy</w:t>
            </w:r>
          </w:p>
        </w:tc>
        <w:tc>
          <w:tcPr>
            <w:tcW w:type="dxa" w:w="249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8002→8002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logistica-servico-relatorio-1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servico-relatorio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healthy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8003→8003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docs/evidencias/docker-compose-ps.txt.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Figura 2 – Entregas por status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2871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0"/>
        </w:rPr>
        <w:t>Fonte: docs/evidencias/relatorio.json.</w:t>
      </w:r>
    </w:p>
    <w:p>
      <w:pPr>
        <w:ind w:firstLine="709"/>
      </w:pPr>
      <w:r>
        <w:rPr/>
        <w:t>Das 400 entregas, 339 foram concluídas, 30 estavam em rota, 21 falharam e 10 foram canceladas. Portanto, 61 entregas (15,25%) não foram concluídas e ficam fora dos indicadores de prazo e custo, que consideram apenas entregas concluídas.</w:t>
      </w:r>
    </w:p>
    <w:p>
      <w:pPr>
        <w:pStyle w:val="Heading2"/>
      </w:pPr>
      <w:r>
        <w:t>3.2 Indicadores gerais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8 – Indicadores gerais de desempenho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5669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402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Entregas analisadas</w:t>
            </w:r>
          </w:p>
        </w:tc>
        <w:tc>
          <w:tcPr>
            <w:tcW w:type="dxa" w:w="340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400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Entregas concluídas</w:t>
            </w:r>
          </w:p>
        </w:tc>
        <w:tc>
          <w:tcPr>
            <w:tcW w:type="dxa" w:w="340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339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Entregas no prazo</w:t>
            </w:r>
          </w:p>
        </w:tc>
        <w:tc>
          <w:tcPr>
            <w:tcW w:type="dxa" w:w="340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254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Entregas atrasadas</w:t>
            </w:r>
          </w:p>
        </w:tc>
        <w:tc>
          <w:tcPr>
            <w:tcW w:type="dxa" w:w="340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85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% no prazo (sobre concluídas)</w:t>
            </w:r>
          </w:p>
        </w:tc>
        <w:tc>
          <w:tcPr>
            <w:tcW w:type="dxa" w:w="340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74,93%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Atraso médio das atrasadas</w:t>
            </w:r>
          </w:p>
        </w:tc>
        <w:tc>
          <w:tcPr>
            <w:tcW w:type="dxa" w:w="340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62,82 min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Atraso médio geral (todas as concluídas)</w:t>
            </w:r>
          </w:p>
        </w:tc>
        <w:tc>
          <w:tcPr>
            <w:tcW w:type="dxa" w:w="340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15,75 min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Atraso máximo</w:t>
            </w:r>
          </w:p>
        </w:tc>
        <w:tc>
          <w:tcPr>
            <w:tcW w:type="dxa" w:w="340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298 min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Distância total (concluídas)</w:t>
            </w:r>
          </w:p>
        </w:tc>
        <w:tc>
          <w:tcPr>
            <w:tcW w:type="dxa" w:w="340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8.310,35 km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Custo total (concluídas)</w:t>
            </w:r>
          </w:p>
        </w:tc>
        <w:tc>
          <w:tcPr>
            <w:tcW w:type="dxa" w:w="340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R$ 30.629,76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Custo por km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R$ 3,69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docs/evidencias/relatorio.json.</w:t>
      </w:r>
    </w:p>
    <w:p>
      <w:pPr>
        <w:ind w:firstLine="709"/>
      </w:pPr>
      <w:r>
        <w:rPr/>
        <w:t>Das 339 entregas concluídas, 254 chegaram no prazo, o que corresponde a 74,93%; as outras 85 (25,07%) atrasaram. Quando há atraso, ele é relevante: 62,82 minutos em média, com máximo de 298 minutos. Como a maior parte das entregas é pontual, o atraso médio geral cai para 15,75 minutos. Esse contraste mostra por que a média das atrasadas e a média geral devem ser lidas juntas: a primeira descreve a gravidade do problema, a segunda, o seu impacto no conjunto. O custo médio da operação foi de R$ 3,69 por quilômetro.</w:t>
      </w:r>
    </w:p>
    <w:p>
      <w:pPr>
        <w:pStyle w:val="Heading2"/>
      </w:pPr>
      <w:r>
        <w:t>3.3 Desempenho por região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9 – Pontualidade e custo por região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181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Região</w:t>
            </w:r>
          </w:p>
        </w:tc>
        <w:tc>
          <w:tcPr>
            <w:tcW w:type="dxa" w:w="1020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Concluídas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% no prazo</w:t>
            </w:r>
          </w:p>
        </w:tc>
        <w:tc>
          <w:tcPr>
            <w:tcW w:type="dxa" w:w="181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Atraso médio (min)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Custo/km (R$)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Centro</w:t>
            </w:r>
          </w:p>
        </w:tc>
        <w:tc>
          <w:tcPr>
            <w:tcW w:type="dxa" w:w="1020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81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69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86,96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76,78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3,20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Zona Sul</w:t>
            </w:r>
          </w:p>
        </w:tc>
        <w:tc>
          <w:tcPr>
            <w:tcW w:type="dxa" w:w="1020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77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61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81,97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92,36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3,53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Zona Oeste</w:t>
            </w:r>
          </w:p>
        </w:tc>
        <w:tc>
          <w:tcPr>
            <w:tcW w:type="dxa" w:w="1020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85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74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70,27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53,27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3,82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Zona Leste</w:t>
            </w:r>
          </w:p>
        </w:tc>
        <w:tc>
          <w:tcPr>
            <w:tcW w:type="dxa" w:w="1020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78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67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68,66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47,10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3,98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Zona Norte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68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67,65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66,91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3,62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docs/evidencias/relatorio.json.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Figura 3 – Percentual de entregas no prazo por região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2878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regio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0"/>
        </w:rPr>
        <w:t>Fonte: docs/evidencias/relatorio.json.</w:t>
      </w:r>
    </w:p>
    <w:p>
      <w:pPr>
        <w:ind w:firstLine="709"/>
      </w:pPr>
      <w:r>
        <w:rPr/>
        <w:t>A região mais pontual é Centro, com 86,96% das entregas no prazo, e a menos pontual é Zona Norte, com 67,65%: uma diferença de 19,31 pontos percentuais. Pontualidade e gravidade do atraso não andam juntas: Centro tem o melhor percentual, mas, entre as entregas atrasadas, o atraso médio é de 76,78 min, contra 47,10 min em Zona Leste, que tem o menor atraso médio. A região com maior atraso médio é Zona Sul (92,36 min). Em custo, Centro é a mais econômica (R$ 3,20 por km) e Zona Leste a mais cara (R$ 3,98 por km). Como os dados são sintéticos e cada região recebeu parâmetros próprios de distância e tráfego, essas diferenças demonstram a capacidade do sistema de evidenciá-las, não conclusões sobre uma cidade real.</w:t>
      </w:r>
    </w:p>
    <w:p>
      <w:pPr>
        <w:pStyle w:val="Heading2"/>
      </w:pPr>
      <w:r>
        <w:t>3.4 Desempenho dos motoristas</w:t>
      </w:r>
    </w:p>
    <w:p>
      <w:pPr>
        <w:ind w:firstLine="709"/>
      </w:pPr>
      <w:r>
        <w:rPr/>
        <w:t>O ranking considera apenas motoristas com pelo menos 5 entregas concluídas. A Tabela 10 apresenta as dez primeiras posições e a Figura 4, o percentual de pontualidade correspondente.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10 – Ranking dos 10 motoristas mais pontuais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680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Pos.</w:t>
            </w:r>
          </w:p>
        </w:tc>
        <w:tc>
          <w:tcPr>
            <w:tcW w:type="dxa" w:w="2721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Motorista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Concluídas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% no prazo</w:t>
            </w:r>
          </w:p>
        </w:tc>
        <w:tc>
          <w:tcPr>
            <w:tcW w:type="dxa" w:w="1701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Atraso médio (min)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Custo/km (R$)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72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Paulo Roberto Mendes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21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95,24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31,00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4,04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72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Rafael Henrique Costa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13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92,31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59,00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3,43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72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André Luís Carvalho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25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88,00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33,33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3,77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72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Lucas Gabriel Ferreira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16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87,50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184,00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3,73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72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Leandro Gomes Monteiro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19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84,21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21,33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3,34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72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Marcelo Antunes Ribeiro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16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81,25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89,67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3,03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72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Bruno César Barbosa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20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80,00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121,50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3,49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72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Rodrigo Teixeira Cardoso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14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78,57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38,00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4,20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72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Ricardo Almeida Santos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77,78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32,00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4,09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Anderson Luiz Pereira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76,47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75,00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3,69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docs/evidencias/relatorio.json.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Figura 4 – Dez motoristas com maior percentual de entregas no prazo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713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ra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13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0"/>
        </w:rPr>
        <w:t>Fonte: docs/evidencias/relatorio.json.</w:t>
      </w:r>
    </w:p>
    <w:p>
      <w:pPr>
        <w:ind w:firstLine="709"/>
      </w:pPr>
      <w:r>
        <w:rPr/>
        <w:t>O líder é Paulo Roberto Mendes, com 95,24% de pontualidade em 21 entregas concluídas; a décima posição (Anderson Luiz Pereira) tem 76,47%. O ranking também revela um caso que o percentual isolado esconde: Lucas Gabriel Ferreira, em 4º lugar com 87,50% no prazo, tem o maior atraso médio entre os dez (184,00 min), ou seja, atrasa pouco, mas, quando atrasa, o atraso é grande. Por isso o critério de desempate e a coluna de atraso médio fazem parte da análise.</w:t>
      </w:r>
    </w:p>
    <w:p>
      <w:pPr>
        <w:pStyle w:val="Heading2"/>
      </w:pPr>
      <w:r>
        <w:t>3.5 Atrasos críticos e custos atípicos</w:t>
      </w:r>
    </w:p>
    <w:p>
      <w:pPr>
        <w:ind w:firstLine="709"/>
      </w:pPr>
      <w:r>
        <w:rPr/>
        <w:t>Foram identificadas 7 entregas com atraso crítico (120 minutos ou mais), listadas na Tabela 11. O maior atraso, de 298 minutos, ocorreu na entrega 350 (Zona Sul).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Tabela 11 – Entregas com atraso crítico (limite de 120 min)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1020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Motorista (id)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Região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Atraso (min)</w:t>
            </w:r>
          </w:p>
        </w:tc>
        <w:tc>
          <w:tcPr>
            <w:tcW w:type="dxa" w:w="198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Prazo previsto</w:t>
            </w:r>
          </w:p>
        </w:tc>
        <w:tc>
          <w:tcPr>
            <w:tcW w:type="dxa" w:w="1984"/>
            <w:shd w:val="clear" w:color="auto" w:fill="D9E2F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b/>
                <w:sz w:val="20"/>
              </w:rPr>
              <w:t>Entregue em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350</w:t>
            </w:r>
          </w:p>
        </w:tc>
        <w:tc>
          <w:tcPr>
            <w:tcW w:type="dxa" w:w="136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Zona Sul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298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19/05/2026 18:56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19/05/2026 23:54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198</w:t>
            </w:r>
          </w:p>
        </w:tc>
        <w:tc>
          <w:tcPr>
            <w:tcW w:type="dxa" w:w="136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11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Centro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297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12/04/2026 12:30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12/04/2026 17:27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175</w:t>
            </w:r>
          </w:p>
        </w:tc>
        <w:tc>
          <w:tcPr>
            <w:tcW w:type="dxa" w:w="136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Zona Oeste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271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08/04/2026 18:02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08/04/2026 22:33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354</w:t>
            </w:r>
          </w:p>
        </w:tc>
        <w:tc>
          <w:tcPr>
            <w:tcW w:type="dxa" w:w="136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13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Zona Sul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249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21/05/2026 13:10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21/05/2026 17:19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133</w:t>
            </w:r>
          </w:p>
        </w:tc>
        <w:tc>
          <w:tcPr>
            <w:tcW w:type="dxa" w:w="136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Zona Norte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234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31/03/2026 19:19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31/03/2026 23:13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259</w:t>
            </w:r>
          </w:p>
        </w:tc>
        <w:tc>
          <w:tcPr>
            <w:tcW w:type="dxa" w:w="136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Zona Leste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185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30/04/2026 09:39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30/04/2026 12:44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178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sz w:val="20"/>
              </w:rPr>
              <w:t>Zona Norte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sz w:val="20"/>
              </w:rPr>
              <w:t>181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09/04/2026 12:45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sz w:val="20"/>
              </w:rPr>
              <w:t>09/04/2026 15:46</w:t>
            </w:r>
          </w:p>
        </w:tc>
      </w:tr>
    </w:tbl>
    <w:p>
      <w:pPr>
        <w:spacing w:line="240" w:lineRule="auto" w:after="200"/>
        <w:jc w:val="center"/>
      </w:pPr>
      <w:r>
        <w:rPr>
          <w:sz w:val="20"/>
        </w:rPr>
        <w:t>Fonte: docs/evidencias/relatorio.json.</w:t>
      </w:r>
    </w:p>
    <w:p>
      <w:pPr>
        <w:ind w:firstLine="709"/>
      </w:pPr>
      <w:r>
        <w:rPr/>
        <w:t>Na análise de custo por quilômetro, a regra do IQR considerou 339 entregas concluídas, com Q1 = 2,27, Q3 = 4,01 e IQR = 1,75, o que resulta em limite superior de R$ 6,63 por km. 3 entregas ultrapassaram esse limite (ids 324, 264, 342): entrega 324: R$ 9,52/km; entrega 264: R$ 8,63/km; entrega 342: R$ 7,63/km. Esses registros são candidatos à auditoria, por exemplo, para verificar erro de lançamento ou rota anormal.</w:t>
      </w:r>
    </w:p>
    <w:p>
      <w:pPr>
        <w:pStyle w:val="Heading2"/>
      </w:pPr>
      <w:r>
        <w:t>3.6 Saídas do Serviço de Relatório</w:t>
      </w:r>
    </w:p>
    <w:p>
      <w:pPr>
        <w:ind w:firstLine="709"/>
      </w:pPr>
      <w:r>
        <w:rPr/>
        <w:t xml:space="preserve">O endpoint </w:t>
      </w:r>
      <w:r>
        <w:rPr>
          <w:rFonts w:ascii="Courier New" w:hAnsi="Courier New" w:eastAsia="Courier New"/>
          <w:b w:val="0"/>
          <w:sz w:val="22"/>
        </w:rPr>
        <w:t>/relatorio</w:t>
      </w:r>
      <w:r>
        <w:rPr/>
        <w:t xml:space="preserve"> respondeu com status 200 nos três formatos (</w:t>
      </w:r>
      <w:r>
        <w:rPr>
          <w:rFonts w:ascii="Courier New" w:hAnsi="Courier New" w:eastAsia="Courier New"/>
          <w:b w:val="0"/>
          <w:sz w:val="22"/>
        </w:rPr>
        <w:t>application/json</w:t>
      </w:r>
      <w:r>
        <w:rPr/>
        <w:t xml:space="preserve">, </w:t>
      </w:r>
      <w:r>
        <w:rPr>
          <w:rFonts w:ascii="Courier New" w:hAnsi="Courier New" w:eastAsia="Courier New"/>
          <w:b w:val="0"/>
          <w:sz w:val="22"/>
        </w:rPr>
        <w:t>text/csv; charset=utf-8</w:t>
      </w:r>
      <w:r>
        <w:rPr/>
        <w:t xml:space="preserve"> e </w:t>
      </w:r>
      <w:r>
        <w:rPr>
          <w:rFonts w:ascii="Courier New" w:hAnsi="Courier New" w:eastAsia="Courier New"/>
          <w:b w:val="0"/>
          <w:sz w:val="22"/>
        </w:rPr>
        <w:t>text/html; charset=utf-8</w:t>
      </w:r>
      <w:r>
        <w:rPr/>
        <w:t>) e com status 400 para um formato inválido. As observações automáticas incluídas no relatório consolidado foram: 74.93% das 339 entregas concluídas chegaram no prazo; atraso médio das atrasadas: 62.82 min. Melhor região em pontualidade: Centro (86.96% no prazo). Pior região em pontualidade: Zona Norte (67.65% no prazo). Motorista com melhor desempenho: Paulo Roberto Mendes (95.24% no prazo). 7 entregas com atraso crítico (&gt;= 120 min). 3 entregas com custo por km atípico (regra do IQR). A Figura 5 mostra a parte inicial da página HTML gerada, e o formato CSV (</w:t>
      </w:r>
      <w:r>
        <w:rPr>
          <w:rFonts w:ascii="Courier New" w:hAnsi="Courier New" w:eastAsia="Courier New"/>
          <w:b w:val="0"/>
          <w:sz w:val="22"/>
        </w:rPr>
        <w:t>docs/evidencias/relatorio.csv</w:t>
      </w:r>
      <w:r>
        <w:rPr/>
        <w:t>) reúne os mesmos números em formato longo, adequado para planilhas.</w:t>
      </w:r>
    </w:p>
    <w:p>
      <w:pPr>
        <w:keepNext/>
        <w:spacing w:line="240" w:lineRule="auto" w:before="200" w:after="80"/>
        <w:jc w:val="center"/>
      </w:pPr>
      <w:r>
        <w:rPr>
          <w:b/>
          <w:sz w:val="20"/>
        </w:rPr>
        <w:t>Figura 5 – Relatório em HTML gerado pelo Serviço de Relatório (captura da página)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42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-ht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jc w:val="center"/>
      </w:pPr>
      <w:r>
        <w:rPr>
          <w:sz w:val="20"/>
        </w:rPr>
        <w:t>Fonte: docs/evidencias/relatorio-html.png.</w:t>
      </w:r>
    </w:p>
    <w:p>
      <w:pPr>
        <w:pStyle w:val="Heading2"/>
      </w:pPr>
      <w:r>
        <w:t>3.7 Resiliência e idempotência</w:t>
      </w:r>
    </w:p>
    <w:p>
      <w:pPr>
        <w:ind w:firstLine="709"/>
      </w:pPr>
      <w:r>
        <w:rPr/>
        <w:t>Dois comportamentos foram testados. No teste de resiliência, o Serviço de Processamento foi parado e o relatório foi solicitado: a resposta foi HTTP 502, com JSON contendo a mensagem de falha e o nome do serviço dependente (</w:t>
      </w:r>
      <w:r>
        <w:rPr>
          <w:rFonts w:ascii="Courier New" w:hAnsi="Courier New" w:eastAsia="Courier New"/>
          <w:b w:val="0"/>
          <w:sz w:val="22"/>
        </w:rPr>
        <w:t>processamento</w:t>
      </w:r>
      <w:r>
        <w:rPr/>
        <w:t xml:space="preserve">). Após iniciar novamente o serviço, o relatório voltou a responder com HTTP 200. Repetido com o Serviço de Dados parado, o relatório respondeu 502 nomeando o serviço </w:t>
      </w:r>
      <w:r>
        <w:rPr>
          <w:rFonts w:ascii="Courier New" w:hAnsi="Courier New" w:eastAsia="Courier New"/>
          <w:b w:val="0"/>
          <w:sz w:val="22"/>
        </w:rPr>
        <w:t>dados</w:t>
      </w:r>
      <w:r>
        <w:rPr/>
        <w:t>, e o Serviço de Processamento, consultado diretamente, respondeu 502 em poucos segundos, antes do tempo limite do Relatório. Isso mostra que a falha de um serviço é isolada e comunicada de forma controlada, sem derrubar o Serviço de Relatório.</w:t>
      </w:r>
    </w:p>
    <w:p>
      <w:pPr>
        <w:ind w:firstLine="709"/>
      </w:pPr>
      <w:r>
        <w:rPr/>
        <w:t xml:space="preserve">No reinício do banco, o Serviço de Dados foi consultado uma vez por segundo durante 40 segundos: houve respostas 503 (banco indisponível) apenas no instante da queda, nenhuma resposta 500, e as demais foram 200, ou seja, o serviço se recuperou sozinho. Os números exatos dessa execução estão em </w:t>
      </w:r>
      <w:r>
        <w:rPr>
          <w:rFonts w:ascii="Courier New" w:hAnsi="Courier New" w:eastAsia="Courier New"/>
          <w:b w:val="0"/>
          <w:sz w:val="22"/>
        </w:rPr>
        <w:t>docs/evidencias/resiliencia.txt</w:t>
      </w:r>
      <w:r>
        <w:rPr/>
        <w:t>.</w:t>
      </w:r>
    </w:p>
    <w:p>
      <w:pPr>
        <w:ind w:firstLine="709"/>
      </w:pPr>
      <w:r>
        <w:rPr/>
        <w:t>No teste de idempotência, o Serviço de Dados foi reiniciado. O resumo permaneceu em 400 entregas, 20 motoristas e 12 veículos, e o registro do contêiner indicou que o banco já estava populado e que a semeadura foi ignorada. Por fim, a recriação completa do ambiente (</w:t>
      </w:r>
      <w:r>
        <w:rPr>
          <w:rFonts w:ascii="Courier New" w:hAnsi="Courier New" w:eastAsia="Courier New"/>
          <w:b w:val="0"/>
          <w:sz w:val="22"/>
        </w:rPr>
        <w:t>down -v</w:t>
      </w:r>
      <w:r>
        <w:rPr/>
        <w:t xml:space="preserve"> e nova subida) reproduziu exatamente os mesmos números, confirmando o determinismo da carga de dados.</w:t>
      </w:r>
    </w:p>
    <w:p>
      <w:pPr>
        <w:pStyle w:val="Heading2"/>
      </w:pPr>
      <w:r>
        <w:t>3.8 Análise crítica e limitações</w:t>
      </w:r>
    </w:p>
    <w:p>
      <w:pPr>
        <w:ind w:firstLine="709"/>
      </w:pPr>
      <w:r>
        <w:rPr/>
        <w:t>Os resultados mostram que a divisão em três serviços funcionou como pretendido: o Serviço de Dados concentra o armazenamento, o de Processamento concentra as regras de cálculo, que podem ser testadas sem rede ou banco, e o de Relatório apenas orquestra e formata. A mudança de formato de saída, por exemplo, não exige tocar nas regras de negócio. Em contrapartida, a comunicação síncrona cria dependência em cadeia, conforme discutido por Newman (2021), e o teste de resiliência evidencia que a queda do Processamento impede o relatório, ainda que de forma controlada. As limitações a considerar são:</w:t>
      </w:r>
    </w:p>
    <w:p>
      <w:pPr>
        <w:pStyle w:val="ListBullet"/>
      </w:pPr>
      <w:r>
        <w:rPr>
          <w:b/>
        </w:rPr>
        <w:t>Sem autenticação nem HTTPS:</w:t>
      </w:r>
      <w:r>
        <w:rPr/>
        <w:t xml:space="preserve"> todos os endpoints, inclusive os de escrita (POST e PATCH), são abertos; o uso é estritamente didático;</w:t>
      </w:r>
    </w:p>
    <w:p>
      <w:pPr>
        <w:pStyle w:val="ListBullet"/>
      </w:pPr>
      <w:r>
        <w:rPr>
          <w:b/>
        </w:rPr>
        <w:t>Dados sintéticos:</w:t>
      </w:r>
      <w:r>
        <w:rPr/>
        <w:t xml:space="preserve"> os padrões regionais e de motoristas foram parametrizados na geração, portanto não representam uma operação real;</w:t>
      </w:r>
    </w:p>
    <w:p>
      <w:pPr>
        <w:pStyle w:val="ListBullet"/>
      </w:pPr>
      <w:r>
        <w:rPr>
          <w:b/>
        </w:rPr>
        <w:t>Sem cache, fila ou escalabilidade horizontal:</w:t>
      </w:r>
      <w:r>
        <w:rPr/>
        <w:t xml:space="preserve"> cada relatório refaz toda a consulta e o cálculo, e a comunicação é síncrona;</w:t>
      </w:r>
    </w:p>
    <w:p>
      <w:pPr>
        <w:pStyle w:val="ListBullet"/>
      </w:pPr>
      <w:r>
        <w:rPr>
          <w:b/>
        </w:rPr>
        <w:t>Senha didática do banco</w:t>
      </w:r>
      <w:r>
        <w:rPr/>
        <w:t xml:space="preserve"> presente apenas no arquivo do Compose (o código do Serviço de Dados não tem senha padrão), aceitável somente para fins didáticos;</w:t>
      </w:r>
    </w:p>
    <w:p>
      <w:pPr>
        <w:pStyle w:val="ListBullet"/>
      </w:pPr>
      <w:r>
        <w:rPr>
          <w:b/>
        </w:rPr>
        <w:t>Duplicação deliberada:</w:t>
      </w:r>
      <w:r>
        <w:rPr/>
        <w:t xml:space="preserve"> pequenas utilidades (leitura dos filtros, conversão de parâmetros inteiros e tratamento de erros HTTP) se repetem em mais de um serviço para mantê-los independentes, sem biblioteca compartilhada;</w:t>
      </w:r>
    </w:p>
    <w:p>
      <w:pPr>
        <w:pStyle w:val="ListBullet"/>
      </w:pPr>
      <w:r>
        <w:rPr>
          <w:b/>
        </w:rPr>
        <w:t>Dependências sem lockfile completo:</w:t>
      </w:r>
      <w:r>
        <w:rPr/>
        <w:t xml:space="preserve"> Flask, Werkzeug e Jinja2 estão fixados, mas as demais dependências transitivas não, e as imagens base são fixadas por versão de patch, não por digest;</w:t>
      </w:r>
    </w:p>
    <w:p>
      <w:pPr>
        <w:pStyle w:val="ListBullet"/>
      </w:pPr>
      <w:r>
        <w:rPr>
          <w:b/>
        </w:rPr>
        <w:t>Consistência da leitura:</w:t>
      </w:r>
      <w:r>
        <w:rPr/>
        <w:t xml:space="preserve"> o Processamento lê os dados em páginas, sem transação única, de modo que gravações concorrentes durante o cálculo poderiam gerar uma visão ligeiramente inconsistente;</w:t>
      </w:r>
    </w:p>
    <w:p>
      <w:pPr>
        <w:pStyle w:val="ListBullet"/>
      </w:pPr>
      <w:r>
        <w:rPr>
          <w:b/>
        </w:rPr>
        <w:t>Verificação restrita ao ambiente local</w:t>
      </w:r>
      <w:r>
        <w:rPr/>
        <w:t xml:space="preserve"> com Docker Compose; não houve teste de carga nem implantação em nuvem.</w:t>
      </w:r>
    </w:p>
    <w:p>
      <w:pPr>
        <w:pStyle w:val="Heading1"/>
      </w:pPr>
      <w:r>
        <w:t>4 Conclusão</w:t>
      </w:r>
    </w:p>
    <w:p>
      <w:pPr>
        <w:ind w:firstLine="709"/>
      </w:pPr>
      <w:r>
        <w:rPr/>
        <w:t>A atividade resultou em um sistema de três microsserviços que se comunicam por HTTP, apoiados em um banco PostgreSQL, todos containerizados com um Dockerfile por serviço e orquestrados com Docker Compose. Os objetivos propostos foram cumpridos: o Serviço de Dados oferece leitura e escrita sobre um modelo relacional; o Serviço de Processamento consome esses dados exclusivamente por HTTP e calcula os indicadores; e o Serviço de Relatório orquestra os dois e entrega o resultado em JSON, CSV e HTML.</w:t>
      </w:r>
    </w:p>
    <w:p>
      <w:pPr>
        <w:ind w:firstLine="709"/>
      </w:pPr>
      <w:r>
        <w:rPr/>
        <w:t>Do ponto de vista dos resultados, o sistema permitiu responder às perguntas que motivaram o trabalho: 74,93% das 339 entregas concluídas chegaram no prazo, Centro é a região mais pontual e Zona Norte, a menos pontual, Paulo Roberto Mendes lidera o ranking de motoristas, e foram sinalizados 7 atrasos críticos e 3 custos atípicos. Os testes de resiliência e idempotência e a reprodução exata dos números após a recriação do ambiente reforçam a confiabilidade do desenho.</w:t>
      </w:r>
    </w:p>
    <w:p>
      <w:pPr>
        <w:ind w:firstLine="709"/>
      </w:pPr>
      <w:r>
        <w:rPr/>
        <w:t>O principal aprendizado foi perceber, na prática, os benefícios e os custos dos microsserviços: a separação de responsabilidades facilita testar, entender e evoluir cada parte, mas exige cuidado com a ordem de inicialização, a verificação de saúde, o tratamento de falhas entre serviços e a configuração de rede. O uso de Docker e Compose tornou o ambiente totalmente reproduzível com um único comando.</w:t>
      </w:r>
    </w:p>
    <w:p>
      <w:pPr>
        <w:ind w:firstLine="709"/>
      </w:pPr>
      <w:r>
        <w:rPr/>
        <w:t>Como trabalhos futuros, propõem-se: (i) autenticação e autorização, com HTTPS; (ii) mensageria ou fila para desacoplar o cálculo da geração do relatório; (iii) cache dos indicadores; (iv) observabilidade, com logs estruturados, métricas e rastreamento distribuído; (v) integração contínua com execução automática dos testes e da construção das imagens; e (vi) testes de integração e de carga automatizados.</w:t>
      </w:r>
    </w:p>
    <w:p>
      <w:pPr>
        <w:pStyle w:val="Heading1"/>
      </w:pPr>
      <w:r>
        <w:t>Referências</w:t>
      </w:r>
    </w:p>
    <w:p>
      <w:pPr>
        <w:spacing w:line="240" w:lineRule="auto" w:after="240"/>
        <w:jc w:val="left"/>
      </w:pPr>
      <w:r>
        <w:rPr/>
        <w:t xml:space="preserve">COMPOSE SPECIFICATION. </w:t>
      </w:r>
      <w:r>
        <w:rPr>
          <w:b/>
        </w:rPr>
        <w:t>The Compose Specification</w:t>
      </w:r>
      <w:r>
        <w:rPr/>
        <w:t xml:space="preserve">. [s.d.]. Disponível em: https://compose-spec.io/. Acesso em: </w:t>
      </w:r>
      <w:r>
        <w:rPr>
          <w:b w:val="0"/>
          <w:highlight w:val="yellow"/>
        </w:rPr>
        <w:t>[DATA DE ACESSO]</w:t>
      </w:r>
      <w:r>
        <w:rPr/>
        <w:t>.</w:t>
      </w:r>
    </w:p>
    <w:p>
      <w:pPr>
        <w:spacing w:line="240" w:lineRule="auto" w:after="240"/>
        <w:jc w:val="left"/>
      </w:pPr>
      <w:r>
        <w:rPr/>
        <w:t xml:space="preserve">DOCKER INC. </w:t>
      </w:r>
      <w:r>
        <w:rPr>
          <w:b/>
        </w:rPr>
        <w:t>Docker Docs</w:t>
      </w:r>
      <w:r>
        <w:rPr/>
        <w:t xml:space="preserve">: Docker Engine e Docker Compose. [s.d.]. Disponível em: https://docs.docker.com/. Acesso em: </w:t>
      </w:r>
      <w:r>
        <w:rPr>
          <w:b w:val="0"/>
          <w:highlight w:val="yellow"/>
        </w:rPr>
        <w:t>[DATA DE ACESSO]</w:t>
      </w:r>
      <w:r>
        <w:rPr/>
        <w:t>.</w:t>
      </w:r>
    </w:p>
    <w:p>
      <w:pPr>
        <w:spacing w:line="240" w:lineRule="auto" w:after="240"/>
        <w:jc w:val="left"/>
      </w:pPr>
      <w:r>
        <w:rPr/>
        <w:t xml:space="preserve">FOWLER, Martin; LEWIS, James. </w:t>
      </w:r>
      <w:r>
        <w:rPr>
          <w:b/>
        </w:rPr>
        <w:t>Microservices</w:t>
      </w:r>
      <w:r>
        <w:rPr/>
        <w:t xml:space="preserve">: a definition of this new architectural term. 2014. Disponível em: https://martinfowler.com/articles/microservices.html. Acesso em: </w:t>
      </w:r>
      <w:r>
        <w:rPr>
          <w:b w:val="0"/>
          <w:highlight w:val="yellow"/>
        </w:rPr>
        <w:t>[DATA DE ACESSO]</w:t>
      </w:r>
      <w:r>
        <w:rPr/>
        <w:t>.</w:t>
      </w:r>
    </w:p>
    <w:p>
      <w:pPr>
        <w:spacing w:line="240" w:lineRule="auto" w:after="240"/>
        <w:jc w:val="left"/>
      </w:pPr>
      <w:r>
        <w:rPr/>
        <w:t xml:space="preserve">NEWMAN, Sam. </w:t>
      </w:r>
      <w:r>
        <w:rPr>
          <w:b/>
        </w:rPr>
        <w:t>Building Microservices</w:t>
      </w:r>
      <w:r>
        <w:rPr/>
        <w:t>: designing fine-grained systems. 2. ed. Sebastopol: O'Reilly Media, 2021.</w:t>
      </w:r>
    </w:p>
    <w:p>
      <w:pPr>
        <w:spacing w:line="240" w:lineRule="auto" w:after="240"/>
        <w:jc w:val="left"/>
      </w:pPr>
      <w:r>
        <w:rPr/>
        <w:t xml:space="preserve">PALLETS. </w:t>
      </w:r>
      <w:r>
        <w:rPr>
          <w:b/>
        </w:rPr>
        <w:t>Flask Documentation</w:t>
      </w:r>
      <w:r>
        <w:rPr/>
        <w:t xml:space="preserve">. [s.d.]. Disponível em: https://flask.palletsprojects.com/. Acesso em: </w:t>
      </w:r>
      <w:r>
        <w:rPr>
          <w:b w:val="0"/>
          <w:highlight w:val="yellow"/>
        </w:rPr>
        <w:t>[DATA DE ACESSO]</w:t>
      </w:r>
      <w:r>
        <w:rPr/>
        <w:t>.</w:t>
      </w:r>
    </w:p>
    <w:p>
      <w:pPr>
        <w:spacing w:line="240" w:lineRule="auto" w:after="240"/>
        <w:jc w:val="left"/>
      </w:pPr>
      <w:r>
        <w:rPr/>
        <w:t xml:space="preserve">POSTGRESQL GLOBAL DEVELOPMENT GROUP. </w:t>
      </w:r>
      <w:r>
        <w:rPr>
          <w:b/>
        </w:rPr>
        <w:t>PostgreSQL Documentation</w:t>
      </w:r>
      <w:r>
        <w:rPr/>
        <w:t xml:space="preserve">. [s.d.]. Disponível em: https://www.postgresql.org/docs/. Acesso em: </w:t>
      </w:r>
      <w:r>
        <w:rPr>
          <w:b w:val="0"/>
          <w:highlight w:val="yellow"/>
        </w:rPr>
        <w:t>[DATA DE ACESSO]</w:t>
      </w:r>
      <w:r>
        <w:rPr/>
        <w:t>.</w:t>
      </w:r>
    </w:p>
    <w:p>
      <w:pPr>
        <w:spacing w:line="240" w:lineRule="auto" w:after="240"/>
        <w:jc w:val="left"/>
      </w:pPr>
      <w:r>
        <w:rPr/>
        <w:t xml:space="preserve">PYTHON SOFTWARE FOUNDATION. </w:t>
      </w:r>
      <w:r>
        <w:rPr>
          <w:b/>
        </w:rPr>
        <w:t>Python 3 Documentation</w:t>
      </w:r>
      <w:r>
        <w:rPr/>
        <w:t xml:space="preserve">. [s.d.]. Disponível em: https://docs.python.org/3/. Acesso em: </w:t>
      </w:r>
      <w:r>
        <w:rPr>
          <w:b w:val="0"/>
          <w:highlight w:val="yellow"/>
        </w:rPr>
        <w:t>[DATA DE ACESSO]</w:t>
      </w:r>
      <w:r>
        <w:rPr/>
        <w:t>.</w:t>
      </w:r>
    </w:p>
    <w:p>
      <w:pPr>
        <w:spacing w:line="240" w:lineRule="auto" w:after="240"/>
        <w:jc w:val="left"/>
      </w:pPr>
      <w:r>
        <w:rPr/>
        <w:t xml:space="preserve">PYTHON-DOCX. </w:t>
      </w:r>
      <w:r>
        <w:rPr>
          <w:b/>
        </w:rPr>
        <w:t>python-docx Documentation</w:t>
      </w:r>
      <w:r>
        <w:rPr/>
        <w:t xml:space="preserve">. [s.d.]. Disponível em: https://python-docx.readthedocs.io/. Acesso em: </w:t>
      </w:r>
      <w:r>
        <w:rPr>
          <w:b w:val="0"/>
          <w:highlight w:val="yellow"/>
        </w:rPr>
        <w:t>[DATA DE ACESSO]</w:t>
      </w:r>
      <w:r>
        <w:rPr/>
        <w:t>.</w:t>
      </w:r>
    </w:p>
    <w:p>
      <w:pPr>
        <w:spacing w:line="240" w:lineRule="auto" w:after="240"/>
        <w:jc w:val="left"/>
      </w:pPr>
      <w:r>
        <w:rPr/>
        <w:t xml:space="preserve">PYTHON-PPTX. </w:t>
      </w:r>
      <w:r>
        <w:rPr>
          <w:b/>
        </w:rPr>
        <w:t>python-pptx Documentation</w:t>
      </w:r>
      <w:r>
        <w:rPr/>
        <w:t xml:space="preserve">. [s.d.]. Disponível em: https://python-pptx.readthedocs.io/. Acesso em: </w:t>
      </w:r>
      <w:r>
        <w:rPr>
          <w:b w:val="0"/>
          <w:highlight w:val="yellow"/>
        </w:rPr>
        <w:t>[DATA DE ACESSO]</w:t>
      </w:r>
      <w:r>
        <w:rPr/>
        <w:t>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20"/>
      </w:rPr>
      <w:fldChar w:fldCharType="begin"/>
    </w:r>
    <w:r>
      <w:rPr>
        <w:sz w:val="20"/>
      </w:rPr>
      <w:instrText xml:space="preserve">PAGE</w:instrText>
    </w:r>
    <w:r>
      <w:rPr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jc w:val="left"/>
      <w:outlineLvl w:val="0"/>
    </w:pPr>
    <w:rPr>
      <w:rFonts w:ascii="Arial" w:hAnsi="Arial" w:cs="Arial" w:eastAsia="Arial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="Arial" w:hAnsi="Arial" w:cs="Arial" w:eastAsia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jc w:val="left"/>
      <w:outlineLvl w:val="2"/>
    </w:pPr>
    <w:rPr>
      <w:rFonts w:ascii="Arial" w:hAnsi="Arial" w:cs="Arial" w:eastAsia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Microsserviços para Gestão e Análise de Desempenho de Entregas em Logística Urbana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