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9CF674" w14:textId="77777777" w:rsidR="00084B74" w:rsidRPr="00084B74" w:rsidRDefault="00084B74" w:rsidP="00084B74">
      <w:r w:rsidRPr="00084B74">
        <w:rPr>
          <w:b/>
          <w:bCs/>
        </w:rPr>
        <w:t>Kürzel</w:t>
      </w:r>
      <w:r w:rsidRPr="00084B74">
        <w:t xml:space="preserve"> </w:t>
      </w:r>
    </w:p>
    <w:p w14:paraId="52A7939C" w14:textId="77777777" w:rsidR="00084B74" w:rsidRPr="00084B74" w:rsidRDefault="00470436" w:rsidP="00084B74">
      <w:r>
        <w:rPr>
          <w:noProof/>
        </w:rPr>
      </w:r>
      <w:r>
        <w:pict w14:anchorId="0B304521">
          <v:rect id="Horizontal Line 1"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1D6AEDA" w14:textId="77777777" w:rsidR="00084B74" w:rsidRPr="00084B74" w:rsidRDefault="00084B74" w:rsidP="00084B74">
      <w:r w:rsidRPr="00084B74">
        <w:t>ram</w:t>
      </w:r>
    </w:p>
    <w:p w14:paraId="23FE993E" w14:textId="77777777" w:rsidR="00084B74" w:rsidRPr="00084B74" w:rsidRDefault="00084B74" w:rsidP="00084B74">
      <w:r w:rsidRPr="00084B74">
        <w:br/>
      </w:r>
      <w:r w:rsidRPr="00084B74">
        <w:br/>
      </w:r>
      <w:r w:rsidRPr="00084B74">
        <w:rPr>
          <w:b/>
          <w:bCs/>
        </w:rPr>
        <w:t>Anrede</w:t>
      </w:r>
      <w:r w:rsidRPr="00084B74">
        <w:t xml:space="preserve"> </w:t>
      </w:r>
    </w:p>
    <w:p w14:paraId="7949B444" w14:textId="77777777" w:rsidR="00084B74" w:rsidRPr="00084B74" w:rsidRDefault="00470436" w:rsidP="00084B74">
      <w:r>
        <w:rPr>
          <w:noProof/>
        </w:rPr>
      </w:r>
      <w:r>
        <w:pict w14:anchorId="139B43E0">
          <v:rect id="Horizontal Line 2"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B959642" w14:textId="77777777" w:rsidR="00084B74" w:rsidRPr="00084B74" w:rsidRDefault="00084B74" w:rsidP="00084B74">
      <w:r w:rsidRPr="00084B74">
        <w:t xml:space="preserve">Sehr geehrte Frau Kollegin, sehr geehrter Herr Kollege, </w:t>
      </w:r>
    </w:p>
    <w:p w14:paraId="54B217B3" w14:textId="77777777" w:rsidR="00084B74" w:rsidRPr="00084B74" w:rsidRDefault="00084B74" w:rsidP="00084B74">
      <w:r w:rsidRPr="00084B74">
        <w:t> </w:t>
      </w:r>
    </w:p>
    <w:p w14:paraId="4F4410EF" w14:textId="7AC86BC9" w:rsidR="00084B74" w:rsidRPr="00084B74" w:rsidRDefault="00084B74" w:rsidP="00084B74">
      <w:r w:rsidRPr="00084B74">
        <w:t xml:space="preserve">wir berichten über unseren gemeinsamen Patienten, </w:t>
      </w:r>
      <w:r w:rsidR="009148C9">
        <w:t>14,</w:t>
      </w:r>
      <w:r w:rsidRPr="00084B74">
        <w:t xml:space="preserve"> der sich am 08.01.2019 ambulant vorstellte.</w:t>
      </w:r>
    </w:p>
    <w:p w14:paraId="014A71AD" w14:textId="77777777" w:rsidR="00084B74" w:rsidRPr="00084B74" w:rsidRDefault="00084B74" w:rsidP="00084B74">
      <w:r w:rsidRPr="00084B74">
        <w:br/>
      </w:r>
      <w:r w:rsidRPr="00084B74">
        <w:br/>
      </w:r>
      <w:r w:rsidRPr="00084B74">
        <w:rPr>
          <w:b/>
          <w:bCs/>
        </w:rPr>
        <w:t>Diagnosen</w:t>
      </w:r>
      <w:r w:rsidRPr="00084B74">
        <w:t xml:space="preserve"> </w:t>
      </w:r>
    </w:p>
    <w:p w14:paraId="1FF7ACF3" w14:textId="77777777" w:rsidR="00084B74" w:rsidRPr="00084B74" w:rsidRDefault="00470436" w:rsidP="00084B74">
      <w:r>
        <w:rPr>
          <w:noProof/>
        </w:rPr>
      </w:r>
      <w:r>
        <w:pict w14:anchorId="27369DFF">
          <v:rect id="Horizontal Line 3"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BB2BB78" w14:textId="77777777" w:rsidR="00084B74" w:rsidRPr="00084B74" w:rsidRDefault="00084B74" w:rsidP="00084B74">
      <w:pPr>
        <w:numPr>
          <w:ilvl w:val="0"/>
          <w:numId w:val="1"/>
        </w:numPr>
      </w:pPr>
      <w:r w:rsidRPr="00084B74">
        <w:t xml:space="preserve">axiale Spondylarthritis </w:t>
      </w:r>
    </w:p>
    <w:p w14:paraId="12CEE418" w14:textId="77777777" w:rsidR="00084B74" w:rsidRPr="00084B74" w:rsidRDefault="00084B74" w:rsidP="00084B74">
      <w:pPr>
        <w:numPr>
          <w:ilvl w:val="1"/>
          <w:numId w:val="1"/>
        </w:numPr>
      </w:pPr>
      <w:r w:rsidRPr="00084B74">
        <w:t xml:space="preserve">Sakroiliitis im MRT seit 2015 </w:t>
      </w:r>
    </w:p>
    <w:p w14:paraId="26112165" w14:textId="77777777" w:rsidR="00084B74" w:rsidRPr="00084B74" w:rsidRDefault="00084B74" w:rsidP="00084B74">
      <w:pPr>
        <w:numPr>
          <w:ilvl w:val="1"/>
          <w:numId w:val="1"/>
        </w:numPr>
      </w:pPr>
      <w:r w:rsidRPr="00084B74">
        <w:t xml:space="preserve">bisherige Behandlung: NSAR ohne wesentliche Besserung </w:t>
      </w:r>
    </w:p>
    <w:p w14:paraId="7A3AEDC3" w14:textId="77777777" w:rsidR="00084B74" w:rsidRPr="00084B74" w:rsidRDefault="00084B74" w:rsidP="00084B74">
      <w:pPr>
        <w:numPr>
          <w:ilvl w:val="1"/>
          <w:numId w:val="1"/>
        </w:numPr>
      </w:pPr>
      <w:r w:rsidRPr="00084B74">
        <w:t xml:space="preserve">Einleitung einer Therapie mit Adalimumb 40 mg alle zwei Wochen (06/18) </w:t>
      </w:r>
    </w:p>
    <w:p w14:paraId="41C05C62" w14:textId="77777777" w:rsidR="00084B74" w:rsidRPr="00084B74" w:rsidRDefault="00084B74" w:rsidP="00084B74">
      <w:pPr>
        <w:numPr>
          <w:ilvl w:val="1"/>
          <w:numId w:val="1"/>
        </w:numPr>
      </w:pPr>
      <w:r w:rsidRPr="00084B74">
        <w:t xml:space="preserve">HLA-B27 neg. HLA B 51 pos. </w:t>
      </w:r>
    </w:p>
    <w:p w14:paraId="0BA4EFE6" w14:textId="77777777" w:rsidR="00084B74" w:rsidRPr="00084B74" w:rsidRDefault="00084B74" w:rsidP="00084B74">
      <w:r w:rsidRPr="00084B74">
        <w:br/>
      </w:r>
      <w:r w:rsidRPr="00084B74">
        <w:br/>
      </w:r>
      <w:r w:rsidRPr="00084B74">
        <w:rPr>
          <w:b/>
          <w:bCs/>
        </w:rPr>
        <w:t>Therapiehistorie</w:t>
      </w:r>
      <w:r w:rsidRPr="00084B74">
        <w:t xml:space="preserve"> </w:t>
      </w:r>
    </w:p>
    <w:p w14:paraId="51940B4B" w14:textId="77777777" w:rsidR="00084B74" w:rsidRPr="00084B74" w:rsidRDefault="00470436" w:rsidP="00084B74">
      <w:r>
        <w:rPr>
          <w:noProof/>
        </w:rPr>
      </w:r>
      <w:r>
        <w:pict w14:anchorId="137E84D5">
          <v:rect id="Horizontal Line 4"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78213B0" w14:textId="77777777" w:rsidR="00084B74" w:rsidRPr="00084B74" w:rsidRDefault="00084B74" w:rsidP="00084B74">
      <w:r w:rsidRPr="00084B74">
        <w:t> </w:t>
      </w:r>
    </w:p>
    <w:p w14:paraId="143A1FCE" w14:textId="77777777" w:rsidR="00084B74" w:rsidRPr="00084B74" w:rsidRDefault="00084B74" w:rsidP="00084B74">
      <w:r w:rsidRPr="00084B74">
        <w:rPr>
          <w:u w:val="single"/>
        </w:rPr>
        <w:t>Dauermedikation:</w:t>
      </w:r>
    </w:p>
    <w:p w14:paraId="14E2E5A6" w14:textId="77777777" w:rsidR="00084B74" w:rsidRPr="00084B74" w:rsidRDefault="00084B74" w:rsidP="00084B74">
      <w:r w:rsidRPr="00084B74">
        <w:t>Humira alle 2 Wochen</w:t>
      </w:r>
    </w:p>
    <w:p w14:paraId="5F90D38A" w14:textId="77777777" w:rsidR="00084B74" w:rsidRPr="00084B74" w:rsidRDefault="00084B74" w:rsidP="00084B74">
      <w:r w:rsidRPr="00084B74">
        <w:br/>
      </w:r>
      <w:r w:rsidRPr="00084B74">
        <w:br/>
      </w:r>
      <w:r w:rsidRPr="00084B74">
        <w:rPr>
          <w:b/>
          <w:bCs/>
        </w:rPr>
        <w:t>Anamnese</w:t>
      </w:r>
      <w:r w:rsidRPr="00084B74">
        <w:t xml:space="preserve"> </w:t>
      </w:r>
    </w:p>
    <w:p w14:paraId="521044DA" w14:textId="77777777" w:rsidR="00084B74" w:rsidRPr="00084B74" w:rsidRDefault="00470436" w:rsidP="00084B74">
      <w:r>
        <w:rPr>
          <w:noProof/>
        </w:rPr>
      </w:r>
      <w:r>
        <w:pict w14:anchorId="72F5BFD8">
          <v:rect id="Horizontal Line 5"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52E325D" w14:textId="77777777" w:rsidR="00084B74" w:rsidRPr="00084B74" w:rsidRDefault="00084B74" w:rsidP="00084B74">
      <w:r w:rsidRPr="00084B74">
        <w:lastRenderedPageBreak/>
        <w:t xml:space="preserve">Vorstellung bei SpA. Zuletzt begonnene Therapie mit Humira wurde abgesetzt aufgrund Transaminasenanstieg. Therapie seit Oktober abgesetzt, nun wieder vermehrt axiale Schmerzen und Bewegungseinschränkungen. Akne ebenfalls wieder aggraviert. </w:t>
      </w:r>
    </w:p>
    <w:p w14:paraId="684F0B73" w14:textId="77777777" w:rsidR="00084B74" w:rsidRPr="00084B74" w:rsidRDefault="00084B74" w:rsidP="00084B74">
      <w:r w:rsidRPr="00084B74">
        <w:t>Schmerzskala: 8 (0-10)</w:t>
      </w:r>
    </w:p>
    <w:p w14:paraId="3B7729AC" w14:textId="77777777" w:rsidR="00084B74" w:rsidRPr="00084B74" w:rsidRDefault="00084B74" w:rsidP="00084B74">
      <w:r w:rsidRPr="00084B74">
        <w:br/>
      </w:r>
      <w:r w:rsidRPr="00084B74">
        <w:br/>
      </w:r>
      <w:r w:rsidRPr="00084B74">
        <w:rPr>
          <w:b/>
          <w:bCs/>
        </w:rPr>
        <w:t>Untersuchungsbefund</w:t>
      </w:r>
      <w:r w:rsidRPr="00084B74">
        <w:t xml:space="preserve"> </w:t>
      </w:r>
    </w:p>
    <w:p w14:paraId="65867EBA" w14:textId="77777777" w:rsidR="00084B74" w:rsidRPr="00084B74" w:rsidRDefault="00470436" w:rsidP="00084B74">
      <w:r>
        <w:rPr>
          <w:noProof/>
        </w:rPr>
      </w:r>
      <w:r>
        <w:pict w14:anchorId="5C85285C">
          <v:rect id="Horizontal Line 6"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3B89E34" w14:textId="77777777" w:rsidR="00084B74" w:rsidRPr="00084B74" w:rsidRDefault="00084B74" w:rsidP="00084B74">
      <w:r w:rsidRPr="00084B74">
        <w:t>periphere Gelenke: keine synovitische Gelenkschwellung, kein DS</w:t>
      </w:r>
    </w:p>
    <w:p w14:paraId="0C9A1BAB" w14:textId="77777777" w:rsidR="00084B74" w:rsidRPr="00084B74" w:rsidRDefault="00084B74" w:rsidP="00084B74">
      <w:r w:rsidRPr="00084B74">
        <w:t>Akne aktiv im Gesicht, Capillitium, Brust.</w:t>
      </w:r>
    </w:p>
    <w:p w14:paraId="0F241C75" w14:textId="77777777" w:rsidR="00084B74" w:rsidRPr="00084B74" w:rsidRDefault="00084B74" w:rsidP="00084B74">
      <w:r w:rsidRPr="00084B74">
        <w:t>Wirbelsäule: massive Bewegungseinschränkung hinsichtlich Rotation HWS 10° bds., FBA &gt;30cm</w:t>
      </w:r>
    </w:p>
    <w:p w14:paraId="776463DB" w14:textId="77777777" w:rsidR="00084B74" w:rsidRPr="00084B74" w:rsidRDefault="00084B74" w:rsidP="00084B74">
      <w:r w:rsidRPr="00084B74">
        <w:t> </w:t>
      </w:r>
    </w:p>
    <w:p w14:paraId="6157C0F7" w14:textId="77777777" w:rsidR="00084B74" w:rsidRPr="00084B74" w:rsidRDefault="00084B74" w:rsidP="00084B74">
      <w:r w:rsidRPr="00084B74">
        <w:t> </w:t>
      </w:r>
    </w:p>
    <w:p w14:paraId="7E92C008" w14:textId="77777777" w:rsidR="00084B74" w:rsidRPr="00084B74" w:rsidRDefault="00084B74" w:rsidP="00084B74">
      <w:r w:rsidRPr="00084B74">
        <w:t> </w:t>
      </w:r>
    </w:p>
    <w:p w14:paraId="5EDE0038" w14:textId="77777777" w:rsidR="00084B74" w:rsidRPr="00084B74" w:rsidRDefault="00084B74" w:rsidP="00084B74">
      <w:r w:rsidRPr="00084B74">
        <w:br/>
      </w:r>
      <w:r w:rsidRPr="00084B74">
        <w:br/>
      </w:r>
      <w:r w:rsidRPr="00084B74">
        <w:rPr>
          <w:b/>
          <w:bCs/>
        </w:rPr>
        <w:t>Laborwerte</w:t>
      </w:r>
      <w:r w:rsidRPr="00084B74">
        <w:t xml:space="preserve"> </w:t>
      </w:r>
    </w:p>
    <w:p w14:paraId="05BB545E" w14:textId="77777777" w:rsidR="00084B74" w:rsidRPr="00084B74" w:rsidRDefault="00470436" w:rsidP="00084B74">
      <w:r>
        <w:rPr>
          <w:noProof/>
        </w:rPr>
      </w:r>
      <w:r>
        <w:pict w14:anchorId="3C99EE01">
          <v:rect id="Horizontal Line 7"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EA03C76" w14:textId="77777777" w:rsidR="00084B74" w:rsidRPr="00084B74" w:rsidRDefault="00084B74" w:rsidP="00084B74">
      <w:r w:rsidRPr="00084B74">
        <w:rPr>
          <w:b/>
          <w:bCs/>
          <w:u w:val="single"/>
        </w:rPr>
        <w:t>Kleines BB</w:t>
      </w:r>
      <w:r w:rsidRPr="00084B74">
        <w:t>: Hämoglobin 17,2 g/dl (13,5 - 17,5 g/dl), Hämatokrit 48,6 % (39 - 51 %), Erythrozyten 5,55 x 10</w:t>
      </w:r>
      <w:r w:rsidRPr="00084B74">
        <w:rPr>
          <w:vertAlign w:val="superscript"/>
        </w:rPr>
        <w:t>6</w:t>
      </w:r>
      <w:r w:rsidRPr="00084B74">
        <w:t>/µl (4,4 - 5,8 x 10</w:t>
      </w:r>
      <w:r w:rsidRPr="00084B74">
        <w:rPr>
          <w:vertAlign w:val="superscript"/>
        </w:rPr>
        <w:t>6</w:t>
      </w:r>
      <w:r w:rsidRPr="00084B74">
        <w:t>/µl), Leukozyten 9,27 x 10</w:t>
      </w:r>
      <w:r w:rsidRPr="00084B74">
        <w:rPr>
          <w:vertAlign w:val="superscript"/>
        </w:rPr>
        <w:t>3</w:t>
      </w:r>
      <w:r w:rsidRPr="00084B74">
        <w:t>/µl (4 - 10 x 10</w:t>
      </w:r>
      <w:r w:rsidRPr="00084B74">
        <w:rPr>
          <w:vertAlign w:val="superscript"/>
        </w:rPr>
        <w:t>3</w:t>
      </w:r>
      <w:r w:rsidRPr="00084B74">
        <w:t>/µl), Thrombozyten 181 x 10</w:t>
      </w:r>
      <w:r w:rsidRPr="00084B74">
        <w:rPr>
          <w:vertAlign w:val="superscript"/>
        </w:rPr>
        <w:t>3</w:t>
      </w:r>
      <w:r w:rsidRPr="00084B74">
        <w:t>/µl (140 - 350 x 10</w:t>
      </w:r>
      <w:r w:rsidRPr="00084B74">
        <w:rPr>
          <w:vertAlign w:val="superscript"/>
        </w:rPr>
        <w:t>3</w:t>
      </w:r>
      <w:r w:rsidRPr="00084B74">
        <w:t xml:space="preserve">/µl), MCH 31,0 pg (27 - 33 pg), MCHC 35,4 g Hb/dl (32 - 36 g Hb/dl), MCV 87,6 fl (81 - 98 fl), </w:t>
      </w:r>
      <w:r w:rsidRPr="00084B74">
        <w:rPr>
          <w:b/>
          <w:bCs/>
        </w:rPr>
        <w:t>MPV 12,4 fl</w:t>
      </w:r>
      <w:r w:rsidRPr="00084B74">
        <w:t xml:space="preserve"> (7,8 - 11 fl), RDW 11,6 % (11,6 - 16,2 %). </w:t>
      </w:r>
    </w:p>
    <w:p w14:paraId="643C8269" w14:textId="77777777" w:rsidR="00084B74" w:rsidRPr="00084B74" w:rsidRDefault="00084B74" w:rsidP="00084B74">
      <w:r w:rsidRPr="00084B74">
        <w:rPr>
          <w:b/>
          <w:bCs/>
          <w:u w:val="single"/>
        </w:rPr>
        <w:t>Diff. BB</w:t>
      </w:r>
      <w:r w:rsidRPr="00084B74">
        <w:t xml:space="preserve">: Lymphozyten (maschinell) 24,4 %, Monozyten (maschinell) 5,5 %, Neutrophile (maschinell) 66,3 %, Eosinophile (maschinell) 3,5 %, Basophile (maschinell) 0,3 %. </w:t>
      </w:r>
    </w:p>
    <w:p w14:paraId="0063E69E" w14:textId="77777777" w:rsidR="00084B74" w:rsidRPr="00084B74" w:rsidRDefault="00084B74" w:rsidP="00084B74">
      <w:r w:rsidRPr="00084B74">
        <w:rPr>
          <w:b/>
          <w:bCs/>
          <w:u w:val="single"/>
        </w:rPr>
        <w:t>Serumchemie</w:t>
      </w:r>
      <w:r w:rsidRPr="00084B74">
        <w:t xml:space="preserve">: Kreatinin 0,92 mg/dl (0,67 - 1,17 mg/dl), eGFR (geschätzt MDRD-Formel) &gt; 60 ml/min (&gt; 60 ml/min), </w:t>
      </w:r>
      <w:r w:rsidRPr="00084B74">
        <w:rPr>
          <w:b/>
          <w:bCs/>
        </w:rPr>
        <w:t>AST / GOT 67 U/l</w:t>
      </w:r>
      <w:r w:rsidRPr="00084B74">
        <w:t xml:space="preserve"> (&lt; 50 U/l), </w:t>
      </w:r>
      <w:r w:rsidRPr="00084B74">
        <w:rPr>
          <w:b/>
          <w:bCs/>
        </w:rPr>
        <w:t>ALT / GPT 155 U/l</w:t>
      </w:r>
      <w:r w:rsidRPr="00084B74">
        <w:t xml:space="preserve"> (&lt; 50 U/l). </w:t>
      </w:r>
    </w:p>
    <w:p w14:paraId="1392E12A" w14:textId="77777777" w:rsidR="00084B74" w:rsidRPr="00084B74" w:rsidRDefault="00084B74" w:rsidP="00084B74">
      <w:r w:rsidRPr="00084B74">
        <w:rPr>
          <w:b/>
          <w:bCs/>
          <w:u w:val="single"/>
        </w:rPr>
        <w:t>Immunologie</w:t>
      </w:r>
      <w:r w:rsidRPr="00084B74">
        <w:t xml:space="preserve">: </w:t>
      </w:r>
      <w:r w:rsidRPr="00084B74">
        <w:rPr>
          <w:b/>
          <w:bCs/>
        </w:rPr>
        <w:t>C-reaktives Protein 10,5 mg/l</w:t>
      </w:r>
      <w:r w:rsidRPr="00084B74">
        <w:t xml:space="preserve"> (-&lt;5,2 mg/l), </w:t>
      </w:r>
    </w:p>
    <w:p w14:paraId="04D4D0B8" w14:textId="77777777" w:rsidR="00084B74" w:rsidRPr="00084B74" w:rsidRDefault="00084B74" w:rsidP="00084B74">
      <w:r w:rsidRPr="00084B74">
        <w:rPr>
          <w:b/>
          <w:bCs/>
          <w:u w:val="single"/>
        </w:rPr>
        <w:t>Sonstige Hämatologie</w:t>
      </w:r>
      <w:r w:rsidRPr="00084B74">
        <w:t>: Basophile (maschinell) Absolut 0,0 x 10</w:t>
      </w:r>
      <w:r w:rsidRPr="00084B74">
        <w:rPr>
          <w:vertAlign w:val="superscript"/>
        </w:rPr>
        <w:t>3</w:t>
      </w:r>
      <w:r w:rsidRPr="00084B74">
        <w:t>/µl (0 - 0,1 x 10</w:t>
      </w:r>
      <w:r w:rsidRPr="00084B74">
        <w:rPr>
          <w:vertAlign w:val="superscript"/>
        </w:rPr>
        <w:t>3</w:t>
      </w:r>
      <w:r w:rsidRPr="00084B74">
        <w:t>/µl), Eosinophile (maschinell) Absolut 0,3 x 10</w:t>
      </w:r>
      <w:r w:rsidRPr="00084B74">
        <w:rPr>
          <w:vertAlign w:val="superscript"/>
        </w:rPr>
        <w:t>3</w:t>
      </w:r>
      <w:r w:rsidRPr="00084B74">
        <w:t>/µl (0 - 0,5 x 10</w:t>
      </w:r>
      <w:r w:rsidRPr="00084B74">
        <w:rPr>
          <w:vertAlign w:val="superscript"/>
        </w:rPr>
        <w:t>3</w:t>
      </w:r>
      <w:r w:rsidRPr="00084B74">
        <w:t>/µl), Lymphozyten (maschinell) Absolut 2,3 x 10</w:t>
      </w:r>
      <w:r w:rsidRPr="00084B74">
        <w:rPr>
          <w:vertAlign w:val="superscript"/>
        </w:rPr>
        <w:t>3</w:t>
      </w:r>
      <w:r w:rsidRPr="00084B74">
        <w:t>/µl (1 - 3,5 x 10</w:t>
      </w:r>
      <w:r w:rsidRPr="00084B74">
        <w:rPr>
          <w:vertAlign w:val="superscript"/>
        </w:rPr>
        <w:t>3</w:t>
      </w:r>
      <w:r w:rsidRPr="00084B74">
        <w:t>/µl), Monozyten (maschinell) Absolut 0,5 x 10</w:t>
      </w:r>
      <w:r w:rsidRPr="00084B74">
        <w:rPr>
          <w:vertAlign w:val="superscript"/>
        </w:rPr>
        <w:t>3</w:t>
      </w:r>
      <w:r w:rsidRPr="00084B74">
        <w:t>/µl (0,1 - 0,9 x 10</w:t>
      </w:r>
      <w:r w:rsidRPr="00084B74">
        <w:rPr>
          <w:vertAlign w:val="superscript"/>
        </w:rPr>
        <w:t>3</w:t>
      </w:r>
      <w:r w:rsidRPr="00084B74">
        <w:t>/µl), Neutrophile (maschinell) Absolut 6,2 x 10</w:t>
      </w:r>
      <w:r w:rsidRPr="00084B74">
        <w:rPr>
          <w:vertAlign w:val="superscript"/>
        </w:rPr>
        <w:t>3</w:t>
      </w:r>
      <w:r w:rsidRPr="00084B74">
        <w:t>/µl (1,6 - 7,8 x 10</w:t>
      </w:r>
      <w:r w:rsidRPr="00084B74">
        <w:rPr>
          <w:vertAlign w:val="superscript"/>
        </w:rPr>
        <w:t>3</w:t>
      </w:r>
      <w:r w:rsidRPr="00084B74">
        <w:t xml:space="preserve">/µl), </w:t>
      </w:r>
    </w:p>
    <w:p w14:paraId="7357D71F" w14:textId="77777777" w:rsidR="00084B74" w:rsidRPr="00084B74" w:rsidRDefault="00084B74" w:rsidP="00084B74">
      <w:r w:rsidRPr="00084B74">
        <w:lastRenderedPageBreak/>
        <w:br/>
      </w:r>
      <w:r w:rsidRPr="00084B74">
        <w:br/>
      </w:r>
      <w:r w:rsidRPr="00084B74">
        <w:rPr>
          <w:b/>
          <w:bCs/>
        </w:rPr>
        <w:t>Verlauf und Beurteilung</w:t>
      </w:r>
      <w:r w:rsidRPr="00084B74">
        <w:t xml:space="preserve"> </w:t>
      </w:r>
    </w:p>
    <w:p w14:paraId="0BE4C013" w14:textId="77777777" w:rsidR="00084B74" w:rsidRPr="00084B74" w:rsidRDefault="00470436" w:rsidP="00084B74">
      <w:r>
        <w:rPr>
          <w:noProof/>
        </w:rPr>
      </w:r>
      <w:r>
        <w:pict w14:anchorId="6B7D0ABC">
          <v:rect id="Horizontal Line 8"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1A94FAC" w14:textId="77777777" w:rsidR="00084B74" w:rsidRPr="00084B74" w:rsidRDefault="00084B74" w:rsidP="00084B74">
      <w:r w:rsidRPr="00084B74">
        <w:t xml:space="preserve">Vorstellung bei Spondylarthritis. Aktuell klinisch und bildmorphologische Aktivität. Aufgrund des Transaminasenanstiegs unter Adalimumab erfolgt nun die Umstellung auf Sekucinumab 150mg s.c. in Woche 0, 1, 2, 3, 4, dann weitere Gaben im 4-Wochen-Abstand. Infobroschüre der DGRh wurde mitgegeben. Unter Sekucinumab sind regelmäßige klinische und serologische Kontrollen nach Maßgabe der DGRh notwendig. Aktuell wurde dem Pat. empfohlen, die Transaminasen vor Beginn der neuen immunsuppressiven Therapie erneut zu kontrollieren und bei dokumentiertem Rückgang der erhöhten Werte mit der neuen Therapie zu beginnen. Eine WV wurde für in 3 Monaten vereinbart, bei Bedarf auch früher nach telefonischer Rücksprache. Wir danken für die Vorstellung des Pat. Für Rückfragen stehen wir gern zur Verfügung. </w:t>
      </w:r>
    </w:p>
    <w:p w14:paraId="37627138" w14:textId="77777777" w:rsidR="00084B74" w:rsidRPr="00084B74" w:rsidRDefault="00084B74" w:rsidP="00084B74">
      <w:r w:rsidRPr="00084B74">
        <w:br/>
      </w:r>
      <w:r w:rsidRPr="00084B74">
        <w:br/>
      </w:r>
      <w:r w:rsidRPr="00084B74">
        <w:rPr>
          <w:b/>
          <w:bCs/>
        </w:rPr>
        <w:t>Schluss</w:t>
      </w:r>
      <w:r w:rsidRPr="00084B74">
        <w:t xml:space="preserve"> </w:t>
      </w:r>
    </w:p>
    <w:p w14:paraId="569E5539" w14:textId="77777777" w:rsidR="00084B74" w:rsidRPr="00084B74" w:rsidRDefault="00470436" w:rsidP="00084B74">
      <w:r>
        <w:rPr>
          <w:noProof/>
        </w:rPr>
      </w:r>
      <w:r>
        <w:pict w14:anchorId="4F1F5063">
          <v:rect id="Horizontal Line 9"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3384A6B" w14:textId="77777777" w:rsidR="00084B74" w:rsidRPr="00084B74" w:rsidRDefault="00084B74" w:rsidP="00084B74">
      <w:r w:rsidRPr="00084B74">
        <w:t>Mit freundlichen kollegialen Grüßen</w:t>
      </w:r>
    </w:p>
    <w:p w14:paraId="718BB51F" w14:textId="77777777" w:rsidR="00084B74" w:rsidRPr="00084B74" w:rsidRDefault="00084B74" w:rsidP="00084B74">
      <w:r w:rsidRPr="00084B74">
        <w:t> </w:t>
      </w:r>
    </w:p>
    <w:p w14:paraId="17B066B1" w14:textId="77777777" w:rsidR="00084B74" w:rsidRPr="00084B74" w:rsidRDefault="00084B74" w:rsidP="00084B74">
      <w:r w:rsidRPr="00084B74">
        <w:t> </w:t>
      </w:r>
    </w:p>
    <w:p w14:paraId="656054AA" w14:textId="77777777" w:rsidR="00084B74" w:rsidRPr="00084B74" w:rsidRDefault="00084B74" w:rsidP="00084B74">
      <w:r w:rsidRPr="00084B74">
        <w:t> </w:t>
      </w:r>
    </w:p>
    <w:p w14:paraId="3B9CD8B9" w14:textId="77777777" w:rsidR="00084B74" w:rsidRPr="00084B74" w:rsidRDefault="00084B74" w:rsidP="00084B74">
      <w:r w:rsidRPr="00084B74">
        <w:t> </w:t>
      </w:r>
    </w:p>
    <w:tbl>
      <w:tblPr>
        <w:tblW w:w="5000" w:type="pct"/>
        <w:tblCellMar>
          <w:left w:w="0" w:type="dxa"/>
          <w:right w:w="0" w:type="dxa"/>
        </w:tblCellMar>
        <w:tblLook w:val="04A0" w:firstRow="1" w:lastRow="0" w:firstColumn="1" w:lastColumn="0" w:noHBand="0" w:noVBand="1"/>
      </w:tblPr>
      <w:tblGrid>
        <w:gridCol w:w="9072"/>
      </w:tblGrid>
      <w:tr w:rsidR="00084B74" w:rsidRPr="00084B74" w14:paraId="3D6CFD5D" w14:textId="77777777" w:rsidTr="00084B74">
        <w:tc>
          <w:tcPr>
            <w:tcW w:w="1700" w:type="pct"/>
            <w:hideMark/>
          </w:tcPr>
          <w:p w14:paraId="0B32F851" w14:textId="77777777" w:rsidR="00084B74" w:rsidRPr="00084B74" w:rsidRDefault="00084B74" w:rsidP="00084B74">
            <w:r w:rsidRPr="00084B74">
              <w:t>Prof. Dr. med. J. Distler</w:t>
            </w:r>
          </w:p>
        </w:tc>
      </w:tr>
    </w:tbl>
    <w:p w14:paraId="677B788A" w14:textId="77777777" w:rsidR="00084B74" w:rsidRDefault="00084B74"/>
    <w:sectPr w:rsidR="00084B7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8875E9"/>
    <w:multiLevelType w:val="multilevel"/>
    <w:tmpl w:val="7974D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84612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B74"/>
    <w:rsid w:val="00084B74"/>
    <w:rsid w:val="00470436"/>
    <w:rsid w:val="009148C9"/>
    <w:rsid w:val="0092470E"/>
    <w:rsid w:val="00B761FA"/>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E9A9835"/>
  <w15:chartTrackingRefBased/>
  <w15:docId w15:val="{3B2F680A-D732-433A-93F6-596A6A930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84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84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84B7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84B7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84B7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84B7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84B7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84B7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84B7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84B7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84B7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84B7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84B7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84B7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84B7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84B7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84B7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84B74"/>
    <w:rPr>
      <w:rFonts w:eastAsiaTheme="majorEastAsia" w:cstheme="majorBidi"/>
      <w:color w:val="272727" w:themeColor="text1" w:themeTint="D8"/>
    </w:rPr>
  </w:style>
  <w:style w:type="paragraph" w:styleId="Titel">
    <w:name w:val="Title"/>
    <w:basedOn w:val="Standard"/>
    <w:next w:val="Standard"/>
    <w:link w:val="TitelZchn"/>
    <w:uiPriority w:val="10"/>
    <w:qFormat/>
    <w:rsid w:val="00084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84B7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84B7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84B7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84B7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84B74"/>
    <w:rPr>
      <w:i/>
      <w:iCs/>
      <w:color w:val="404040" w:themeColor="text1" w:themeTint="BF"/>
    </w:rPr>
  </w:style>
  <w:style w:type="paragraph" w:styleId="Listenabsatz">
    <w:name w:val="List Paragraph"/>
    <w:basedOn w:val="Standard"/>
    <w:uiPriority w:val="34"/>
    <w:qFormat/>
    <w:rsid w:val="00084B74"/>
    <w:pPr>
      <w:ind w:left="720"/>
      <w:contextualSpacing/>
    </w:pPr>
  </w:style>
  <w:style w:type="character" w:styleId="IntensiveHervorhebung">
    <w:name w:val="Intense Emphasis"/>
    <w:basedOn w:val="Absatz-Standardschriftart"/>
    <w:uiPriority w:val="21"/>
    <w:qFormat/>
    <w:rsid w:val="00084B74"/>
    <w:rPr>
      <w:i/>
      <w:iCs/>
      <w:color w:val="0F4761" w:themeColor="accent1" w:themeShade="BF"/>
    </w:rPr>
  </w:style>
  <w:style w:type="paragraph" w:styleId="IntensivesZitat">
    <w:name w:val="Intense Quote"/>
    <w:basedOn w:val="Standard"/>
    <w:next w:val="Standard"/>
    <w:link w:val="IntensivesZitatZchn"/>
    <w:uiPriority w:val="30"/>
    <w:qFormat/>
    <w:rsid w:val="00084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84B74"/>
    <w:rPr>
      <w:i/>
      <w:iCs/>
      <w:color w:val="0F4761" w:themeColor="accent1" w:themeShade="BF"/>
    </w:rPr>
  </w:style>
  <w:style w:type="character" w:styleId="IntensiverVerweis">
    <w:name w:val="Intense Reference"/>
    <w:basedOn w:val="Absatz-Standardschriftart"/>
    <w:uiPriority w:val="32"/>
    <w:qFormat/>
    <w:rsid w:val="00084B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17597498">
      <w:bodyDiv w:val="1"/>
      <w:marLeft w:val="0"/>
      <w:marRight w:val="0"/>
      <w:marTop w:val="0"/>
      <w:marBottom w:val="0"/>
      <w:divBdr>
        <w:top w:val="none" w:sz="0" w:space="0" w:color="auto"/>
        <w:left w:val="none" w:sz="0" w:space="0" w:color="auto"/>
        <w:bottom w:val="none" w:sz="0" w:space="0" w:color="auto"/>
        <w:right w:val="none" w:sz="0" w:space="0" w:color="auto"/>
      </w:divBdr>
      <w:divsChild>
        <w:div w:id="1800876636">
          <w:marLeft w:val="0"/>
          <w:marRight w:val="0"/>
          <w:marTop w:val="0"/>
          <w:marBottom w:val="0"/>
          <w:divBdr>
            <w:top w:val="none" w:sz="0" w:space="0" w:color="auto"/>
            <w:left w:val="none" w:sz="0" w:space="0" w:color="auto"/>
            <w:bottom w:val="none" w:sz="0" w:space="0" w:color="auto"/>
            <w:right w:val="none" w:sz="0" w:space="0" w:color="auto"/>
          </w:divBdr>
        </w:div>
      </w:divsChild>
    </w:div>
    <w:div w:id="1864437955">
      <w:bodyDiv w:val="1"/>
      <w:marLeft w:val="0"/>
      <w:marRight w:val="0"/>
      <w:marTop w:val="0"/>
      <w:marBottom w:val="0"/>
      <w:divBdr>
        <w:top w:val="none" w:sz="0" w:space="0" w:color="auto"/>
        <w:left w:val="none" w:sz="0" w:space="0" w:color="auto"/>
        <w:bottom w:val="none" w:sz="0" w:space="0" w:color="auto"/>
        <w:right w:val="none" w:sz="0" w:space="0" w:color="auto"/>
      </w:divBdr>
      <w:divsChild>
        <w:div w:id="4636994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447</Words>
  <Characters>2822</Characters>
  <Application>Microsoft Office Word</Application>
  <DocSecurity>0</DocSecurity>
  <Lines>23</Lines>
  <Paragraphs>6</Paragraphs>
  <ScaleCrop>false</ScaleCrop>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2026-09-24T17:09:00Z</dcterms:created>
  <dcterms:modified xsi:type="dcterms:W3CDTF">2026-09-25T22:26:00Z</dcterms:modified>
</cp:coreProperties>
</file>