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079B1" w14:textId="77777777" w:rsidR="00D71EBB" w:rsidRPr="00D71EBB" w:rsidRDefault="00D71EBB" w:rsidP="00D71EBB">
      <w:r w:rsidRPr="00D71EBB">
        <w:rPr>
          <w:b/>
          <w:bCs/>
        </w:rPr>
        <w:t>Kürzel</w:t>
      </w:r>
      <w:r w:rsidRPr="00D71EBB">
        <w:t xml:space="preserve"> </w:t>
      </w:r>
    </w:p>
    <w:p w14:paraId="4AC94C00" w14:textId="77777777" w:rsidR="00D71EBB" w:rsidRPr="00D71EBB" w:rsidRDefault="00C52B21" w:rsidP="00D71EBB">
      <w:r>
        <w:rPr>
          <w:noProof/>
        </w:rPr>
      </w:r>
      <w:r>
        <w:pict w14:anchorId="4C30FDC9">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756788" w14:textId="77777777" w:rsidR="00D71EBB" w:rsidRPr="00D71EBB" w:rsidRDefault="00D71EBB" w:rsidP="00D71EBB">
      <w:r w:rsidRPr="00D71EBB">
        <w:t>ram</w:t>
      </w:r>
    </w:p>
    <w:p w14:paraId="5E11837A" w14:textId="77777777" w:rsidR="00D71EBB" w:rsidRPr="00D71EBB" w:rsidRDefault="00D71EBB" w:rsidP="00D71EBB">
      <w:r w:rsidRPr="00D71EBB">
        <w:br/>
      </w:r>
      <w:r w:rsidRPr="00D71EBB">
        <w:br/>
      </w:r>
      <w:r w:rsidRPr="00D71EBB">
        <w:rPr>
          <w:b/>
          <w:bCs/>
        </w:rPr>
        <w:t>Anrede</w:t>
      </w:r>
      <w:r w:rsidRPr="00D71EBB">
        <w:t xml:space="preserve"> </w:t>
      </w:r>
    </w:p>
    <w:p w14:paraId="60EDCC90" w14:textId="77777777" w:rsidR="00D71EBB" w:rsidRPr="00D71EBB" w:rsidRDefault="00C52B21" w:rsidP="00D71EBB">
      <w:r>
        <w:rPr>
          <w:noProof/>
        </w:rPr>
      </w:r>
      <w:r>
        <w:pict w14:anchorId="01F79EEB">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DCDAA13" w14:textId="77777777" w:rsidR="00D71EBB" w:rsidRPr="00D71EBB" w:rsidRDefault="00D71EBB" w:rsidP="00D71EBB">
      <w:r w:rsidRPr="00D71EBB">
        <w:t xml:space="preserve">Sehr geehrte Frau Kollegin, sehr geehrter Herr Kollege, </w:t>
      </w:r>
    </w:p>
    <w:p w14:paraId="760254BE" w14:textId="77777777" w:rsidR="00D71EBB" w:rsidRPr="00D71EBB" w:rsidRDefault="00D71EBB" w:rsidP="00D71EBB">
      <w:r w:rsidRPr="00D71EBB">
        <w:t> </w:t>
      </w:r>
    </w:p>
    <w:p w14:paraId="527A05EB" w14:textId="309ECDE3" w:rsidR="00D71EBB" w:rsidRPr="00D71EBB" w:rsidRDefault="00D71EBB" w:rsidP="00D71EBB">
      <w:r w:rsidRPr="00D71EBB">
        <w:t xml:space="preserve">wir berichten über unseren gemeinsamen Patienten, </w:t>
      </w:r>
      <w:r w:rsidR="00DD4DC7">
        <w:t>16,</w:t>
      </w:r>
      <w:r w:rsidRPr="00D71EBB">
        <w:t xml:space="preserve"> der sich am 19.10.2018 ambulant vorstellte.</w:t>
      </w:r>
    </w:p>
    <w:p w14:paraId="2E41DCD1" w14:textId="77777777" w:rsidR="00D71EBB" w:rsidRPr="00D71EBB" w:rsidRDefault="00D71EBB" w:rsidP="00D71EBB">
      <w:r w:rsidRPr="00D71EBB">
        <w:br/>
      </w:r>
      <w:r w:rsidRPr="00D71EBB">
        <w:br/>
      </w:r>
      <w:r w:rsidRPr="00D71EBB">
        <w:rPr>
          <w:b/>
          <w:bCs/>
        </w:rPr>
        <w:t>Diagnosen</w:t>
      </w:r>
      <w:r w:rsidRPr="00D71EBB">
        <w:t xml:space="preserve"> </w:t>
      </w:r>
    </w:p>
    <w:p w14:paraId="2FC10C9A" w14:textId="77777777" w:rsidR="00D71EBB" w:rsidRPr="00D71EBB" w:rsidRDefault="00C52B21" w:rsidP="00D71EBB">
      <w:r>
        <w:rPr>
          <w:noProof/>
        </w:rPr>
      </w:r>
      <w:r>
        <w:pict w14:anchorId="556B9F59">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0D3F26" w14:textId="77777777" w:rsidR="00D71EBB" w:rsidRPr="00D71EBB" w:rsidRDefault="00D71EBB" w:rsidP="00D71EBB">
      <w:pPr>
        <w:numPr>
          <w:ilvl w:val="0"/>
          <w:numId w:val="1"/>
        </w:numPr>
      </w:pPr>
      <w:r w:rsidRPr="00D71EBB">
        <w:t xml:space="preserve">Spondylarthropathie ED 10/15 </w:t>
      </w:r>
    </w:p>
    <w:p w14:paraId="433C480E" w14:textId="77777777" w:rsidR="00D71EBB" w:rsidRPr="00D71EBB" w:rsidRDefault="00D71EBB" w:rsidP="00D71EBB">
      <w:pPr>
        <w:numPr>
          <w:ilvl w:val="1"/>
          <w:numId w:val="1"/>
        </w:numPr>
      </w:pPr>
      <w:r w:rsidRPr="00D71EBB">
        <w:t xml:space="preserve">extern HLA B27 pos. </w:t>
      </w:r>
    </w:p>
    <w:p w14:paraId="7AA52436" w14:textId="77777777" w:rsidR="00D71EBB" w:rsidRPr="00D71EBB" w:rsidRDefault="00D71EBB" w:rsidP="00D71EBB">
      <w:pPr>
        <w:numPr>
          <w:ilvl w:val="1"/>
          <w:numId w:val="1"/>
        </w:numPr>
      </w:pPr>
      <w:r w:rsidRPr="00D71EBB">
        <w:t xml:space="preserve">LWS/Sacrum MRT 10/18: Mehrsegmentale lumbale Spondylarthritis und Enthesitis der Ligamenta interspinalia. Keine Romanus- oder Anderson-Läsion. Spondylolyse LWK 5 mit minimaler Listhesis LWK 5 gegen SWK 1. Buntes Bild aus einer zurückliegenden und floriden Sakroiliitis beidseits. </w:t>
      </w:r>
    </w:p>
    <w:p w14:paraId="2C6B37BC" w14:textId="77777777" w:rsidR="00D71EBB" w:rsidRPr="00D71EBB" w:rsidRDefault="00D71EBB" w:rsidP="00D71EBB">
      <w:pPr>
        <w:numPr>
          <w:ilvl w:val="1"/>
          <w:numId w:val="1"/>
        </w:numPr>
      </w:pPr>
      <w:r w:rsidRPr="00D71EBB">
        <w:t xml:space="preserve">HWS MRT 10/18: Spondylitis anterior (Romanus-Läsion) an der kaudalen Vorderkante HWK 3 im Rahmen der Grunderkrankung. </w:t>
      </w:r>
    </w:p>
    <w:p w14:paraId="2845F48D" w14:textId="77777777" w:rsidR="00D71EBB" w:rsidRPr="00D71EBB" w:rsidRDefault="00D71EBB" w:rsidP="00D71EBB">
      <w:pPr>
        <w:numPr>
          <w:ilvl w:val="1"/>
          <w:numId w:val="1"/>
        </w:numPr>
      </w:pPr>
      <w:r w:rsidRPr="00D71EBB">
        <w:t xml:space="preserve">Hand MRT 10/18: Tendovaginitis der Beugesehne D4 vom Endglied bis auf Höhe des mittleren Schaftdrittels des Os metakarpale. Synovialitis und kurzstreckige Tendovaginitis der Beugesehne auf Höhe des MCP 2 Gelenks. Einzelne Erosionen im Os lunatum und scaphoideum und schmale Synovialitis um den Carpus dorsalseitig. Diskrete Entzündung am muskulotendinösen Übergang des Musculus Flexor carpi ulnaris. </w:t>
      </w:r>
    </w:p>
    <w:p w14:paraId="1EC3831E" w14:textId="77777777" w:rsidR="00D71EBB" w:rsidRPr="00D71EBB" w:rsidRDefault="00D71EBB" w:rsidP="00D71EBB">
      <w:pPr>
        <w:numPr>
          <w:ilvl w:val="1"/>
          <w:numId w:val="1"/>
        </w:numPr>
      </w:pPr>
      <w:r w:rsidRPr="00D71EBB">
        <w:t xml:space="preserve">anamn./vorberichtlich Iridocyclitiden </w:t>
      </w:r>
    </w:p>
    <w:p w14:paraId="4D89CAB9" w14:textId="77777777" w:rsidR="00D71EBB" w:rsidRPr="00D71EBB" w:rsidRDefault="00D71EBB" w:rsidP="00D71EBB">
      <w:pPr>
        <w:numPr>
          <w:ilvl w:val="1"/>
          <w:numId w:val="1"/>
        </w:numPr>
      </w:pPr>
      <w:r w:rsidRPr="00D71EBB">
        <w:t xml:space="preserve">Röntgenbild Füße bds vom 21.10.2015 unauffällig </w:t>
      </w:r>
    </w:p>
    <w:p w14:paraId="3A32F738" w14:textId="77777777" w:rsidR="00D71EBB" w:rsidRPr="00D71EBB" w:rsidRDefault="00D71EBB" w:rsidP="00D71EBB">
      <w:pPr>
        <w:numPr>
          <w:ilvl w:val="1"/>
          <w:numId w:val="1"/>
        </w:numPr>
      </w:pPr>
      <w:r w:rsidRPr="00D71EBB">
        <w:t xml:space="preserve">entzündlicher Rückenschmerz, Linderung auf NSAR, jedoch keine ausreichende Erkrankungskontrolle </w:t>
      </w:r>
    </w:p>
    <w:p w14:paraId="5042FB48" w14:textId="77777777" w:rsidR="00D71EBB" w:rsidRPr="00D71EBB" w:rsidRDefault="00D71EBB" w:rsidP="00D71EBB">
      <w:pPr>
        <w:numPr>
          <w:ilvl w:val="1"/>
          <w:numId w:val="1"/>
        </w:numPr>
      </w:pPr>
      <w:r w:rsidRPr="00D71EBB">
        <w:lastRenderedPageBreak/>
        <w:t xml:space="preserve">Quantiferon negativ </w:t>
      </w:r>
    </w:p>
    <w:p w14:paraId="34AECE20" w14:textId="77777777" w:rsidR="00D71EBB" w:rsidRPr="00D71EBB" w:rsidRDefault="00D71EBB" w:rsidP="00D71EBB">
      <w:pPr>
        <w:numPr>
          <w:ilvl w:val="1"/>
          <w:numId w:val="1"/>
        </w:numPr>
      </w:pPr>
      <w:r w:rsidRPr="00D71EBB">
        <w:t xml:space="preserve">HBV, HCV negativ </w:t>
      </w:r>
    </w:p>
    <w:p w14:paraId="31267AB7" w14:textId="77777777" w:rsidR="00D71EBB" w:rsidRPr="00D71EBB" w:rsidRDefault="00D71EBB" w:rsidP="00D71EBB">
      <w:pPr>
        <w:numPr>
          <w:ilvl w:val="1"/>
          <w:numId w:val="1"/>
        </w:numPr>
      </w:pPr>
      <w:r w:rsidRPr="00D71EBB">
        <w:t xml:space="preserve">Röntgen-Thorax 10/18: kein Anhalt für latente TB </w:t>
      </w:r>
    </w:p>
    <w:p w14:paraId="2C3E9732" w14:textId="77777777" w:rsidR="00D71EBB" w:rsidRPr="00D71EBB" w:rsidRDefault="00D71EBB" w:rsidP="00D71EBB">
      <w:pPr>
        <w:numPr>
          <w:ilvl w:val="1"/>
          <w:numId w:val="1"/>
        </w:numPr>
      </w:pPr>
      <w:r w:rsidRPr="00D71EBB">
        <w:t xml:space="preserve">bisherige Therapie: Ibuprofen, Diclofenac, Arcoxia (ohne ausreichende Wirkung) </w:t>
      </w:r>
    </w:p>
    <w:p w14:paraId="783B3566" w14:textId="77777777" w:rsidR="00D71EBB" w:rsidRPr="00D71EBB" w:rsidRDefault="00D71EBB" w:rsidP="00D71EBB">
      <w:pPr>
        <w:numPr>
          <w:ilvl w:val="1"/>
          <w:numId w:val="1"/>
        </w:numPr>
      </w:pPr>
      <w:r w:rsidRPr="00D71EBB">
        <w:t xml:space="preserve">aktuelle Therapie: Secukinumab (seit 11/18) </w:t>
      </w:r>
    </w:p>
    <w:p w14:paraId="127C7AE6" w14:textId="77777777" w:rsidR="00D71EBB" w:rsidRPr="00D71EBB" w:rsidRDefault="00D71EBB" w:rsidP="00D71EBB">
      <w:r w:rsidRPr="00D71EBB">
        <w:br/>
      </w:r>
      <w:r w:rsidRPr="00D71EBB">
        <w:br/>
      </w:r>
      <w:r w:rsidRPr="00D71EBB">
        <w:rPr>
          <w:b/>
          <w:bCs/>
        </w:rPr>
        <w:t>Anamnese</w:t>
      </w:r>
      <w:r w:rsidRPr="00D71EBB">
        <w:t xml:space="preserve"> </w:t>
      </w:r>
    </w:p>
    <w:p w14:paraId="4C83924F" w14:textId="77777777" w:rsidR="00D71EBB" w:rsidRPr="00D71EBB" w:rsidRDefault="00C52B21" w:rsidP="00D71EBB">
      <w:r>
        <w:rPr>
          <w:noProof/>
        </w:rPr>
      </w:r>
      <w:r>
        <w:pict w14:anchorId="36A688BB">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E90C8D9" w14:textId="77777777" w:rsidR="00D71EBB" w:rsidRPr="00D71EBB" w:rsidRDefault="00D71EBB" w:rsidP="00D71EBB">
      <w:r w:rsidRPr="00D71EBB">
        <w:t>Die WV des Pat. erfolgte bei bek. SpA. Der Pat. berichtet von einer zunehmenden subjektiven Steifigkeit der peripheren und axialen Gelenke. Rez. weiterhin axiale Beschwerden als auch an den Enthesen unter NSAR, zunächst Ibuprofen, dann Diclofenac, dann Arcoxia für mehrere Wochen. </w:t>
      </w:r>
    </w:p>
    <w:p w14:paraId="4376191B" w14:textId="77777777" w:rsidR="00D71EBB" w:rsidRPr="00D71EBB" w:rsidRDefault="00D71EBB" w:rsidP="00D71EBB">
      <w:r w:rsidRPr="00D71EBB">
        <w:rPr>
          <w:b/>
          <w:bCs/>
        </w:rPr>
        <w:t>VA:</w:t>
      </w:r>
      <w:r w:rsidRPr="00D71EBB">
        <w:t xml:space="preserve"> Größe 178 cm, Gewicht 80 kg (konstant), Appetit gut, keine Übelkeit oder Erbrechen, Stuhlgang und Miktion normal, kein Fieber oder Nachtschweiß, keine Dyspnoe oder Angina pectoris. </w:t>
      </w:r>
    </w:p>
    <w:p w14:paraId="24ADE66B" w14:textId="77777777" w:rsidR="00D71EBB" w:rsidRPr="00D71EBB" w:rsidRDefault="00D71EBB" w:rsidP="00D71EBB">
      <w:r w:rsidRPr="00D71EBB">
        <w:rPr>
          <w:b/>
          <w:bCs/>
        </w:rPr>
        <w:t>RA:</w:t>
      </w:r>
      <w:r w:rsidRPr="00D71EBB">
        <w:t> Morgensteifigkeit von ca. 30 Minuten, keine Hauteffloreszenzen oder Ulzerationen, keine Augenentzündungen seit 3-4 Jahren, vorher gehäuft Iridozyklitis (2005-2013), keine vermehrte Infektneigung</w:t>
      </w:r>
    </w:p>
    <w:p w14:paraId="3E6D66E5" w14:textId="77777777" w:rsidR="00D71EBB" w:rsidRPr="00D71EBB" w:rsidRDefault="00D71EBB" w:rsidP="00D71EBB">
      <w:r w:rsidRPr="00D71EBB">
        <w:br/>
      </w:r>
      <w:r w:rsidRPr="00D71EBB">
        <w:br/>
      </w:r>
      <w:r w:rsidRPr="00D71EBB">
        <w:rPr>
          <w:b/>
          <w:bCs/>
        </w:rPr>
        <w:t>Untersuchungsbefund</w:t>
      </w:r>
      <w:r w:rsidRPr="00D71EBB">
        <w:t xml:space="preserve"> </w:t>
      </w:r>
    </w:p>
    <w:p w14:paraId="061138BC" w14:textId="77777777" w:rsidR="00D71EBB" w:rsidRPr="00D71EBB" w:rsidRDefault="00C52B21" w:rsidP="00D71EBB">
      <w:r>
        <w:rPr>
          <w:noProof/>
        </w:rPr>
      </w:r>
      <w:r>
        <w:pict w14:anchorId="2553BE31">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BA3A18" w14:textId="77777777" w:rsidR="00D71EBB" w:rsidRPr="00D71EBB" w:rsidRDefault="00D71EBB" w:rsidP="00D71EBB">
      <w:r w:rsidRPr="00D71EBB">
        <w:t>Cor/Pulmo: o.p.B.</w:t>
      </w:r>
    </w:p>
    <w:p w14:paraId="4C539498" w14:textId="77777777" w:rsidR="00D71EBB" w:rsidRPr="00D71EBB" w:rsidRDefault="00D71EBB" w:rsidP="00D71EBB">
      <w:r w:rsidRPr="00D71EBB">
        <w:t>Gelenkstatus: keine geschwollenen/druckschmerzhaften Gelenke</w:t>
      </w:r>
    </w:p>
    <w:p w14:paraId="3D7857F2" w14:textId="77777777" w:rsidR="00D71EBB" w:rsidRPr="00D71EBB" w:rsidRDefault="00D71EBB" w:rsidP="00D71EBB">
      <w:r w:rsidRPr="00D71EBB">
        <w:br/>
      </w:r>
      <w:r w:rsidRPr="00D71EBB">
        <w:br/>
      </w:r>
      <w:r w:rsidRPr="00D71EBB">
        <w:rPr>
          <w:b/>
          <w:bCs/>
        </w:rPr>
        <w:t>Laborwerte</w:t>
      </w:r>
      <w:r w:rsidRPr="00D71EBB">
        <w:t xml:space="preserve"> </w:t>
      </w:r>
    </w:p>
    <w:p w14:paraId="4CD2B8C1" w14:textId="77777777" w:rsidR="00D71EBB" w:rsidRPr="00D71EBB" w:rsidRDefault="00C52B21" w:rsidP="00D71EBB">
      <w:r>
        <w:rPr>
          <w:noProof/>
        </w:rPr>
      </w:r>
      <w:r>
        <w:pict w14:anchorId="56978107">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B0695C9" w14:textId="77777777" w:rsidR="00D71EBB" w:rsidRPr="00D71EBB" w:rsidRDefault="00D71EBB" w:rsidP="00D71EBB">
      <w:r w:rsidRPr="00D71EBB">
        <w:rPr>
          <w:b/>
          <w:bCs/>
          <w:u w:val="single"/>
        </w:rPr>
        <w:t>Kleines BB</w:t>
      </w:r>
      <w:r w:rsidRPr="00D71EBB">
        <w:t xml:space="preserve">: </w:t>
      </w:r>
      <w:r w:rsidRPr="00D71EBB">
        <w:rPr>
          <w:b/>
          <w:bCs/>
        </w:rPr>
        <w:t>Hämoglobin 12,8 g/dl</w:t>
      </w:r>
      <w:r w:rsidRPr="00D71EBB">
        <w:t xml:space="preserve"> (13,5 - 17,5 g/dl), </w:t>
      </w:r>
      <w:r w:rsidRPr="00D71EBB">
        <w:rPr>
          <w:b/>
          <w:bCs/>
        </w:rPr>
        <w:t>Hämatokrit 38,5 %</w:t>
      </w:r>
      <w:r w:rsidRPr="00D71EBB">
        <w:t xml:space="preserve"> (39 - 51 %), Erythrozyten 4,77 x 10</w:t>
      </w:r>
      <w:r w:rsidRPr="00D71EBB">
        <w:rPr>
          <w:vertAlign w:val="superscript"/>
        </w:rPr>
        <w:t>6</w:t>
      </w:r>
      <w:r w:rsidRPr="00D71EBB">
        <w:t>/µl (4,4 - 5,8 x 10</w:t>
      </w:r>
      <w:r w:rsidRPr="00D71EBB">
        <w:rPr>
          <w:vertAlign w:val="superscript"/>
        </w:rPr>
        <w:t>6</w:t>
      </w:r>
      <w:r w:rsidRPr="00D71EBB">
        <w:t>/µl), Leukozyten 5,50 x 10</w:t>
      </w:r>
      <w:r w:rsidRPr="00D71EBB">
        <w:rPr>
          <w:vertAlign w:val="superscript"/>
        </w:rPr>
        <w:t>3</w:t>
      </w:r>
      <w:r w:rsidRPr="00D71EBB">
        <w:t>/µl (4 - 10 x 10</w:t>
      </w:r>
      <w:r w:rsidRPr="00D71EBB">
        <w:rPr>
          <w:vertAlign w:val="superscript"/>
        </w:rPr>
        <w:t>3</w:t>
      </w:r>
      <w:r w:rsidRPr="00D71EBB">
        <w:t>/µl), Thrombozyten 256 x 10</w:t>
      </w:r>
      <w:r w:rsidRPr="00D71EBB">
        <w:rPr>
          <w:vertAlign w:val="superscript"/>
        </w:rPr>
        <w:t>3</w:t>
      </w:r>
      <w:r w:rsidRPr="00D71EBB">
        <w:t>/µl (140 - 350 x 10</w:t>
      </w:r>
      <w:r w:rsidRPr="00D71EBB">
        <w:rPr>
          <w:vertAlign w:val="superscript"/>
        </w:rPr>
        <w:t>3</w:t>
      </w:r>
      <w:r w:rsidRPr="00D71EBB">
        <w:t xml:space="preserve">/µl), </w:t>
      </w:r>
      <w:r w:rsidRPr="00D71EBB">
        <w:rPr>
          <w:b/>
          <w:bCs/>
        </w:rPr>
        <w:t>MCH 26,8 pg</w:t>
      </w:r>
      <w:r w:rsidRPr="00D71EBB">
        <w:t xml:space="preserve"> (27 - 33 pg), MCHC 33,2 g </w:t>
      </w:r>
      <w:r w:rsidRPr="00D71EBB">
        <w:lastRenderedPageBreak/>
        <w:t xml:space="preserve">Hb/dl (32 - 36 g Hb/dl), </w:t>
      </w:r>
      <w:r w:rsidRPr="00D71EBB">
        <w:rPr>
          <w:b/>
          <w:bCs/>
        </w:rPr>
        <w:t>MCV 80,7 fl</w:t>
      </w:r>
      <w:r w:rsidRPr="00D71EBB">
        <w:t xml:space="preserve"> (81 - 98 fl), MPV 9,6 fl (7,8 - 11 fl), RDW 12,8 % (11,6 - 16,2 %). </w:t>
      </w:r>
    </w:p>
    <w:p w14:paraId="56AD1968" w14:textId="77777777" w:rsidR="00D71EBB" w:rsidRPr="00D71EBB" w:rsidRDefault="00D71EBB" w:rsidP="00D71EBB">
      <w:r w:rsidRPr="00D71EBB">
        <w:rPr>
          <w:b/>
          <w:bCs/>
          <w:u w:val="single"/>
        </w:rPr>
        <w:t>Diff. BB</w:t>
      </w:r>
      <w:r w:rsidRPr="00D71EBB">
        <w:t xml:space="preserve">: Lymphozyten (maschinell) 40,7 %, Monozyten (maschinell) 8,2 %, Neutrophile (maschinell) 46,2 %, Eosinophile (maschinell) 4,4 %, Basophile (maschinell) 0,5 %. </w:t>
      </w:r>
    </w:p>
    <w:p w14:paraId="49B49F5F" w14:textId="77777777" w:rsidR="00D71EBB" w:rsidRPr="00D71EBB" w:rsidRDefault="00D71EBB" w:rsidP="00D71EBB">
      <w:r w:rsidRPr="00D71EBB">
        <w:rPr>
          <w:b/>
          <w:bCs/>
          <w:u w:val="single"/>
        </w:rPr>
        <w:t>Serumchemie</w:t>
      </w:r>
      <w:r w:rsidRPr="00D71EBB">
        <w:t xml:space="preserve">: </w:t>
      </w:r>
      <w:r w:rsidRPr="00D71EBB">
        <w:rPr>
          <w:b/>
          <w:bCs/>
        </w:rPr>
        <w:t>Kreatinin 0,66 mg/dl</w:t>
      </w:r>
      <w:r w:rsidRPr="00D71EBB">
        <w:t xml:space="preserve"> (0,67 - 1,17 mg/dl), eGFR (geschätzt MDRD-Formel) &gt; 60 ml/min (&gt; 60 ml/min), AST / GOT 24 U/l (&lt; 50 U/l), ALT / GPT 40 U/l (&lt; 50 U/l). </w:t>
      </w:r>
    </w:p>
    <w:p w14:paraId="3152CB44" w14:textId="77777777" w:rsidR="00D71EBB" w:rsidRPr="00D71EBB" w:rsidRDefault="00D71EBB" w:rsidP="00D71EBB">
      <w:r w:rsidRPr="00D71EBB">
        <w:rPr>
          <w:b/>
          <w:bCs/>
          <w:u w:val="single"/>
        </w:rPr>
        <w:t>Immunologie</w:t>
      </w:r>
      <w:r w:rsidRPr="00D71EBB">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w:t>
      </w:r>
      <w:r w:rsidRPr="00D71EBB">
        <w:rPr>
          <w:b/>
          <w:bCs/>
        </w:rPr>
        <w:t>C-reaktives Protein 10,9 mg/l</w:t>
      </w:r>
      <w:r w:rsidRPr="00D71EBB">
        <w:t xml:space="preserve"> (-&lt;5,1 mg/l), </w:t>
      </w:r>
    </w:p>
    <w:p w14:paraId="504CBBAE" w14:textId="77777777" w:rsidR="00D71EBB" w:rsidRPr="00D71EBB" w:rsidRDefault="00D71EBB" w:rsidP="00D71EBB">
      <w:r w:rsidRPr="00D71EBB">
        <w:rPr>
          <w:b/>
          <w:bCs/>
          <w:u w:val="single"/>
        </w:rPr>
        <w:t>Virologie</w:t>
      </w:r>
      <w:r w:rsidRPr="00D71EBB">
        <w:t xml:space="preserve">: Hepatitis B-anti HBc-IgM negativ, Hepatitis B-anti HBc negativ, HBs-Antigen negativ, Hepatitis B-anti HBs &gt;1000 IE/l, HCV-Antikörper negativ, </w:t>
      </w:r>
    </w:p>
    <w:p w14:paraId="2AC8E318" w14:textId="77777777" w:rsidR="00D71EBB" w:rsidRPr="00D71EBB" w:rsidRDefault="00D71EBB" w:rsidP="00D71EBB">
      <w:r w:rsidRPr="00D71EBB">
        <w:rPr>
          <w:b/>
          <w:bCs/>
          <w:u w:val="single"/>
        </w:rPr>
        <w:t>Sonstige Hämatologie</w:t>
      </w:r>
      <w:r w:rsidRPr="00D71EBB">
        <w:t>: Basophile (maschinell) Absolut 0,0 x 10</w:t>
      </w:r>
      <w:r w:rsidRPr="00D71EBB">
        <w:rPr>
          <w:vertAlign w:val="superscript"/>
        </w:rPr>
        <w:t>3</w:t>
      </w:r>
      <w:r w:rsidRPr="00D71EBB">
        <w:t>/µl (0 - 0,1 x 10</w:t>
      </w:r>
      <w:r w:rsidRPr="00D71EBB">
        <w:rPr>
          <w:vertAlign w:val="superscript"/>
        </w:rPr>
        <w:t>3</w:t>
      </w:r>
      <w:r w:rsidRPr="00D71EBB">
        <w:t>/µl), Eosinophile (maschinell) Absolut 0,2 x 10</w:t>
      </w:r>
      <w:r w:rsidRPr="00D71EBB">
        <w:rPr>
          <w:vertAlign w:val="superscript"/>
        </w:rPr>
        <w:t>3</w:t>
      </w:r>
      <w:r w:rsidRPr="00D71EBB">
        <w:t>/µl (0 - 0,5 x 10</w:t>
      </w:r>
      <w:r w:rsidRPr="00D71EBB">
        <w:rPr>
          <w:vertAlign w:val="superscript"/>
        </w:rPr>
        <w:t>3</w:t>
      </w:r>
      <w:r w:rsidRPr="00D71EBB">
        <w:t>/µl), Lymphozyten (maschinell) Absolut 2,2 x 10</w:t>
      </w:r>
      <w:r w:rsidRPr="00D71EBB">
        <w:rPr>
          <w:vertAlign w:val="superscript"/>
        </w:rPr>
        <w:t>3</w:t>
      </w:r>
      <w:r w:rsidRPr="00D71EBB">
        <w:t>/µl (1 - 3,5 x 10</w:t>
      </w:r>
      <w:r w:rsidRPr="00D71EBB">
        <w:rPr>
          <w:vertAlign w:val="superscript"/>
        </w:rPr>
        <w:t>3</w:t>
      </w:r>
      <w:r w:rsidRPr="00D71EBB">
        <w:t>/µl), Monozyten (maschinell) Absolut 0,5 x 10</w:t>
      </w:r>
      <w:r w:rsidRPr="00D71EBB">
        <w:rPr>
          <w:vertAlign w:val="superscript"/>
        </w:rPr>
        <w:t>3</w:t>
      </w:r>
      <w:r w:rsidRPr="00D71EBB">
        <w:t>/µl (0,1 - 0,9 x 10</w:t>
      </w:r>
      <w:r w:rsidRPr="00D71EBB">
        <w:rPr>
          <w:vertAlign w:val="superscript"/>
        </w:rPr>
        <w:t>3</w:t>
      </w:r>
      <w:r w:rsidRPr="00D71EBB">
        <w:t>/µl), Neutrophile (maschinell) Absolut 2,5 x 10</w:t>
      </w:r>
      <w:r w:rsidRPr="00D71EBB">
        <w:rPr>
          <w:vertAlign w:val="superscript"/>
        </w:rPr>
        <w:t>3</w:t>
      </w:r>
      <w:r w:rsidRPr="00D71EBB">
        <w:t>/µl (1,6 - 7,8 x 10</w:t>
      </w:r>
      <w:r w:rsidRPr="00D71EBB">
        <w:rPr>
          <w:vertAlign w:val="superscript"/>
        </w:rPr>
        <w:t>3</w:t>
      </w:r>
      <w:r w:rsidRPr="00D71EBB">
        <w:t xml:space="preserve">/µl), </w:t>
      </w:r>
    </w:p>
    <w:p w14:paraId="77BCE43C" w14:textId="77777777" w:rsidR="00D71EBB" w:rsidRPr="00D71EBB" w:rsidRDefault="00D71EBB" w:rsidP="00D71EBB">
      <w:r w:rsidRPr="00D71EBB">
        <w:br/>
      </w:r>
      <w:r w:rsidRPr="00D71EBB">
        <w:br/>
      </w:r>
      <w:r w:rsidRPr="00D71EBB">
        <w:rPr>
          <w:b/>
          <w:bCs/>
        </w:rPr>
        <w:t>Befunde</w:t>
      </w:r>
      <w:r w:rsidRPr="00D71EBB">
        <w:t xml:space="preserve"> </w:t>
      </w:r>
    </w:p>
    <w:p w14:paraId="248CCDCE" w14:textId="77777777" w:rsidR="00D71EBB" w:rsidRPr="00D71EBB" w:rsidRDefault="00C52B21" w:rsidP="00D71EBB">
      <w:r>
        <w:rPr>
          <w:noProof/>
        </w:rPr>
      </w:r>
      <w:r>
        <w:pict w14:anchorId="117463DE">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C022FD" w14:textId="77777777" w:rsidR="00D71EBB" w:rsidRPr="00D71EBB" w:rsidRDefault="00D71EBB" w:rsidP="00D71EBB">
      <w:r w:rsidRPr="00D71EBB">
        <w:rPr>
          <w:b/>
          <w:bCs/>
          <w:u w:val="single"/>
        </w:rPr>
        <w:t>LWS-Sacrum-MRT nativ und mit KM vom 02.10.2018:</w:t>
      </w:r>
      <w:r w:rsidRPr="00D71EBB">
        <w:t> </w:t>
      </w:r>
    </w:p>
    <w:p w14:paraId="0E0B24DF" w14:textId="77777777" w:rsidR="00D71EBB" w:rsidRPr="00D71EBB" w:rsidRDefault="00D71EBB" w:rsidP="00D71EBB">
      <w:r w:rsidRPr="00D71EBB">
        <w:t xml:space="preserve">Befund: Keine Voruntersuchung zum Vergleich. Lendenwirbelsäule mit Kontrastmittel intravenös: Im sagittalen Bildfenster wurden abgebildet Unterkante BWK 10 bis Oberkante SWK 3. Die axialen Schichten nach Kontrastmittel wurden angefertigt in Höhe Unterkante LWK 3 bis Unterkante LWK 5. Kein höhengeminderter Wirbelkörper. Unterbrechung des Processus articularis inferior von LWK 5 beidseits (Serie 5/Bild 4 und 12). Minimaler Ventralversatz von LWK 5 gegen SWK 1. Im übrigen regelrechtes Wirbelkörperalignement. Altersentsprechend unauffälliges Knochenmarksignal. Geringe Höhenminderung des Bandscheibenfaches LWK 5/SWK 1 mit Endplattenunregelmäßigkeiten und osteophytären Anbauten (Serie 8/Bild 10); keine Bandscheibenherniation. Konusstand in Höhe BWK 12/LWK 1. Conus medullaris und Cauda equina unauffällig. Keine spinale oder neuroforaminale Enge. Vermehrte Kontrastmittelaufnahme um die Facettengelenke LWK 1/2 und LWK 3/4 bis LWK 5/SWK 1 beidseits, sowie in den Ligamenta interspinalia LWK 2/3 bis LWK 4/5. Iliosakralfugen beidseits mit Kontrastmittel intravenös: Unregelmäßig begrenzte Iliosakralfugen </w:t>
      </w:r>
      <w:r w:rsidRPr="00D71EBB">
        <w:lastRenderedPageBreak/>
        <w:t xml:space="preserve">beidseits. Flächiges fettäquivalentes Signal in der Massa lateralis des Os sacrums beidseits. Flächiges Ödemsignal um die kaudale Iliosakralfuge links (Serie 7/Bild 13). Mehrere fokale subchondrale kontrastmittelanreichernde Läsionen um Iliosakralfugen beidseits. </w:t>
      </w:r>
    </w:p>
    <w:p w14:paraId="5C923422" w14:textId="77777777" w:rsidR="00D71EBB" w:rsidRPr="00D71EBB" w:rsidRDefault="00D71EBB" w:rsidP="00D71EBB">
      <w:r w:rsidRPr="00D71EBB">
        <w:t>Beurteilung: Mehrsegmentale lumbale Spondylarthritis und Enthesitis der Ligamenta interspinalia. Keine Romanus- oder Anderson-Läsion. Spondylolyse LWK 5 mit minimaler Listhesis LWK 5 gegen SWK 1. Buntes Bild aus einer zurückliegenden und floriden Sakroiliitis beidseits.</w:t>
      </w:r>
    </w:p>
    <w:p w14:paraId="6FE6F43C" w14:textId="77777777" w:rsidR="00D71EBB" w:rsidRPr="00D71EBB" w:rsidRDefault="00D71EBB" w:rsidP="00D71EBB"/>
    <w:p w14:paraId="0A34939E" w14:textId="77777777" w:rsidR="00D71EBB" w:rsidRPr="00D71EBB" w:rsidRDefault="00D71EBB" w:rsidP="00D71EBB">
      <w:r w:rsidRPr="00D71EBB">
        <w:rPr>
          <w:b/>
          <w:bCs/>
          <w:u w:val="single"/>
        </w:rPr>
        <w:t>Hand-MRT links nativ und mit KM vom 04.10.2018:</w:t>
      </w:r>
      <w:r w:rsidRPr="00D71EBB">
        <w:t> </w:t>
      </w:r>
    </w:p>
    <w:p w14:paraId="1E0FC494" w14:textId="77777777" w:rsidR="00D71EBB" w:rsidRPr="00D71EBB" w:rsidRDefault="00D71EBB" w:rsidP="00D71EBB">
      <w:r w:rsidRPr="00D71EBB">
        <w:t xml:space="preserve">Befund: Keine Voraufnahmen zum Vergleich. Glatt scharfrandig begrenzte DIP PIP und MCP Gelenke. In den fettgesättigten Sequenzen keine subchondralen rundlichen Läsionen, keine intraossären Signalsteigerungen. Nach Kontrastmittelgabe langstreckige Kontrastmittelaufnahme um die Beugesehnen vom Endglied bis auf Höhe des mittleren Schaftdrittels des Os metakarpale D4 reichend (Bild 7 T1 TSE fat-sat koronar post KM). Synoviale Kontrastmittelaufnahme um kurzstreckige Kontrastmittelaufnahme um das Beugesehnenfach auf Höhe des metakarpophalangeal Gelenkes D2 (Bild 30 T1 TSE fat-sat axial post KM). Regelrechte Konfiguration und Stellung der Ossa Carpalia, einzelne rundliche subchondrale Läsion im Os lunatum in den fettgesättigten Sequenzen und nach Kontrastmittelgabe (Bild 9 T1 TSE fat-sat koronar post KM) und im distalen Pol des Os scaphoideum (Bild 11 T1 TSE fat-sat koronar post KM). Schmale synoviale Kontrastmittelaufnahme dorsalseitig um den Carpus (Bild 59 T1 TSE fat-sat axial post KM) und am muskulotendinösen Übergang des Musculus Flexor carpi ulnaris (Bild 57 T1 TSE fat-sat axial post KM). </w:t>
      </w:r>
    </w:p>
    <w:p w14:paraId="5DF533BC" w14:textId="77777777" w:rsidR="00D71EBB" w:rsidRPr="00D71EBB" w:rsidRDefault="00D71EBB" w:rsidP="00D71EBB">
      <w:r w:rsidRPr="00D71EBB">
        <w:t>Beurteilung: Tendovaginitis der Beugesehne D4 vom Endglied bis auf Höhe des mittleren Schaftdrittels des Os metakarpale. Synovialitis und kurzstreckige Tendovaginitis der Beugesehne auf Höhe des MCP 2 Gelenks. Einzelne Erosionen im Os lunatum und scaphoideum und schmale Synovialitis um den Carpus dorsalseitig. Diskrete Entzündung am muskulotendinösen Übergang des Musculus Flexor carpi ulnaris.</w:t>
      </w:r>
    </w:p>
    <w:p w14:paraId="22CEA890" w14:textId="77777777" w:rsidR="00D71EBB" w:rsidRPr="00D71EBB" w:rsidRDefault="00D71EBB" w:rsidP="00D71EBB"/>
    <w:p w14:paraId="6D255A0D" w14:textId="77777777" w:rsidR="00D71EBB" w:rsidRPr="00D71EBB" w:rsidRDefault="00D71EBB" w:rsidP="00D71EBB">
      <w:r w:rsidRPr="00D71EBB">
        <w:rPr>
          <w:b/>
          <w:bCs/>
          <w:u w:val="single"/>
        </w:rPr>
        <w:t>HWS-MRT nativ und mit KM vom 08.10.2018:</w:t>
      </w:r>
      <w:r w:rsidRPr="00D71EBB">
        <w:t> </w:t>
      </w:r>
    </w:p>
    <w:p w14:paraId="4CFC9856" w14:textId="77777777" w:rsidR="00D71EBB" w:rsidRPr="00D71EBB" w:rsidRDefault="00D71EBB" w:rsidP="00D71EBB">
      <w:r w:rsidRPr="00D71EBB">
        <w:t xml:space="preserve">Befund: Keine Voraufnahmen zum Vergleich. Halswirbelsäule erfasst von der Schädelbasis bis einschließlich BWK 3. Regelrechte Stellung der HWS, keine Skoliose, keine Listhesis. Regelrechte Höhe der Wirbelkörper ohne Konturunterbrechung oder Stufe. In T2w und nach Kontrastmittelgabe dreieckförmige Signalsteigerung an der kaudalen Vorderkante HWK 3 (Bild 10 T1 TSE DIXON sagittal post KM), die übrigen Wirbelkörper mit unauffälligem Binnensignal. Regelrechte Höhe der </w:t>
      </w:r>
      <w:r w:rsidRPr="00D71EBB">
        <w:lastRenderedPageBreak/>
        <w:t xml:space="preserve">Bandscheibenfächer mit regelrechtem Signalverhalten der Bandscheibe, keine spinale, keine neuroforaminale Enge, regelrechtes Myelonsignal. </w:t>
      </w:r>
    </w:p>
    <w:p w14:paraId="116CFF93" w14:textId="77777777" w:rsidR="00D71EBB" w:rsidRPr="00D71EBB" w:rsidRDefault="00D71EBB" w:rsidP="00D71EBB">
      <w:r w:rsidRPr="00D71EBB">
        <w:t>Beurteilung: Spondylitis anterior (Romanus-Läsion) an der kaudalen Vorderkante HWK 3 im Rahmen der Grunderkrankung.</w:t>
      </w:r>
    </w:p>
    <w:p w14:paraId="1D956633" w14:textId="77777777" w:rsidR="00D71EBB" w:rsidRPr="00D71EBB" w:rsidRDefault="00D71EBB" w:rsidP="00D71EBB"/>
    <w:p w14:paraId="077E640F" w14:textId="77777777" w:rsidR="00D71EBB" w:rsidRPr="00D71EBB" w:rsidRDefault="00D71EBB" w:rsidP="00D71EBB">
      <w:r w:rsidRPr="00D71EBB">
        <w:rPr>
          <w:b/>
          <w:bCs/>
          <w:u w:val="single"/>
        </w:rPr>
        <w:t>Thorax in 2 Ebenen vom 19.10.2018:</w:t>
      </w:r>
      <w:r w:rsidRPr="00D71EBB">
        <w:t> </w:t>
      </w:r>
    </w:p>
    <w:p w14:paraId="16D14967" w14:textId="77777777" w:rsidR="00D71EBB" w:rsidRPr="00D71EBB" w:rsidRDefault="00D71EBB" w:rsidP="00D71EBB">
      <w:r w:rsidRPr="00D71EBB">
        <w:t xml:space="preserve">Befund: Keine Voruntersuchung zum Vergleich vorliegend. Zwerchfellkuppen beidseits scharf abgrenzbar. PC-Winkel spitz. Mediastinum und Herzsilhouette in unauffälliger Konfiguration. Periphere Lungengefäßzeichnung scharf. Hili gefäßtypisch. Kein von Gefäßschatten oder Verkalkungen am Rippen-Knorpel-Übergang zu differenzierender Lungenrundherd. Keine pleuralen Abhebungslinien. Unauffällige Stellung der miterfassten BWS. Unauffälliger Weichteilschatten. </w:t>
      </w:r>
    </w:p>
    <w:p w14:paraId="75F99F80" w14:textId="77777777" w:rsidR="00D71EBB" w:rsidRPr="00D71EBB" w:rsidRDefault="00D71EBB" w:rsidP="00D71EBB">
      <w:r w:rsidRPr="00D71EBB">
        <w:t>Beurteilung: Kein Infiltrat. Keine postspezifischen Lungengerüstveränderungen. Keine Kaverne. Kein Pleuraerguss.</w:t>
      </w:r>
    </w:p>
    <w:p w14:paraId="0468DC5A" w14:textId="77777777" w:rsidR="00D71EBB" w:rsidRPr="00D71EBB" w:rsidRDefault="00D71EBB" w:rsidP="00D71EBB">
      <w:r w:rsidRPr="00D71EBB">
        <w:br/>
      </w:r>
      <w:r w:rsidRPr="00D71EBB">
        <w:br/>
      </w:r>
      <w:r w:rsidRPr="00D71EBB">
        <w:rPr>
          <w:b/>
          <w:bCs/>
        </w:rPr>
        <w:t>Weitere Befunde</w:t>
      </w:r>
      <w:r w:rsidRPr="00D71EBB">
        <w:t xml:space="preserve"> </w:t>
      </w:r>
    </w:p>
    <w:p w14:paraId="45DA1D12" w14:textId="77777777" w:rsidR="00D71EBB" w:rsidRPr="00D71EBB" w:rsidRDefault="00C52B21" w:rsidP="00D71EBB">
      <w:r>
        <w:rPr>
          <w:noProof/>
        </w:rPr>
      </w:r>
      <w:r>
        <w:pict w14:anchorId="1A225D53">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9A141A" w14:textId="77777777" w:rsidR="00D71EBB" w:rsidRPr="00D71EBB" w:rsidRDefault="00D71EBB" w:rsidP="00D71EBB">
      <w:r w:rsidRPr="00D71EBB">
        <w:rPr>
          <w:b/>
          <w:bCs/>
        </w:rPr>
        <w:t>BKS</w:t>
      </w:r>
      <w:r w:rsidRPr="00D71EBB">
        <w:t>: 21/44 mm</w:t>
      </w:r>
      <w:r w:rsidRPr="00D71EBB">
        <w:br/>
      </w:r>
      <w:r w:rsidRPr="00D71EBB">
        <w:br/>
      </w:r>
      <w:r w:rsidRPr="00D71EBB">
        <w:rPr>
          <w:b/>
          <w:bCs/>
        </w:rPr>
        <w:t>Verlauf und Beurteilung</w:t>
      </w:r>
      <w:r w:rsidRPr="00D71EBB">
        <w:t xml:space="preserve"> </w:t>
      </w:r>
    </w:p>
    <w:p w14:paraId="41021E1C" w14:textId="77777777" w:rsidR="00D71EBB" w:rsidRPr="00D71EBB" w:rsidRDefault="00C52B21" w:rsidP="00D71EBB">
      <w:r>
        <w:rPr>
          <w:noProof/>
        </w:rPr>
      </w:r>
      <w:r>
        <w:pict w14:anchorId="5229BE34">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49EAE5" w14:textId="77777777" w:rsidR="00D71EBB" w:rsidRPr="00D71EBB" w:rsidRDefault="00D71EBB" w:rsidP="00D71EBB">
      <w:r w:rsidRPr="00D71EBB">
        <w:t>Die WV des Pat. erfolgte bei bek. SpA. Klinisch und bildmorphologisch weiterhin Aktivität der rheumatologischen Erkrankung trotz mehrmonatiger Therapie mit verschiedenen NSAR. Es ist daher nun die Umstellung auf ein Biologikum indiziert. Aufgrund der enthesialen Beteiligung empfehlen wir Secukinumab nach DGRh-Eindosierungsschema (wurde dem Patienten mitgegeben) und unter regelmäßigen Kontrollen nach Maßgabe der DGRh. Zusätzlich empfehlen wir physiotherapeutische Beübung. Ein Termin für eine Wiedervorstellung in 3 Monaten wurde vereinbart. Sollte es zu einer Verschlechterung der Beschwerden kommen ist eine frühere Wiedervorstellung nach tel. Rücksprache (09131 85 34742 (Hochschulambulanz)  oder 09131 85 35000 (Pforte)) möglich.</w:t>
      </w:r>
    </w:p>
    <w:p w14:paraId="73C51B0B" w14:textId="77777777" w:rsidR="00D71EBB" w:rsidRPr="00D71EBB" w:rsidRDefault="00D71EBB" w:rsidP="00D71EBB">
      <w:r w:rsidRPr="00D71EBB">
        <w:br/>
      </w:r>
      <w:r w:rsidRPr="00D71EBB">
        <w:br/>
      </w:r>
      <w:r w:rsidRPr="00D71EBB">
        <w:rPr>
          <w:b/>
          <w:bCs/>
        </w:rPr>
        <w:t>Schluss</w:t>
      </w:r>
      <w:r w:rsidRPr="00D71EBB">
        <w:t xml:space="preserve"> </w:t>
      </w:r>
    </w:p>
    <w:p w14:paraId="6BAB7C9D" w14:textId="77777777" w:rsidR="00D71EBB" w:rsidRPr="00D71EBB" w:rsidRDefault="00C52B21" w:rsidP="00D71EBB">
      <w:r>
        <w:rPr>
          <w:noProof/>
        </w:rPr>
      </w:r>
      <w:r>
        <w:pict w14:anchorId="1223A60A">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D88A8C" w14:textId="77777777" w:rsidR="00D71EBB" w:rsidRPr="00D71EBB" w:rsidRDefault="00D71EBB" w:rsidP="00D71EBB">
      <w:r w:rsidRPr="00D71EBB">
        <w:t>Mit freundlichen kollegialen Grüßen</w:t>
      </w:r>
    </w:p>
    <w:p w14:paraId="0A47EBEA" w14:textId="77777777" w:rsidR="00D71EBB" w:rsidRPr="00D71EBB" w:rsidRDefault="00D71EBB" w:rsidP="00D71EBB">
      <w:r w:rsidRPr="00D71EBB">
        <w:lastRenderedPageBreak/>
        <w:t> </w:t>
      </w:r>
    </w:p>
    <w:p w14:paraId="04321553" w14:textId="77777777" w:rsidR="00D71EBB" w:rsidRPr="00D71EBB" w:rsidRDefault="00D71EBB" w:rsidP="00D71EBB">
      <w:r w:rsidRPr="00D71EBB">
        <w:t> </w:t>
      </w:r>
    </w:p>
    <w:p w14:paraId="1068D62A" w14:textId="77777777" w:rsidR="00D71EBB" w:rsidRPr="00D71EBB" w:rsidRDefault="00D71EBB" w:rsidP="00D71EBB">
      <w:r w:rsidRPr="00D71EBB">
        <w:t> </w:t>
      </w:r>
    </w:p>
    <w:p w14:paraId="20ECC7E6" w14:textId="77777777" w:rsidR="00D71EBB" w:rsidRPr="00D71EBB" w:rsidRDefault="00D71EBB" w:rsidP="00D71EBB">
      <w:r w:rsidRPr="00D71EBB">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71EBB" w:rsidRPr="00D71EBB" w14:paraId="32A7622A" w14:textId="77777777" w:rsidTr="00D71EBB">
        <w:tc>
          <w:tcPr>
            <w:tcW w:w="1700" w:type="pct"/>
            <w:hideMark/>
          </w:tcPr>
          <w:p w14:paraId="36BD96B3" w14:textId="77777777" w:rsidR="00D71EBB" w:rsidRPr="00D71EBB" w:rsidRDefault="00D71EBB" w:rsidP="00D71EBB">
            <w:r w:rsidRPr="00D71EBB">
              <w:t>Prof. Dr. med. J. Distler</w:t>
            </w:r>
          </w:p>
        </w:tc>
        <w:tc>
          <w:tcPr>
            <w:tcW w:w="1650" w:type="pct"/>
            <w:hideMark/>
          </w:tcPr>
          <w:p w14:paraId="224B2A32" w14:textId="77777777" w:rsidR="00D71EBB" w:rsidRPr="00D71EBB" w:rsidRDefault="00D71EBB" w:rsidP="00D71EBB">
            <w:r w:rsidRPr="00D71EBB">
              <w:t> </w:t>
            </w:r>
          </w:p>
        </w:tc>
        <w:tc>
          <w:tcPr>
            <w:tcW w:w="1650" w:type="pct"/>
            <w:hideMark/>
          </w:tcPr>
          <w:p w14:paraId="389E797C" w14:textId="77777777" w:rsidR="00D71EBB" w:rsidRPr="00D71EBB" w:rsidRDefault="00D71EBB" w:rsidP="00D71EBB">
            <w:r w:rsidRPr="00D71EBB">
              <w:t>Dr. med. A. Ramming</w:t>
            </w:r>
          </w:p>
        </w:tc>
      </w:tr>
      <w:tr w:rsidR="00D71EBB" w:rsidRPr="00D71EBB" w14:paraId="7199D688" w14:textId="77777777" w:rsidTr="00D71EBB">
        <w:tc>
          <w:tcPr>
            <w:tcW w:w="1700" w:type="pct"/>
            <w:hideMark/>
          </w:tcPr>
          <w:p w14:paraId="5A6DB01C" w14:textId="77777777" w:rsidR="00D71EBB" w:rsidRPr="00D71EBB" w:rsidRDefault="00D71EBB" w:rsidP="00D71EBB">
            <w:r w:rsidRPr="00D71EBB">
              <w:t>Leitung Rheumatologische Hochschulambulanz</w:t>
            </w:r>
          </w:p>
        </w:tc>
        <w:tc>
          <w:tcPr>
            <w:tcW w:w="0" w:type="auto"/>
            <w:vAlign w:val="center"/>
            <w:hideMark/>
          </w:tcPr>
          <w:p w14:paraId="3D0A0D9F" w14:textId="77777777" w:rsidR="00D71EBB" w:rsidRPr="00D71EBB" w:rsidRDefault="00D71EBB" w:rsidP="00D71EBB"/>
        </w:tc>
        <w:tc>
          <w:tcPr>
            <w:tcW w:w="0" w:type="auto"/>
            <w:vAlign w:val="center"/>
            <w:hideMark/>
          </w:tcPr>
          <w:p w14:paraId="45B9525F" w14:textId="77777777" w:rsidR="00D71EBB" w:rsidRPr="00D71EBB" w:rsidRDefault="00D71EBB" w:rsidP="00D71EBB"/>
        </w:tc>
      </w:tr>
    </w:tbl>
    <w:p w14:paraId="72DCC4CC" w14:textId="77777777" w:rsidR="00D71EBB" w:rsidRDefault="00D71EBB"/>
    <w:sectPr w:rsidR="00D71E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23D82"/>
    <w:multiLevelType w:val="multilevel"/>
    <w:tmpl w:val="B582E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8106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BB"/>
    <w:rsid w:val="0092470E"/>
    <w:rsid w:val="00B761FA"/>
    <w:rsid w:val="00C52B21"/>
    <w:rsid w:val="00D71EBB"/>
    <w:rsid w:val="00D93C9C"/>
    <w:rsid w:val="00DD4D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83FB252"/>
  <w15:chartTrackingRefBased/>
  <w15:docId w15:val="{DA809B99-D0EE-4952-8AED-3BA95CD9A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1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1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1EB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1EB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1EB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1E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1E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1E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1E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1EB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1EB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1EB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1EB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1EB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1E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1E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1E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1EBB"/>
    <w:rPr>
      <w:rFonts w:eastAsiaTheme="majorEastAsia" w:cstheme="majorBidi"/>
      <w:color w:val="272727" w:themeColor="text1" w:themeTint="D8"/>
    </w:rPr>
  </w:style>
  <w:style w:type="paragraph" w:styleId="Titel">
    <w:name w:val="Title"/>
    <w:basedOn w:val="Standard"/>
    <w:next w:val="Standard"/>
    <w:link w:val="TitelZchn"/>
    <w:uiPriority w:val="10"/>
    <w:qFormat/>
    <w:rsid w:val="00D71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1E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1EB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1E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1EB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1EBB"/>
    <w:rPr>
      <w:i/>
      <w:iCs/>
      <w:color w:val="404040" w:themeColor="text1" w:themeTint="BF"/>
    </w:rPr>
  </w:style>
  <w:style w:type="paragraph" w:styleId="Listenabsatz">
    <w:name w:val="List Paragraph"/>
    <w:basedOn w:val="Standard"/>
    <w:uiPriority w:val="34"/>
    <w:qFormat/>
    <w:rsid w:val="00D71EBB"/>
    <w:pPr>
      <w:ind w:left="720"/>
      <w:contextualSpacing/>
    </w:pPr>
  </w:style>
  <w:style w:type="character" w:styleId="IntensiveHervorhebung">
    <w:name w:val="Intense Emphasis"/>
    <w:basedOn w:val="Absatz-Standardschriftart"/>
    <w:uiPriority w:val="21"/>
    <w:qFormat/>
    <w:rsid w:val="00D71EBB"/>
    <w:rPr>
      <w:i/>
      <w:iCs/>
      <w:color w:val="0F4761" w:themeColor="accent1" w:themeShade="BF"/>
    </w:rPr>
  </w:style>
  <w:style w:type="paragraph" w:styleId="IntensivesZitat">
    <w:name w:val="Intense Quote"/>
    <w:basedOn w:val="Standard"/>
    <w:next w:val="Standard"/>
    <w:link w:val="IntensivesZitatZchn"/>
    <w:uiPriority w:val="30"/>
    <w:qFormat/>
    <w:rsid w:val="00D71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1EBB"/>
    <w:rPr>
      <w:i/>
      <w:iCs/>
      <w:color w:val="0F4761" w:themeColor="accent1" w:themeShade="BF"/>
    </w:rPr>
  </w:style>
  <w:style w:type="character" w:styleId="IntensiverVerweis">
    <w:name w:val="Intense Reference"/>
    <w:basedOn w:val="Absatz-Standardschriftart"/>
    <w:uiPriority w:val="32"/>
    <w:qFormat/>
    <w:rsid w:val="00D71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6262590">
      <w:bodyDiv w:val="1"/>
      <w:marLeft w:val="0"/>
      <w:marRight w:val="0"/>
      <w:marTop w:val="0"/>
      <w:marBottom w:val="0"/>
      <w:divBdr>
        <w:top w:val="none" w:sz="0" w:space="0" w:color="auto"/>
        <w:left w:val="none" w:sz="0" w:space="0" w:color="auto"/>
        <w:bottom w:val="none" w:sz="0" w:space="0" w:color="auto"/>
        <w:right w:val="none" w:sz="0" w:space="0" w:color="auto"/>
      </w:divBdr>
      <w:divsChild>
        <w:div w:id="1308777979">
          <w:marLeft w:val="0"/>
          <w:marRight w:val="0"/>
          <w:marTop w:val="0"/>
          <w:marBottom w:val="0"/>
          <w:divBdr>
            <w:top w:val="none" w:sz="0" w:space="0" w:color="auto"/>
            <w:left w:val="none" w:sz="0" w:space="0" w:color="auto"/>
            <w:bottom w:val="none" w:sz="0" w:space="0" w:color="auto"/>
            <w:right w:val="none" w:sz="0" w:space="0" w:color="auto"/>
          </w:divBdr>
        </w:div>
      </w:divsChild>
    </w:div>
    <w:div w:id="818423988">
      <w:bodyDiv w:val="1"/>
      <w:marLeft w:val="0"/>
      <w:marRight w:val="0"/>
      <w:marTop w:val="0"/>
      <w:marBottom w:val="0"/>
      <w:divBdr>
        <w:top w:val="none" w:sz="0" w:space="0" w:color="auto"/>
        <w:left w:val="none" w:sz="0" w:space="0" w:color="auto"/>
        <w:bottom w:val="none" w:sz="0" w:space="0" w:color="auto"/>
        <w:right w:val="none" w:sz="0" w:space="0" w:color="auto"/>
      </w:divBdr>
      <w:divsChild>
        <w:div w:id="2119835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1334</Words>
  <Characters>8410</Characters>
  <Application>Microsoft Office Word</Application>
  <DocSecurity>0</DocSecurity>
  <Lines>70</Lines>
  <Paragraphs>19</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2026-09-24T17:18:00Z</dcterms:created>
  <dcterms:modified xsi:type="dcterms:W3CDTF">2026-09-25T22:27:00Z</dcterms:modified>
</cp:coreProperties>
</file>