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2EA584" w14:textId="77777777" w:rsidR="00144F76" w:rsidRPr="00144F76" w:rsidRDefault="00144F76" w:rsidP="00144F76">
      <w:r w:rsidRPr="00144F76">
        <w:rPr>
          <w:b/>
          <w:bCs/>
        </w:rPr>
        <w:t>Kürzel</w:t>
      </w:r>
      <w:r w:rsidRPr="00144F76">
        <w:t xml:space="preserve"> </w:t>
      </w:r>
    </w:p>
    <w:p w14:paraId="2C907FC3" w14:textId="77777777" w:rsidR="00144F76" w:rsidRPr="00144F76" w:rsidRDefault="001C3C6A" w:rsidP="00144F76">
      <w:r>
        <w:rPr>
          <w:noProof/>
        </w:rPr>
      </w:r>
      <w:r>
        <w:pict w14:anchorId="7D88C6A1">
          <v:rect id="Horizontal Line 1"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E822844" w14:textId="77777777" w:rsidR="00144F76" w:rsidRPr="00144F76" w:rsidRDefault="00144F76" w:rsidP="00144F76">
      <w:r w:rsidRPr="00144F76">
        <w:t xml:space="preserve">schö/hoe </w:t>
      </w:r>
      <w:r w:rsidRPr="00144F76">
        <w:br/>
      </w:r>
      <w:r w:rsidRPr="00144F76">
        <w:br/>
      </w:r>
      <w:r w:rsidRPr="00144F76">
        <w:rPr>
          <w:b/>
          <w:bCs/>
        </w:rPr>
        <w:t>Anrede</w:t>
      </w:r>
      <w:r w:rsidRPr="00144F76">
        <w:t xml:space="preserve"> </w:t>
      </w:r>
    </w:p>
    <w:p w14:paraId="224F9D09" w14:textId="77777777" w:rsidR="00144F76" w:rsidRPr="00144F76" w:rsidRDefault="001C3C6A" w:rsidP="00144F76">
      <w:r>
        <w:rPr>
          <w:noProof/>
        </w:rPr>
      </w:r>
      <w:r>
        <w:pict w14:anchorId="40F1F9DF">
          <v:rect id="Horizontal Line 2"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3481E0F" w14:textId="77777777" w:rsidR="00144F76" w:rsidRPr="00144F76" w:rsidRDefault="00144F76" w:rsidP="00144F76">
      <w:r w:rsidRPr="00144F76">
        <w:t xml:space="preserve">Sehr geehrte Frau Kollegin, sehr geehrter Herr Kollege, </w:t>
      </w:r>
    </w:p>
    <w:p w14:paraId="60B623B4" w14:textId="77777777" w:rsidR="00144F76" w:rsidRPr="00144F76" w:rsidRDefault="00144F76" w:rsidP="00144F76">
      <w:r w:rsidRPr="00144F76">
        <w:t> </w:t>
      </w:r>
    </w:p>
    <w:p w14:paraId="46848CB4" w14:textId="7F90549E" w:rsidR="00144F76" w:rsidRPr="00144F76" w:rsidRDefault="00144F76" w:rsidP="00144F76">
      <w:r w:rsidRPr="00144F76">
        <w:t xml:space="preserve">wir berichten über unseren gemeinsamen Patienten, </w:t>
      </w:r>
      <w:r w:rsidR="00B30330">
        <w:t xml:space="preserve">1, </w:t>
      </w:r>
      <w:r w:rsidRPr="00144F76">
        <w:t>der sich am 14.06.2021 ambulant vorstellte.</w:t>
      </w:r>
    </w:p>
    <w:p w14:paraId="6616A6D6" w14:textId="77777777" w:rsidR="00144F76" w:rsidRPr="00144F76" w:rsidRDefault="00144F76" w:rsidP="00144F76">
      <w:r w:rsidRPr="00144F76">
        <w:br/>
      </w:r>
      <w:r w:rsidRPr="00144F76">
        <w:br/>
      </w:r>
      <w:r w:rsidRPr="00144F76">
        <w:rPr>
          <w:b/>
          <w:bCs/>
        </w:rPr>
        <w:t>Diagnosen</w:t>
      </w:r>
      <w:r w:rsidRPr="00144F76">
        <w:t xml:space="preserve"> </w:t>
      </w:r>
    </w:p>
    <w:p w14:paraId="0E0B4A98" w14:textId="77777777" w:rsidR="00144F76" w:rsidRPr="00144F76" w:rsidRDefault="001C3C6A" w:rsidP="00144F76">
      <w:r>
        <w:rPr>
          <w:noProof/>
        </w:rPr>
      </w:r>
      <w:r>
        <w:pict w14:anchorId="1E3FFFCF">
          <v:rect id="Horizontal Line 3"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2395D71" w14:textId="77777777" w:rsidR="00144F76" w:rsidRPr="00144F76" w:rsidRDefault="00144F76" w:rsidP="00144F76">
      <w:pPr>
        <w:numPr>
          <w:ilvl w:val="0"/>
          <w:numId w:val="1"/>
        </w:numPr>
      </w:pPr>
      <w:r w:rsidRPr="00144F76">
        <w:t xml:space="preserve">axiale Spondylarthritis (Erstmanifestation 06/2020, Erstdiagnose 11/2020) </w:t>
      </w:r>
    </w:p>
    <w:p w14:paraId="4DC2A90B" w14:textId="77777777" w:rsidR="00144F76" w:rsidRPr="00144F76" w:rsidRDefault="00144F76" w:rsidP="00144F76">
      <w:pPr>
        <w:numPr>
          <w:ilvl w:val="1"/>
          <w:numId w:val="1"/>
        </w:numPr>
      </w:pPr>
      <w:r w:rsidRPr="00144F76">
        <w:t xml:space="preserve">HLA B 27 positiv, IL 23 Rezeptor Polymorphismus </w:t>
      </w:r>
    </w:p>
    <w:p w14:paraId="3FDBE18A" w14:textId="77777777" w:rsidR="00144F76" w:rsidRPr="00144F76" w:rsidRDefault="00144F76" w:rsidP="00144F76">
      <w:pPr>
        <w:numPr>
          <w:ilvl w:val="1"/>
          <w:numId w:val="1"/>
        </w:numPr>
      </w:pPr>
      <w:r w:rsidRPr="00144F76">
        <w:t xml:space="preserve">Sakroiliitis  rechts </w:t>
      </w:r>
    </w:p>
    <w:p w14:paraId="71683D1A" w14:textId="77777777" w:rsidR="00144F76" w:rsidRPr="00144F76" w:rsidRDefault="00144F76" w:rsidP="00144F76">
      <w:pPr>
        <w:numPr>
          <w:ilvl w:val="1"/>
          <w:numId w:val="1"/>
        </w:numPr>
      </w:pPr>
      <w:r w:rsidRPr="00144F76">
        <w:t xml:space="preserve">Kniegelenksarthritis links </w:t>
      </w:r>
    </w:p>
    <w:p w14:paraId="46FD03B5" w14:textId="77777777" w:rsidR="00144F76" w:rsidRPr="00144F76" w:rsidRDefault="00144F76" w:rsidP="00144F76">
      <w:pPr>
        <w:numPr>
          <w:ilvl w:val="2"/>
          <w:numId w:val="1"/>
        </w:numPr>
      </w:pPr>
      <w:r w:rsidRPr="00144F76">
        <w:t xml:space="preserve">Punktion Kniegelenk 25.11.2020 mit i.a. Applikation von Prednisolon und Entnahme von 50 ml seröser Flüssigkeit </w:t>
      </w:r>
    </w:p>
    <w:p w14:paraId="73841AEE" w14:textId="77777777" w:rsidR="00144F76" w:rsidRPr="00144F76" w:rsidRDefault="00144F76" w:rsidP="00144F76">
      <w:pPr>
        <w:numPr>
          <w:ilvl w:val="1"/>
          <w:numId w:val="1"/>
        </w:numPr>
      </w:pPr>
      <w:r w:rsidRPr="00144F76">
        <w:t xml:space="preserve">Z. n. Sprunggelenkarthritis links </w:t>
      </w:r>
    </w:p>
    <w:p w14:paraId="2E0A170C" w14:textId="77777777" w:rsidR="00144F76" w:rsidRPr="00144F76" w:rsidRDefault="00144F76" w:rsidP="00144F76">
      <w:pPr>
        <w:numPr>
          <w:ilvl w:val="1"/>
          <w:numId w:val="1"/>
        </w:numPr>
      </w:pPr>
      <w:r w:rsidRPr="00144F76">
        <w:t xml:space="preserve">Therapiebeginn mit Secukinumab 12/2020 </w:t>
      </w:r>
    </w:p>
    <w:p w14:paraId="5422E121" w14:textId="77777777" w:rsidR="00144F76" w:rsidRPr="00144F76" w:rsidRDefault="00144F76" w:rsidP="00144F76">
      <w:pPr>
        <w:numPr>
          <w:ilvl w:val="1"/>
          <w:numId w:val="1"/>
        </w:numPr>
      </w:pPr>
      <w:r w:rsidRPr="00144F76">
        <w:t xml:space="preserve">Quantiferon-Test neg., Hep.Serologie unauffällig. </w:t>
      </w:r>
    </w:p>
    <w:p w14:paraId="59238A8D" w14:textId="77777777" w:rsidR="00144F76" w:rsidRPr="00144F76" w:rsidRDefault="00144F76" w:rsidP="00144F76">
      <w:pPr>
        <w:numPr>
          <w:ilvl w:val="0"/>
          <w:numId w:val="1"/>
        </w:numPr>
      </w:pPr>
      <w:r w:rsidRPr="00144F76">
        <w:t xml:space="preserve">Z. n. Pneumonie mit Begleitmyokarditis (Perikarderguss) 1/2020. </w:t>
      </w:r>
    </w:p>
    <w:p w14:paraId="43871BB7" w14:textId="77777777" w:rsidR="00144F76" w:rsidRPr="00144F76" w:rsidRDefault="00144F76" w:rsidP="00144F76">
      <w:pPr>
        <w:numPr>
          <w:ilvl w:val="1"/>
          <w:numId w:val="1"/>
        </w:numPr>
      </w:pPr>
      <w:r w:rsidRPr="00144F76">
        <w:rPr>
          <w:b/>
          <w:bCs/>
        </w:rPr>
        <w:t>Ektasie der Aorta ascendens 42 mm</w:t>
      </w:r>
      <w:r w:rsidRPr="00144F76">
        <w:t xml:space="preserve"> </w:t>
      </w:r>
    </w:p>
    <w:p w14:paraId="313F02D0" w14:textId="77777777" w:rsidR="00144F76" w:rsidRPr="00144F76" w:rsidRDefault="00144F76" w:rsidP="00144F76">
      <w:pPr>
        <w:numPr>
          <w:ilvl w:val="0"/>
          <w:numId w:val="1"/>
        </w:numPr>
      </w:pPr>
      <w:r w:rsidRPr="00144F76">
        <w:t xml:space="preserve">Penicillin-Allergie </w:t>
      </w:r>
    </w:p>
    <w:p w14:paraId="595BBC67" w14:textId="77777777" w:rsidR="00144F76" w:rsidRPr="00144F76" w:rsidRDefault="00144F76" w:rsidP="00144F76">
      <w:pPr>
        <w:numPr>
          <w:ilvl w:val="0"/>
          <w:numId w:val="1"/>
        </w:numPr>
      </w:pPr>
      <w:r w:rsidRPr="00144F76">
        <w:t xml:space="preserve">Vasektomie </w:t>
      </w:r>
    </w:p>
    <w:p w14:paraId="2F57A944" w14:textId="77777777" w:rsidR="00144F76" w:rsidRPr="00144F76" w:rsidRDefault="00144F76" w:rsidP="00144F76">
      <w:r w:rsidRPr="00144F76">
        <w:t> </w:t>
      </w:r>
    </w:p>
    <w:p w14:paraId="5105541E" w14:textId="77777777" w:rsidR="00144F76" w:rsidRPr="00144F76" w:rsidRDefault="00144F76" w:rsidP="00144F76">
      <w:r w:rsidRPr="00144F76">
        <w:t> </w:t>
      </w:r>
    </w:p>
    <w:p w14:paraId="5478E880" w14:textId="77777777" w:rsidR="00144F76" w:rsidRPr="00144F76" w:rsidRDefault="00144F76" w:rsidP="00144F76">
      <w:r w:rsidRPr="00144F76">
        <w:lastRenderedPageBreak/>
        <w:br/>
      </w:r>
      <w:r w:rsidRPr="00144F76">
        <w:br/>
      </w:r>
      <w:r w:rsidRPr="00144F76">
        <w:rPr>
          <w:b/>
          <w:bCs/>
        </w:rPr>
        <w:t>Therapiehistorie</w:t>
      </w:r>
      <w:r w:rsidRPr="00144F76">
        <w:t xml:space="preserve"> </w:t>
      </w:r>
    </w:p>
    <w:p w14:paraId="3D7C5C07" w14:textId="77777777" w:rsidR="00144F76" w:rsidRPr="00144F76" w:rsidRDefault="001C3C6A" w:rsidP="00144F76">
      <w:r>
        <w:rPr>
          <w:noProof/>
        </w:rPr>
      </w:r>
      <w:r>
        <w:pict w14:anchorId="24A11E20">
          <v:rect id="Horizontal Line 4"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6E3571A" w14:textId="77777777" w:rsidR="00144F76" w:rsidRPr="00144F76" w:rsidRDefault="00144F76" w:rsidP="00144F76">
      <w:r w:rsidRPr="00144F76">
        <w:rPr>
          <w:u w:val="single"/>
        </w:rPr>
        <w:t>Dauermedikation:</w:t>
      </w:r>
    </w:p>
    <w:p w14:paraId="3A916320" w14:textId="77777777" w:rsidR="00144F76" w:rsidRPr="00144F76" w:rsidRDefault="00144F76" w:rsidP="00144F76">
      <w:r w:rsidRPr="00144F76">
        <w:t xml:space="preserve">Cosentyx 150 mg 1 x Monat </w:t>
      </w:r>
    </w:p>
    <w:p w14:paraId="7694A4EE" w14:textId="77777777" w:rsidR="00144F76" w:rsidRPr="00144F76" w:rsidRDefault="00144F76" w:rsidP="00144F76">
      <w:r w:rsidRPr="00144F76">
        <w:br/>
      </w:r>
      <w:r w:rsidRPr="00144F76">
        <w:br/>
      </w:r>
      <w:r w:rsidRPr="00144F76">
        <w:rPr>
          <w:b/>
          <w:bCs/>
        </w:rPr>
        <w:t>Anamnese</w:t>
      </w:r>
      <w:r w:rsidRPr="00144F76">
        <w:t xml:space="preserve"> </w:t>
      </w:r>
    </w:p>
    <w:p w14:paraId="3F88244A" w14:textId="77777777" w:rsidR="00144F76" w:rsidRPr="00144F76" w:rsidRDefault="001C3C6A" w:rsidP="00144F76">
      <w:r>
        <w:rPr>
          <w:noProof/>
        </w:rPr>
      </w:r>
      <w:r>
        <w:pict w14:anchorId="679ED440">
          <v:rect id="Horizontal Line 5"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4E4FF06" w14:textId="77777777" w:rsidR="00144F76" w:rsidRPr="00144F76" w:rsidRDefault="00144F76" w:rsidP="00144F76">
      <w:r w:rsidRPr="00144F76">
        <w:t xml:space="preserve">Die ambulante Wiedervorstellung des Patienten erfolgte bei neu diagnostizierter axialer Spondylarthritis. Der Patient hat seit Beginn der Basistherapie mit Cosentyx keine peripheren Gelenkbeschwerden mehr, auch die ISG-Symptomatik ist rückläufig.  Der Patient ist vollständig beschwerdefrei. Das neue Medikament wird gut vertragen und regelmäßig eingenommen. Aktuell ist die Vorstellung auch zu einem erneuten FAPI-PET im Verlauf geplant. </w:t>
      </w:r>
    </w:p>
    <w:p w14:paraId="401888B5" w14:textId="77777777" w:rsidR="00144F76" w:rsidRPr="00144F76" w:rsidRDefault="00144F76" w:rsidP="00144F76">
      <w:r w:rsidRPr="00144F76">
        <w:t> </w:t>
      </w:r>
    </w:p>
    <w:p w14:paraId="08416771" w14:textId="77777777" w:rsidR="00144F76" w:rsidRPr="00144F76" w:rsidRDefault="00144F76" w:rsidP="00144F76">
      <w:r w:rsidRPr="00144F76">
        <w:t> </w:t>
      </w:r>
    </w:p>
    <w:p w14:paraId="502A0BCD" w14:textId="77777777" w:rsidR="00144F76" w:rsidRPr="00144F76" w:rsidRDefault="00144F76" w:rsidP="00144F76">
      <w:r w:rsidRPr="00144F76">
        <w:br/>
      </w:r>
      <w:r w:rsidRPr="00144F76">
        <w:br/>
      </w:r>
      <w:r w:rsidRPr="00144F76">
        <w:rPr>
          <w:b/>
          <w:bCs/>
        </w:rPr>
        <w:t>Untersuchungsbefund</w:t>
      </w:r>
      <w:r w:rsidRPr="00144F76">
        <w:t xml:space="preserve"> </w:t>
      </w:r>
    </w:p>
    <w:p w14:paraId="7813A8B0" w14:textId="77777777" w:rsidR="00144F76" w:rsidRPr="00144F76" w:rsidRDefault="001C3C6A" w:rsidP="00144F76">
      <w:r>
        <w:rPr>
          <w:noProof/>
        </w:rPr>
      </w:r>
      <w:r>
        <w:pict w14:anchorId="63F65584">
          <v:rect id="Horizontal Line 6"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53B5363" w14:textId="77777777" w:rsidR="00144F76" w:rsidRPr="00144F76" w:rsidRDefault="00144F76" w:rsidP="00144F76">
      <w:r w:rsidRPr="00144F76">
        <w:rPr>
          <w:b/>
          <w:bCs/>
          <w:u w:val="single"/>
        </w:rPr>
        <w:t>Körperlicher Untersuchungsbefund:</w:t>
      </w:r>
    </w:p>
    <w:p w14:paraId="6FFAC2B8" w14:textId="77777777" w:rsidR="00144F76" w:rsidRPr="00144F76" w:rsidRDefault="00144F76" w:rsidP="00144F76">
      <w:r w:rsidRPr="00144F76">
        <w:t>Gelenke: keine peripheren Arthritiden, kein entzündlicher Rückenschmerz, keine Bewegungseinschränkung der ISG</w:t>
      </w:r>
    </w:p>
    <w:p w14:paraId="020D112C" w14:textId="77777777" w:rsidR="00144F76" w:rsidRPr="00144F76" w:rsidRDefault="00144F76" w:rsidP="00144F76">
      <w:r w:rsidRPr="00144F76">
        <w:t> </w:t>
      </w:r>
    </w:p>
    <w:p w14:paraId="4A587011" w14:textId="77777777" w:rsidR="00144F76" w:rsidRPr="00144F76" w:rsidRDefault="00144F76" w:rsidP="00144F76">
      <w:r w:rsidRPr="00144F76">
        <w:br/>
      </w:r>
      <w:r w:rsidRPr="00144F76">
        <w:br/>
      </w:r>
      <w:r w:rsidRPr="00144F76">
        <w:rPr>
          <w:b/>
          <w:bCs/>
        </w:rPr>
        <w:t>Laborwerte</w:t>
      </w:r>
      <w:r w:rsidRPr="00144F76">
        <w:t xml:space="preserve"> </w:t>
      </w:r>
    </w:p>
    <w:p w14:paraId="3DD02707" w14:textId="77777777" w:rsidR="00144F76" w:rsidRPr="00144F76" w:rsidRDefault="001C3C6A" w:rsidP="00144F76">
      <w:r>
        <w:rPr>
          <w:noProof/>
        </w:rPr>
      </w:r>
      <w:r>
        <w:pict w14:anchorId="2F27035A">
          <v:rect id="Horizontal Line 7"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57602C5" w14:textId="77777777" w:rsidR="00144F76" w:rsidRPr="00144F76" w:rsidRDefault="00144F76" w:rsidP="00144F76">
      <w:r w:rsidRPr="00144F76">
        <w:rPr>
          <w:b/>
          <w:bCs/>
          <w:u w:val="single"/>
        </w:rPr>
        <w:t>Kleines BB</w:t>
      </w:r>
      <w:r w:rsidRPr="00144F76">
        <w:t>: Hämoglobin 14,8 g/dl (13,5 - 17,5 g/dl), Hämatokrit 44,0 % (39 - 51 %), Erythrozyten 5,06 x 10</w:t>
      </w:r>
      <w:r w:rsidRPr="00144F76">
        <w:rPr>
          <w:vertAlign w:val="superscript"/>
        </w:rPr>
        <w:t>6</w:t>
      </w:r>
      <w:r w:rsidRPr="00144F76">
        <w:t>/µl (4,4 - 5,8 x 10</w:t>
      </w:r>
      <w:r w:rsidRPr="00144F76">
        <w:rPr>
          <w:vertAlign w:val="superscript"/>
        </w:rPr>
        <w:t>6</w:t>
      </w:r>
      <w:r w:rsidRPr="00144F76">
        <w:t>/µl), Leukozyten 5,35 x 10</w:t>
      </w:r>
      <w:r w:rsidRPr="00144F76">
        <w:rPr>
          <w:vertAlign w:val="superscript"/>
        </w:rPr>
        <w:t>3</w:t>
      </w:r>
      <w:r w:rsidRPr="00144F76">
        <w:t>/µl (4 - 10 x 10</w:t>
      </w:r>
      <w:r w:rsidRPr="00144F76">
        <w:rPr>
          <w:vertAlign w:val="superscript"/>
        </w:rPr>
        <w:t>3</w:t>
      </w:r>
      <w:r w:rsidRPr="00144F76">
        <w:t>/µl), Thrombozyten 225 x 10</w:t>
      </w:r>
      <w:r w:rsidRPr="00144F76">
        <w:rPr>
          <w:vertAlign w:val="superscript"/>
        </w:rPr>
        <w:t>3</w:t>
      </w:r>
      <w:r w:rsidRPr="00144F76">
        <w:t>/µl (140 - 350 x 10</w:t>
      </w:r>
      <w:r w:rsidRPr="00144F76">
        <w:rPr>
          <w:vertAlign w:val="superscript"/>
        </w:rPr>
        <w:t>3</w:t>
      </w:r>
      <w:r w:rsidRPr="00144F76">
        <w:t xml:space="preserve">/µl), MCH 29,2 pg (27 - 33 pg), MCHC 33,6 g </w:t>
      </w:r>
      <w:r w:rsidRPr="00144F76">
        <w:lastRenderedPageBreak/>
        <w:t xml:space="preserve">Hb/dl (32 - 36 g Hb/dl), MCV 87,0 fl (81 - 98 fl), MPV 9,9 fl (7,8 - 11 fl), RDW 12,8 % (11,6 - 16,2 %). </w:t>
      </w:r>
    </w:p>
    <w:p w14:paraId="4B55277E" w14:textId="77777777" w:rsidR="00144F76" w:rsidRPr="00144F76" w:rsidRDefault="00144F76" w:rsidP="00144F76">
      <w:r w:rsidRPr="00144F76">
        <w:rPr>
          <w:b/>
          <w:bCs/>
          <w:u w:val="single"/>
        </w:rPr>
        <w:t>Diff. BB</w:t>
      </w:r>
      <w:r w:rsidRPr="00144F76">
        <w:t>: Neutrophile (maschinell) 64,5 %, Eosinophile (maschinell) 0,4 %, Basophile (maschinell) 0,2 %, Lymphozyten (maschinell) 28,0 %, Monozyten (maschinell) 6,9 %, Neutrophile (maschinell) Absolut 3,5 x 10</w:t>
      </w:r>
      <w:r w:rsidRPr="00144F76">
        <w:rPr>
          <w:vertAlign w:val="superscript"/>
        </w:rPr>
        <w:t>3</w:t>
      </w:r>
      <w:r w:rsidRPr="00144F76">
        <w:t>/µl (1,6 - 7,8 x 10</w:t>
      </w:r>
      <w:r w:rsidRPr="00144F76">
        <w:rPr>
          <w:vertAlign w:val="superscript"/>
        </w:rPr>
        <w:t>3</w:t>
      </w:r>
      <w:r w:rsidRPr="00144F76">
        <w:t>/µl), Eosinophile (maschinell) Absolut 0,0 x 10</w:t>
      </w:r>
      <w:r w:rsidRPr="00144F76">
        <w:rPr>
          <w:vertAlign w:val="superscript"/>
        </w:rPr>
        <w:t>3</w:t>
      </w:r>
      <w:r w:rsidRPr="00144F76">
        <w:t>/µl (0 - 0,5 x 10</w:t>
      </w:r>
      <w:r w:rsidRPr="00144F76">
        <w:rPr>
          <w:vertAlign w:val="superscript"/>
        </w:rPr>
        <w:t>3</w:t>
      </w:r>
      <w:r w:rsidRPr="00144F76">
        <w:t>/µl), Basophile (maschinell) Absolut 0,0 x 10</w:t>
      </w:r>
      <w:r w:rsidRPr="00144F76">
        <w:rPr>
          <w:vertAlign w:val="superscript"/>
        </w:rPr>
        <w:t>3</w:t>
      </w:r>
      <w:r w:rsidRPr="00144F76">
        <w:t>/µl (0 - 0,1 x 10</w:t>
      </w:r>
      <w:r w:rsidRPr="00144F76">
        <w:rPr>
          <w:vertAlign w:val="superscript"/>
        </w:rPr>
        <w:t>3</w:t>
      </w:r>
      <w:r w:rsidRPr="00144F76">
        <w:t>/µl), Lymphozyten (maschinell) Absolut 1,5 x 10</w:t>
      </w:r>
      <w:r w:rsidRPr="00144F76">
        <w:rPr>
          <w:vertAlign w:val="superscript"/>
        </w:rPr>
        <w:t>3</w:t>
      </w:r>
      <w:r w:rsidRPr="00144F76">
        <w:t>/µl (1 - 3,5 x 10</w:t>
      </w:r>
      <w:r w:rsidRPr="00144F76">
        <w:rPr>
          <w:vertAlign w:val="superscript"/>
        </w:rPr>
        <w:t>3</w:t>
      </w:r>
      <w:r w:rsidRPr="00144F76">
        <w:t>/µl), Monozyten (maschinell) Absolut 0,4 x 10</w:t>
      </w:r>
      <w:r w:rsidRPr="00144F76">
        <w:rPr>
          <w:vertAlign w:val="superscript"/>
        </w:rPr>
        <w:t>3</w:t>
      </w:r>
      <w:r w:rsidRPr="00144F76">
        <w:t>/µl (0,1 - 0,9 x 10</w:t>
      </w:r>
      <w:r w:rsidRPr="00144F76">
        <w:rPr>
          <w:vertAlign w:val="superscript"/>
        </w:rPr>
        <w:t>3</w:t>
      </w:r>
      <w:r w:rsidRPr="00144F76">
        <w:t xml:space="preserve">/µl), </w:t>
      </w:r>
    </w:p>
    <w:p w14:paraId="1CD8E438" w14:textId="77777777" w:rsidR="00144F76" w:rsidRPr="00144F76" w:rsidRDefault="00144F76" w:rsidP="00144F76">
      <w:r w:rsidRPr="00144F76">
        <w:rPr>
          <w:b/>
          <w:bCs/>
          <w:u w:val="single"/>
        </w:rPr>
        <w:t>Serumchemie</w:t>
      </w:r>
      <w:r w:rsidRPr="00144F76">
        <w:t xml:space="preserve">: Kalium 3,7 mmol/l (3,6 - 4,8 mmol/l), Natrium 143 mmol/l (135 - 145 mmol/l), Calcium 2,30 mmol/l (2,20 - 2,65 mmol/l), Chlorid 106 mmol/l (98 - 108 mmol/l), Kreatinin 0,73 mg/dl (0,67 - 1,17 mg/dl), eGFR (Berechnung nach CKD-EPI) 117 ml/min/1,73m², </w:t>
      </w:r>
      <w:r w:rsidRPr="00144F76">
        <w:rPr>
          <w:b/>
          <w:bCs/>
        </w:rPr>
        <w:t>Harnsäure 7,7 mg/dl</w:t>
      </w:r>
      <w:r w:rsidRPr="00144F76">
        <w:t xml:space="preserve"> (3,4 - 7,0 mg/dl), Anorg. Phosphat 3,0 mg/dl (2,5 - 4,5 mg/dl), Bilirubin gesamt 0,6 mg/dl (&lt; 1,1 mg/dl), alk. Phosphatase 74 U/l (40 - 130 U/l), AST / GOT 47 U/l (&lt; 50 U/l), ALT / GPT 45 U/l (&lt; 50 U/l), Gamma-GT 24 U/l (&lt; 60 U/l), Gesamt-Eiweiß 71,5 g/l (66 - 83 g/l), Albumin (Serum) 44,1 g/l (35 - 55 g/l), LDH 218 U/l (&lt; 250 U/l). </w:t>
      </w:r>
    </w:p>
    <w:p w14:paraId="47B7EAD8" w14:textId="77777777" w:rsidR="00144F76" w:rsidRPr="00144F76" w:rsidRDefault="00144F76" w:rsidP="00144F76">
      <w:r w:rsidRPr="00144F76">
        <w:rPr>
          <w:b/>
          <w:bCs/>
          <w:u w:val="single"/>
        </w:rPr>
        <w:t>Sonstige Serumchemie</w:t>
      </w:r>
      <w:r w:rsidRPr="00144F76">
        <w:t xml:space="preserve">: alpha-Amylase 47 U/l (&lt; 110 U/l), alpha-HBDH 130 U/l (75 - 195 U/l), Anorganisches Phosphat 0,97 mmol/l (0,81 - 1,45 mmol/l), Calcium-Phosphat-Produkt 2,23 mmol²/l² (&lt; 4,40 mmol²/l²), Cholesterin 216 mg/dl (Cholesterin &gt; 200 mg/dl prognostisch ungünstig), Cholinesterase 9,49 kU/l (3,93 - 11,5 kU/l), </w:t>
      </w:r>
      <w:r w:rsidRPr="00144F76">
        <w:rPr>
          <w:b/>
          <w:bCs/>
        </w:rPr>
        <w:t>Creatin-Kinase 914 U/l</w:t>
      </w:r>
      <w:r w:rsidRPr="00144F76">
        <w:t xml:space="preserve"> (&lt; 190 U/l), Eisen 103 ug/dl (40 - 160 ug/dl), Harnstoff 23 mg/dl (17 - 43 mg/dl), HbA1c 5,3 % (4,4 - 6,0 %), Hb A1c(mmol) 34,2 mmol/mol (25 - 42 mmol/mol), HDL-Cholesterin 66 mg/dl (HDL-Chol. &gt; 55 mg/dl prognostisch günstig), LDL-Cholesterin 141 mg/dl (LDL-Chol. zwischen 130 und 155 mg/dl für Pat. ohne Risikofaktoren), Magnesium 0,9 mmol/l (0,7 - 1,1 mmol/l), Triglyceride 78 mg/dl (50 - 200 mg/dl), Troponin I (high sensitive) 9,30 pg/ml (&lt; 19,8 pg/ml). Gesamt-Eiweiß 71,5 g/l (66 - 83 g/l), eGFR (Berechnung nach CKD-EPI) 117 ml/min/1,73m², </w:t>
      </w:r>
    </w:p>
    <w:p w14:paraId="75B94AA4" w14:textId="77777777" w:rsidR="00144F76" w:rsidRPr="00144F76" w:rsidRDefault="00144F76" w:rsidP="00144F76">
      <w:r w:rsidRPr="00144F76">
        <w:rPr>
          <w:b/>
          <w:bCs/>
          <w:u w:val="single"/>
        </w:rPr>
        <w:t>Gerinnung</w:t>
      </w:r>
      <w:r w:rsidRPr="00144F76">
        <w:t xml:space="preserve">: Thromboplastinzeit als INR 1,00 (0,85 - 1,15), Thromboplastinzeit als Quickwert 100 % (&gt; 70 %), aPTT 25,8 s (23,6 - 34,8 s), Fibrinogen (nach Clauss), Fbg 332 mg/dl (200 - 400 mg/dl). </w:t>
      </w:r>
    </w:p>
    <w:p w14:paraId="60715E2D" w14:textId="77777777" w:rsidR="00144F76" w:rsidRPr="00144F76" w:rsidRDefault="00144F76" w:rsidP="00144F76">
      <w:r w:rsidRPr="00144F76">
        <w:rPr>
          <w:b/>
          <w:bCs/>
          <w:u w:val="single"/>
        </w:rPr>
        <w:t>Immunologie</w:t>
      </w:r>
      <w:r w:rsidRPr="00144F76">
        <w:t xml:space="preserve">: Ak gegen AMA-M2 o (o), Ak gegen Ribosomales-P-Protein o (o), Ak gegen Histone o (o), Ak gegen Nukleosomen o (o), Ak gegen PCNA o (o), Ak gegen Centromer B o (o), Ak gegen Jo-1 o (o), Ak gegen PM-Scl o (o), Ak gegen Scl-70 o (o), Ak gegen SS-B o (o), Ak gegen Ro-52 (52 kDa) o (o), Ak gegen SS-A nativ (60 kDa) o (o), Ak gegen Sm o (o), Ak gegen DFS70 o (o), AK gegen Mi-2 o (o), AK gegen Ku o (o), Ak gegen RNP/Sm o (o), TRAP5b 2,7 U/l (Männer 2.6 - 5.4 Frauen postmenopausal 1.5 - 4.3 Frauen praemenopausal 2.9 - 5.7), Osteocalcin 5,5 ng/ml (Männer 12.2 . 31.6 ng/ml Frauen postmenopausal 15.9 - 41.6 ng/ml Frauen praemenopausal 11.2 - 27.4 ng/ml), Osteoprotegerin 3,1 pmol/l (2,4 - 4,8 pmol/l), Parathormon intakt 39,2 pg/ml (3,1 - </w:t>
      </w:r>
      <w:r w:rsidRPr="00144F76">
        <w:lastRenderedPageBreak/>
        <w:t xml:space="preserve">40 pg/ml), BAP 17,5 E/l (Männer 15.0 - 41.3 Frauen postmenopausal 14.2 - 42.7 Frauen praemenopausal 11.6 - 29.6), CrossLaps im Serum 0,20 ng/ml (Männer 0.12 - 0.75 Frauen postmenopausal 0.14 - 1.35 Frauen praemenopausal 0.11 - 0.74), FGF-23 c-Terminal 42,70 RU/ml, </w:t>
      </w:r>
      <w:r w:rsidRPr="00144F76">
        <w:rPr>
          <w:b/>
          <w:bCs/>
        </w:rPr>
        <w:t>25-Hydroxy-Vitamin D 22,19 ng/ml</w:t>
      </w:r>
      <w:r w:rsidRPr="00144F76">
        <w:t xml:space="preserve"> (30 - 100 ng/ml), CCP zykl. zitrul. Peptide 0,89 RE/ml (&lt; 5 RE/ml), Anti-MCV 4,5 U/ml (&lt; 20 U/ml), ANA auf Hep2 negativ, DNS Ak (RIA) 0,1 U/ml (0 - 7 U/ml), Komplement C3 125,1 mg/dl (81,1 - 157 mg/dl), </w:t>
      </w:r>
      <w:r w:rsidRPr="00144F76">
        <w:rPr>
          <w:b/>
          <w:bCs/>
        </w:rPr>
        <w:t>Komplement C4 41,2 mg/dl</w:t>
      </w:r>
      <w:r w:rsidRPr="00144F76">
        <w:t xml:space="preserve"> (12,9 - 39,2 mg/dl), </w:t>
      </w:r>
      <w:r w:rsidRPr="00144F76">
        <w:rPr>
          <w:b/>
          <w:bCs/>
        </w:rPr>
        <w:t>C-reaktives Protein 5,4 mg/l</w:t>
      </w:r>
      <w:r w:rsidRPr="00144F76">
        <w:t xml:space="preserve"> (-&lt;5,2 mg/l), Hoch sensitives CRP 3,27 mg/l (&lt; 5 mg/l), Ferritin 261,5 ng/ml (34 - 310 ng/ml), Rheumafaktor IgA 5,85 U/ml (0 - 20 U/ml), Rheumafaktor IgG 11,87 U/ml (0 - 20 U/ml), Rheumafaktor IgM 4,76 U/ml (0 - 20 U/ml), IgA 242,8 mg/dl (84,5 - 499 mg/dl), IgG 1254,7 mg/dl (610 - 1616 mg/dl), IgM 57,5 mg/dl (35 - 242 mg/dl), ß2-Mikroglobulin 1,6 mg/l (0 - 2,34 mg/l), </w:t>
      </w:r>
    </w:p>
    <w:p w14:paraId="7836D410" w14:textId="77777777" w:rsidR="00144F76" w:rsidRPr="00144F76" w:rsidRDefault="00144F76" w:rsidP="00144F76">
      <w:r w:rsidRPr="00144F76">
        <w:br/>
      </w:r>
      <w:r w:rsidRPr="00144F76">
        <w:br/>
      </w:r>
      <w:r w:rsidRPr="00144F76">
        <w:rPr>
          <w:b/>
          <w:bCs/>
        </w:rPr>
        <w:t>Befunde</w:t>
      </w:r>
      <w:r w:rsidRPr="00144F76">
        <w:t xml:space="preserve"> </w:t>
      </w:r>
    </w:p>
    <w:p w14:paraId="6A726358" w14:textId="77777777" w:rsidR="00144F76" w:rsidRPr="00144F76" w:rsidRDefault="001C3C6A" w:rsidP="00144F76">
      <w:r>
        <w:rPr>
          <w:noProof/>
        </w:rPr>
      </w:r>
      <w:r>
        <w:pict w14:anchorId="0AEB8B3E">
          <v:rect id="Horizontal Line 8"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15A18C9" w14:textId="77777777" w:rsidR="00144F76" w:rsidRPr="00144F76" w:rsidRDefault="00144F76" w:rsidP="00144F76">
      <w:r w:rsidRPr="00144F76">
        <w:rPr>
          <w:b/>
          <w:bCs/>
          <w:u w:val="single"/>
        </w:rPr>
        <w:t>FAPI PET/CT mit CT low dose vom 14.06.2021:</w:t>
      </w:r>
      <w:r w:rsidRPr="00144F76">
        <w:t> </w:t>
      </w:r>
    </w:p>
    <w:p w14:paraId="3875AD7D" w14:textId="77777777" w:rsidR="00144F76" w:rsidRPr="00144F76" w:rsidRDefault="00144F76" w:rsidP="00144F76">
      <w:r w:rsidRPr="00144F76">
        <w:t xml:space="preserve">Befund: Es liegt eine FAPI PET/CT vom 22.01.2021 zum Vergleich vor. Halsweichteile: Symmetrische Darstellung der zervikalen Weichteile. Kein Nachweis suspekt vergrößerter oder Radiopharmakon mehrspeichernder Lymphknoten. Thorax: Keine pathologisch vergrößerten oder Tracer positiven Lymphknoten beidseits axillär, periklavikulär, mediastinal oder perihilär. Kein Perikard- oder Pleuraerguss. Keine suspekten intrapulmonalen Rundherde, keine Konsolidierungen. Abdomen: Leber normgroß, homogener Nuklid Uptake (SUVmean 0,7). In nativer Untersuchungstechnik unauffällige Darstellung von Gallenblase, Milz, Pankreas und Nebennieren. Drei kleine ventrale Nebenmilzen. Nieren nicht gestaut. Unveränderte fokaler Nuklid Uptake im linken Hoden/Nebenhoden. Rechter Hoden nicht abgrenzbar. Kein Hinweis auf freie intraabdominelle Luft oder Flüssigkeit Keine pathologisch vergrößerten oder Radionuklide mehr speichernden Lymphknoten paraaortal, beidseits iliakal oder inguinal. Muskuloskelettales System: Die vormals aufgefallene Nuklid Anreicherung zwischen den Processi spinosi von HWK 2/3 ist aktuell nicht ersichtlich. Die paravertebrale zervikale Muskulatur weist eine flaue flächenhafte Radiopharmakon Mehrbelegung auf, a.e. unspezifisch. Konstanter Nuklid Uptake lateral der Crista iliaca rechts (SUVmax 4,1 versus 4,0 in der Voraufnahme, Serie 6, Ima 113). Deutlich rückläufiger Radiopharmakon Uptake in Projektion auf das rechte ISG mit nur noch flauer residualer Anreicherung (SUVmax 2,1 versus 5,2 in der Voraufnahme). Komplett regrediente Nuklid Speicherung ventral der Spina iliaca anterior superior rechts. Rückläufige Radiopharmakon Mehrbelegung auch lateral des Trochanter major rechts (SUVmax 3,0 versus 5,7 in der Voraufnahme). Unverändert kräftige fokale Nuklid Anreicherung dorsal des rechten proximalen Femurs (SUVmax 4,3). Zunehmende </w:t>
      </w:r>
      <w:r w:rsidRPr="00144F76">
        <w:lastRenderedPageBreak/>
        <w:t xml:space="preserve">Radiopharmakon Mehrbelegung um das linke Kniegelenk (SUVmax 3,7 versus 3,0 in der Voraufnahme). Deutliche rückläufige Nuklid Speicherung im oberen und unteren Sprunggelenk links (SUVmax 1,9 versus 4,6 in der Voraufnahme). Solitärer Tracer Nuklid Uptake zwischen den Köpfchen der Ossa metatarsalia 4 und 5 links (SUVmax 2,0). </w:t>
      </w:r>
    </w:p>
    <w:p w14:paraId="158D5F6B" w14:textId="77777777" w:rsidR="00144F76" w:rsidRPr="00144F76" w:rsidRDefault="00144F76" w:rsidP="00144F76">
      <w:r w:rsidRPr="00144F76">
        <w:t>Beurteilung: Bis auf eine progrediente FAPI Anreicherung im linken Kniegelenk und zwei fokale FAP-Überexpressionen dorsal des rechten proximalen Femurs und zwischen den Köpfchen der Ossa metatarsalia 4 und 5 links zeigt sich eine deutliche Befundbesserung mit rückläufiger Nuklid Speicherung zwischen den Processi spinosi HWK 2 und 3, im rechten ISG, ventral der Spina iliaca anterior superior rechts, lateral des rechten Trochanter major und im oberen und unteren Sprunggelenk links.</w:t>
      </w:r>
    </w:p>
    <w:p w14:paraId="6B923887" w14:textId="77777777" w:rsidR="00144F76" w:rsidRPr="00144F76" w:rsidRDefault="00144F76" w:rsidP="00144F76">
      <w:r w:rsidRPr="00144F76">
        <w:br/>
      </w:r>
      <w:r w:rsidRPr="00144F76">
        <w:br/>
      </w:r>
      <w:r w:rsidRPr="00144F76">
        <w:rPr>
          <w:b/>
          <w:bCs/>
        </w:rPr>
        <w:t>Weitere Befunde</w:t>
      </w:r>
      <w:r w:rsidRPr="00144F76">
        <w:t xml:space="preserve"> </w:t>
      </w:r>
    </w:p>
    <w:p w14:paraId="638F76C5" w14:textId="77777777" w:rsidR="00144F76" w:rsidRPr="00144F76" w:rsidRDefault="001C3C6A" w:rsidP="00144F76">
      <w:r>
        <w:rPr>
          <w:noProof/>
        </w:rPr>
      </w:r>
      <w:r>
        <w:pict w14:anchorId="13FAFE64">
          <v:rect id="Horizontal Line 9"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1CC5AC8" w14:textId="77777777" w:rsidR="00144F76" w:rsidRPr="00144F76" w:rsidRDefault="00144F76" w:rsidP="00144F76">
      <w:r w:rsidRPr="00144F76">
        <w:t>BKS: 3</w:t>
      </w:r>
    </w:p>
    <w:p w14:paraId="67C35DC1" w14:textId="77777777" w:rsidR="00144F76" w:rsidRPr="00144F76" w:rsidRDefault="00144F76" w:rsidP="00144F76">
      <w:r w:rsidRPr="00144F76">
        <w:t> </w:t>
      </w:r>
    </w:p>
    <w:p w14:paraId="4CF0B0AB" w14:textId="77777777" w:rsidR="00144F76" w:rsidRPr="00144F76" w:rsidRDefault="00144F76" w:rsidP="00144F76">
      <w:r w:rsidRPr="00144F76">
        <w:br/>
      </w:r>
      <w:r w:rsidRPr="00144F76">
        <w:br/>
      </w:r>
      <w:r w:rsidRPr="00144F76">
        <w:rPr>
          <w:b/>
          <w:bCs/>
        </w:rPr>
        <w:t>Verlauf und Beurteilung</w:t>
      </w:r>
      <w:r w:rsidRPr="00144F76">
        <w:t xml:space="preserve"> </w:t>
      </w:r>
    </w:p>
    <w:p w14:paraId="48B67E1E" w14:textId="77777777" w:rsidR="00144F76" w:rsidRPr="00144F76" w:rsidRDefault="001C3C6A" w:rsidP="00144F76">
      <w:r>
        <w:rPr>
          <w:noProof/>
        </w:rPr>
      </w:r>
      <w:r>
        <w:pict w14:anchorId="562A5EA6">
          <v:rect id="Horizontal Line 10"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C111141" w14:textId="77777777" w:rsidR="00144F76" w:rsidRPr="00144F76" w:rsidRDefault="00144F76" w:rsidP="00144F76">
      <w:r w:rsidRPr="00144F76">
        <w:t>Die ambulante Wiedervorstellung des Patienten erfolgte bei axialer Spondylarthritis mit Zustand nach Sakroiliitis rechtsseitig und Kniegelenksarthritis linksseitig. Unter einer Basistherapie mit Secukinumab ist der Patient beschwerdefrei. NSAR müssen nicht eingenommen werden. Der Patient verträgt das Medikament sehr gut. Wir führten heute eine erneute FAPI-PET-Untersuchung durch. Hier zeigte sich ebenfalls eine Verbesserung der Befunde. Wir bitten um Fortsetzung der Basistherapie.</w:t>
      </w:r>
    </w:p>
    <w:p w14:paraId="55CFA19C" w14:textId="77777777" w:rsidR="00144F76" w:rsidRPr="00144F76" w:rsidRDefault="00144F76" w:rsidP="00144F76">
      <w:r w:rsidRPr="00144F76">
        <w:t> </w:t>
      </w:r>
    </w:p>
    <w:p w14:paraId="1977C3F4" w14:textId="77777777" w:rsidR="00144F76" w:rsidRPr="00144F76" w:rsidRDefault="00144F76" w:rsidP="00144F76">
      <w:r w:rsidRPr="00144F76">
        <w:t> </w:t>
      </w:r>
    </w:p>
    <w:p w14:paraId="22A518CC" w14:textId="77777777" w:rsidR="00144F76" w:rsidRPr="00144F76" w:rsidRDefault="00144F76" w:rsidP="00144F76">
      <w:r w:rsidRPr="00144F76">
        <w:t> </w:t>
      </w:r>
    </w:p>
    <w:p w14:paraId="32B50395" w14:textId="77777777" w:rsidR="00144F76" w:rsidRPr="00144F76" w:rsidRDefault="00144F76" w:rsidP="00144F76">
      <w:r w:rsidRPr="00144F76">
        <w:br/>
      </w:r>
      <w:r w:rsidRPr="00144F76">
        <w:br/>
      </w:r>
      <w:r w:rsidRPr="00144F76">
        <w:rPr>
          <w:b/>
          <w:bCs/>
        </w:rPr>
        <w:t>Therapieempfehlung</w:t>
      </w:r>
      <w:r w:rsidRPr="00144F76">
        <w:t xml:space="preserve"> </w:t>
      </w:r>
    </w:p>
    <w:p w14:paraId="65572AD1" w14:textId="77777777" w:rsidR="00144F76" w:rsidRPr="00144F76" w:rsidRDefault="001C3C6A" w:rsidP="00144F76">
      <w:r>
        <w:rPr>
          <w:noProof/>
        </w:rPr>
      </w:r>
      <w:r>
        <w:pict w14:anchorId="7C852F66">
          <v:rect id="Horizontal Line 1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C127CE6" w14:textId="77777777" w:rsidR="00144F76" w:rsidRPr="00144F76" w:rsidRDefault="00144F76" w:rsidP="00144F76">
      <w:r w:rsidRPr="00144F76">
        <w:t>Cosentyx 150 mg 1 x alle 4 Wochen</w:t>
      </w:r>
    </w:p>
    <w:p w14:paraId="4C4E6FC0" w14:textId="77777777" w:rsidR="00144F76" w:rsidRPr="00144F76" w:rsidRDefault="00144F76" w:rsidP="00144F76">
      <w:r w:rsidRPr="00144F76">
        <w:t>Arcoxia 90 mg 1-0-0 b. B.</w:t>
      </w:r>
    </w:p>
    <w:p w14:paraId="7A1D992C" w14:textId="77777777" w:rsidR="00144F76" w:rsidRDefault="00144F76"/>
    <w:sectPr w:rsidR="00144F7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7F0968"/>
    <w:multiLevelType w:val="multilevel"/>
    <w:tmpl w:val="16260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18112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F76"/>
    <w:rsid w:val="00144F76"/>
    <w:rsid w:val="001C3C6A"/>
    <w:rsid w:val="0092470E"/>
    <w:rsid w:val="00B30330"/>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E5636B5"/>
  <w15:chartTrackingRefBased/>
  <w15:docId w15:val="{3E4D2FF8-C244-42AA-8155-2F58EE418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44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44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44F7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44F7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44F7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44F7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44F7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44F7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44F7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4F7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44F7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44F7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44F7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44F7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44F7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44F7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44F7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44F76"/>
    <w:rPr>
      <w:rFonts w:eastAsiaTheme="majorEastAsia" w:cstheme="majorBidi"/>
      <w:color w:val="272727" w:themeColor="text1" w:themeTint="D8"/>
    </w:rPr>
  </w:style>
  <w:style w:type="paragraph" w:styleId="Titel">
    <w:name w:val="Title"/>
    <w:basedOn w:val="Standard"/>
    <w:next w:val="Standard"/>
    <w:link w:val="TitelZchn"/>
    <w:uiPriority w:val="10"/>
    <w:qFormat/>
    <w:rsid w:val="00144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44F7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44F7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44F7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44F7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44F76"/>
    <w:rPr>
      <w:i/>
      <w:iCs/>
      <w:color w:val="404040" w:themeColor="text1" w:themeTint="BF"/>
    </w:rPr>
  </w:style>
  <w:style w:type="paragraph" w:styleId="Listenabsatz">
    <w:name w:val="List Paragraph"/>
    <w:basedOn w:val="Standard"/>
    <w:uiPriority w:val="34"/>
    <w:qFormat/>
    <w:rsid w:val="00144F76"/>
    <w:pPr>
      <w:ind w:left="720"/>
      <w:contextualSpacing/>
    </w:pPr>
  </w:style>
  <w:style w:type="character" w:styleId="IntensiveHervorhebung">
    <w:name w:val="Intense Emphasis"/>
    <w:basedOn w:val="Absatz-Standardschriftart"/>
    <w:uiPriority w:val="21"/>
    <w:qFormat/>
    <w:rsid w:val="00144F76"/>
    <w:rPr>
      <w:i/>
      <w:iCs/>
      <w:color w:val="0F4761" w:themeColor="accent1" w:themeShade="BF"/>
    </w:rPr>
  </w:style>
  <w:style w:type="paragraph" w:styleId="IntensivesZitat">
    <w:name w:val="Intense Quote"/>
    <w:basedOn w:val="Standard"/>
    <w:next w:val="Standard"/>
    <w:link w:val="IntensivesZitatZchn"/>
    <w:uiPriority w:val="30"/>
    <w:qFormat/>
    <w:rsid w:val="00144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44F76"/>
    <w:rPr>
      <w:i/>
      <w:iCs/>
      <w:color w:val="0F4761" w:themeColor="accent1" w:themeShade="BF"/>
    </w:rPr>
  </w:style>
  <w:style w:type="character" w:styleId="IntensiverVerweis">
    <w:name w:val="Intense Reference"/>
    <w:basedOn w:val="Absatz-Standardschriftart"/>
    <w:uiPriority w:val="32"/>
    <w:qFormat/>
    <w:rsid w:val="00144F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96927118">
      <w:bodyDiv w:val="1"/>
      <w:marLeft w:val="0"/>
      <w:marRight w:val="0"/>
      <w:marTop w:val="0"/>
      <w:marBottom w:val="0"/>
      <w:divBdr>
        <w:top w:val="none" w:sz="0" w:space="0" w:color="auto"/>
        <w:left w:val="none" w:sz="0" w:space="0" w:color="auto"/>
        <w:bottom w:val="none" w:sz="0" w:space="0" w:color="auto"/>
        <w:right w:val="none" w:sz="0" w:space="0" w:color="auto"/>
      </w:divBdr>
      <w:divsChild>
        <w:div w:id="228544343">
          <w:marLeft w:val="0"/>
          <w:marRight w:val="0"/>
          <w:marTop w:val="0"/>
          <w:marBottom w:val="0"/>
          <w:divBdr>
            <w:top w:val="none" w:sz="0" w:space="0" w:color="auto"/>
            <w:left w:val="none" w:sz="0" w:space="0" w:color="auto"/>
            <w:bottom w:val="none" w:sz="0" w:space="0" w:color="auto"/>
            <w:right w:val="none" w:sz="0" w:space="0" w:color="auto"/>
          </w:divBdr>
        </w:div>
      </w:divsChild>
    </w:div>
    <w:div w:id="1801923191">
      <w:bodyDiv w:val="1"/>
      <w:marLeft w:val="0"/>
      <w:marRight w:val="0"/>
      <w:marTop w:val="0"/>
      <w:marBottom w:val="0"/>
      <w:divBdr>
        <w:top w:val="none" w:sz="0" w:space="0" w:color="auto"/>
        <w:left w:val="none" w:sz="0" w:space="0" w:color="auto"/>
        <w:bottom w:val="none" w:sz="0" w:space="0" w:color="auto"/>
        <w:right w:val="none" w:sz="0" w:space="0" w:color="auto"/>
      </w:divBdr>
      <w:divsChild>
        <w:div w:id="1682124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1284</Words>
  <Characters>8095</Characters>
  <Application>Microsoft Office Word</Application>
  <DocSecurity>0</DocSecurity>
  <Lines>67</Lines>
  <Paragraphs>18</Paragraphs>
  <ScaleCrop>false</ScaleCrop>
  <Company/>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2026-09-24T15:54:00Z</dcterms:created>
  <dcterms:modified xsi:type="dcterms:W3CDTF">2026-09-25T22:09:00Z</dcterms:modified>
</cp:coreProperties>
</file>