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671B5" w14:textId="77777777" w:rsidR="007A3B13" w:rsidRPr="007A3B13" w:rsidRDefault="007A3B13" w:rsidP="007A3B13">
      <w:r w:rsidRPr="007A3B13">
        <w:rPr>
          <w:b/>
          <w:bCs/>
        </w:rPr>
        <w:t>Anrede</w:t>
      </w:r>
      <w:r w:rsidRPr="007A3B13">
        <w:t xml:space="preserve"> </w:t>
      </w:r>
    </w:p>
    <w:p w14:paraId="7C05156D" w14:textId="77777777" w:rsidR="007A3B13" w:rsidRPr="007A3B13" w:rsidRDefault="00957285" w:rsidP="007A3B13">
      <w:r>
        <w:rPr>
          <w:noProof/>
        </w:rPr>
      </w:r>
      <w:r>
        <w:pict w14:anchorId="16B294AF">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13ED5B" w14:textId="77777777" w:rsidR="007A3B13" w:rsidRPr="007A3B13" w:rsidRDefault="007A3B13" w:rsidP="007A3B13">
      <w:r w:rsidRPr="007A3B13">
        <w:t xml:space="preserve">Sehr geehrte Frau Kollegin, </w:t>
      </w:r>
    </w:p>
    <w:p w14:paraId="1985B884" w14:textId="77777777" w:rsidR="007A3B13" w:rsidRPr="007A3B13" w:rsidRDefault="007A3B13" w:rsidP="007A3B13">
      <w:r w:rsidRPr="007A3B13">
        <w:t> </w:t>
      </w:r>
    </w:p>
    <w:p w14:paraId="3A046E7B" w14:textId="404E6354" w:rsidR="007A3B13" w:rsidRPr="007A3B13" w:rsidRDefault="007A3B13" w:rsidP="007A3B13">
      <w:r w:rsidRPr="007A3B13">
        <w:t xml:space="preserve">wir berichten über unseren gemeinsamen Patienten, </w:t>
      </w:r>
      <w:r w:rsidR="002031B3">
        <w:t>26,</w:t>
      </w:r>
      <w:r w:rsidRPr="007A3B13">
        <w:t xml:space="preserve"> der sich am 22.07.2021 ambulant vorstellte.</w:t>
      </w:r>
    </w:p>
    <w:p w14:paraId="570F25F2" w14:textId="77777777" w:rsidR="007A3B13" w:rsidRPr="007A3B13" w:rsidRDefault="007A3B13" w:rsidP="007A3B13">
      <w:r w:rsidRPr="007A3B13">
        <w:br/>
      </w:r>
      <w:r w:rsidRPr="007A3B13">
        <w:br/>
      </w:r>
      <w:r w:rsidRPr="007A3B13">
        <w:rPr>
          <w:b/>
          <w:bCs/>
        </w:rPr>
        <w:t>Diagnosen</w:t>
      </w:r>
      <w:r w:rsidRPr="007A3B13">
        <w:t xml:space="preserve"> </w:t>
      </w:r>
    </w:p>
    <w:p w14:paraId="7B2F96C4" w14:textId="77777777" w:rsidR="007A3B13" w:rsidRPr="007A3B13" w:rsidRDefault="00957285" w:rsidP="007A3B13">
      <w:r>
        <w:rPr>
          <w:noProof/>
        </w:rPr>
      </w:r>
      <w:r>
        <w:pict w14:anchorId="4AF9C3CE">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B7E5F2" w14:textId="77777777" w:rsidR="007A3B13" w:rsidRPr="007A3B13" w:rsidRDefault="007A3B13" w:rsidP="007A3B13">
      <w:pPr>
        <w:numPr>
          <w:ilvl w:val="0"/>
          <w:numId w:val="1"/>
        </w:numPr>
      </w:pPr>
      <w:r w:rsidRPr="007A3B13">
        <w:t xml:space="preserve">Rheumatoide Arthritis, ED 03/2010, RF+, anti-CCP+ </w:t>
      </w:r>
    </w:p>
    <w:p w14:paraId="08FD61CA" w14:textId="77777777" w:rsidR="007A3B13" w:rsidRPr="007A3B13" w:rsidRDefault="007A3B13" w:rsidP="007A3B13">
      <w:pPr>
        <w:numPr>
          <w:ilvl w:val="1"/>
          <w:numId w:val="1"/>
        </w:numPr>
      </w:pPr>
      <w:r w:rsidRPr="007A3B13">
        <w:t xml:space="preserve">aktuelle Therapie: Umstellung der Therapie auf Upadacitinib 15 mg 1-0-0   </w:t>
      </w:r>
    </w:p>
    <w:p w14:paraId="7B9D3302" w14:textId="77777777" w:rsidR="007A3B13" w:rsidRPr="007A3B13" w:rsidRDefault="007A3B13" w:rsidP="007A3B13">
      <w:pPr>
        <w:numPr>
          <w:ilvl w:val="1"/>
          <w:numId w:val="1"/>
        </w:numPr>
      </w:pPr>
      <w:r w:rsidRPr="007A3B13">
        <w:t xml:space="preserve">DAS 28 (CRP): 3,58 </w:t>
      </w:r>
    </w:p>
    <w:p w14:paraId="58BACF82" w14:textId="77777777" w:rsidR="007A3B13" w:rsidRPr="007A3B13" w:rsidRDefault="007A3B13" w:rsidP="007A3B13">
      <w:pPr>
        <w:numPr>
          <w:ilvl w:val="1"/>
          <w:numId w:val="1"/>
        </w:numPr>
      </w:pPr>
      <w:r w:rsidRPr="007A3B13">
        <w:t xml:space="preserve">bisherige Therapie: </w:t>
      </w:r>
    </w:p>
    <w:p w14:paraId="11B78AC4" w14:textId="77777777" w:rsidR="007A3B13" w:rsidRPr="007A3B13" w:rsidRDefault="007A3B13" w:rsidP="007A3B13">
      <w:pPr>
        <w:numPr>
          <w:ilvl w:val="2"/>
          <w:numId w:val="1"/>
        </w:numPr>
      </w:pPr>
      <w:r w:rsidRPr="007A3B13">
        <w:t xml:space="preserve">MTX 3/2010 </w:t>
      </w:r>
    </w:p>
    <w:p w14:paraId="49534131" w14:textId="77777777" w:rsidR="007A3B13" w:rsidRPr="007A3B13" w:rsidRDefault="007A3B13" w:rsidP="007A3B13">
      <w:pPr>
        <w:numPr>
          <w:ilvl w:val="2"/>
          <w:numId w:val="1"/>
        </w:numPr>
      </w:pPr>
      <w:r w:rsidRPr="007A3B13">
        <w:t xml:space="preserve">Z.n. Studienteilnahme RETRO (Kontrollgruppe, 11/2011 - 09/2014) MTX 15 mg/Wo. Dropout bei Schub der Grunderkrankung </w:t>
      </w:r>
    </w:p>
    <w:p w14:paraId="19F8D34A" w14:textId="77777777" w:rsidR="007A3B13" w:rsidRPr="007A3B13" w:rsidRDefault="007A3B13" w:rsidP="007A3B13">
      <w:pPr>
        <w:numPr>
          <w:ilvl w:val="2"/>
          <w:numId w:val="1"/>
        </w:numPr>
      </w:pPr>
      <w:r w:rsidRPr="007A3B13">
        <w:t xml:space="preserve">MTX + Leflunomid seit 02/2015-09/2015, Beendigung MTX (Aggressivität) </w:t>
      </w:r>
    </w:p>
    <w:p w14:paraId="79CE733B" w14:textId="77777777" w:rsidR="007A3B13" w:rsidRPr="007A3B13" w:rsidRDefault="007A3B13" w:rsidP="007A3B13">
      <w:pPr>
        <w:numPr>
          <w:ilvl w:val="2"/>
          <w:numId w:val="1"/>
        </w:numPr>
      </w:pPr>
      <w:r w:rsidRPr="007A3B13">
        <w:t xml:space="preserve">Z.n. Tocilizumab s.c., seit 09/2015 </w:t>
      </w:r>
    </w:p>
    <w:p w14:paraId="002784DD" w14:textId="77777777" w:rsidR="007A3B13" w:rsidRPr="007A3B13" w:rsidRDefault="007A3B13" w:rsidP="007A3B13">
      <w:pPr>
        <w:numPr>
          <w:ilvl w:val="2"/>
          <w:numId w:val="1"/>
        </w:numPr>
      </w:pPr>
      <w:r w:rsidRPr="007A3B13">
        <w:t xml:space="preserve">Z.n. Baricitinib 06/2018-01/2021 </w:t>
      </w:r>
    </w:p>
    <w:p w14:paraId="0720D174" w14:textId="77777777" w:rsidR="007A3B13" w:rsidRPr="007A3B13" w:rsidRDefault="007A3B13" w:rsidP="007A3B13">
      <w:pPr>
        <w:numPr>
          <w:ilvl w:val="2"/>
          <w:numId w:val="1"/>
        </w:numPr>
      </w:pPr>
      <w:r w:rsidRPr="007A3B13">
        <w:t xml:space="preserve">Z.n. Golimumab 02/2021-07/2021 </w:t>
      </w:r>
    </w:p>
    <w:p w14:paraId="11100757" w14:textId="77777777" w:rsidR="007A3B13" w:rsidRPr="007A3B13" w:rsidRDefault="007A3B13" w:rsidP="007A3B13">
      <w:pPr>
        <w:numPr>
          <w:ilvl w:val="0"/>
          <w:numId w:val="1"/>
        </w:numPr>
      </w:pPr>
      <w:r w:rsidRPr="007A3B13">
        <w:t xml:space="preserve">Akne, teils abszedierend </w:t>
      </w:r>
    </w:p>
    <w:p w14:paraId="2EF65F4D" w14:textId="77777777" w:rsidR="007A3B13" w:rsidRPr="007A3B13" w:rsidRDefault="007A3B13" w:rsidP="007A3B13">
      <w:pPr>
        <w:numPr>
          <w:ilvl w:val="0"/>
          <w:numId w:val="1"/>
        </w:numPr>
      </w:pPr>
      <w:r w:rsidRPr="007A3B13">
        <w:t xml:space="preserve">Anamnestisch chronische Gastritis </w:t>
      </w:r>
    </w:p>
    <w:p w14:paraId="3CB2DB3C" w14:textId="77777777" w:rsidR="007A3B13" w:rsidRPr="007A3B13" w:rsidRDefault="007A3B13" w:rsidP="007A3B13">
      <w:pPr>
        <w:numPr>
          <w:ilvl w:val="0"/>
          <w:numId w:val="1"/>
        </w:numPr>
      </w:pPr>
      <w:r w:rsidRPr="007A3B13">
        <w:t xml:space="preserve">Z.n. Bursitis-OP in der li. Ellbogen, 12/2015 </w:t>
      </w:r>
    </w:p>
    <w:p w14:paraId="34916F37" w14:textId="77777777" w:rsidR="007A3B13" w:rsidRPr="007A3B13" w:rsidRDefault="007A3B13" w:rsidP="007A3B13">
      <w:r w:rsidRPr="007A3B13">
        <w:br/>
      </w:r>
      <w:r w:rsidRPr="007A3B13">
        <w:br/>
      </w:r>
      <w:r w:rsidRPr="007A3B13">
        <w:rPr>
          <w:b/>
          <w:bCs/>
        </w:rPr>
        <w:t>Therapiehistorie</w:t>
      </w:r>
      <w:r w:rsidRPr="007A3B13">
        <w:t xml:space="preserve"> </w:t>
      </w:r>
    </w:p>
    <w:p w14:paraId="4A646E0B" w14:textId="77777777" w:rsidR="007A3B13" w:rsidRPr="007A3B13" w:rsidRDefault="00957285" w:rsidP="007A3B13">
      <w:r>
        <w:rPr>
          <w:noProof/>
        </w:rPr>
      </w:r>
      <w:r>
        <w:pict w14:anchorId="7F601A12">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9DE6667" w14:textId="77777777" w:rsidR="007A3B13" w:rsidRPr="007A3B13" w:rsidRDefault="007A3B13" w:rsidP="007A3B13">
      <w:r w:rsidRPr="007A3B13">
        <w:rPr>
          <w:u w:val="single"/>
        </w:rPr>
        <w:t>Dauermedikation:</w:t>
      </w:r>
    </w:p>
    <w:p w14:paraId="340B3F0E" w14:textId="77777777" w:rsidR="007A3B13" w:rsidRPr="007A3B13" w:rsidRDefault="007A3B13" w:rsidP="007A3B13">
      <w:r w:rsidRPr="007A3B13">
        <w:t>Upadacitinib 15 mg 1-0-0  </w:t>
      </w:r>
    </w:p>
    <w:p w14:paraId="2E7EDA6C" w14:textId="77777777" w:rsidR="007A3B13" w:rsidRPr="007A3B13" w:rsidRDefault="007A3B13" w:rsidP="007A3B13">
      <w:r w:rsidRPr="007A3B13">
        <w:lastRenderedPageBreak/>
        <w:t>Pantoprazol 20mg 1-0-0</w:t>
      </w:r>
    </w:p>
    <w:p w14:paraId="538E2F02" w14:textId="77777777" w:rsidR="007A3B13" w:rsidRPr="007A3B13" w:rsidRDefault="007A3B13" w:rsidP="007A3B13">
      <w:r w:rsidRPr="007A3B13">
        <w:t xml:space="preserve">Ibuprofen 800 mg 1-0-1 </w:t>
      </w:r>
    </w:p>
    <w:p w14:paraId="10AE4E66" w14:textId="77777777" w:rsidR="007A3B13" w:rsidRPr="007A3B13" w:rsidRDefault="007A3B13" w:rsidP="007A3B13">
      <w:r w:rsidRPr="007A3B13">
        <w:t>Ramilich 5 mg 1-0-1/2</w:t>
      </w:r>
    </w:p>
    <w:p w14:paraId="0A025D66" w14:textId="77777777" w:rsidR="007A3B13" w:rsidRPr="007A3B13" w:rsidRDefault="007A3B13" w:rsidP="007A3B13">
      <w:r w:rsidRPr="007A3B13">
        <w:t xml:space="preserve">Metoprolol 23,75 mg 1-0-0 </w:t>
      </w:r>
    </w:p>
    <w:p w14:paraId="17C5CA54" w14:textId="77777777" w:rsidR="007A3B13" w:rsidRPr="007A3B13" w:rsidRDefault="007A3B13" w:rsidP="007A3B13">
      <w:r w:rsidRPr="007A3B13">
        <w:t xml:space="preserve">Prednisolon 40 mg 1-0-0 </w:t>
      </w:r>
    </w:p>
    <w:p w14:paraId="19EFBBCE" w14:textId="77777777" w:rsidR="007A3B13" w:rsidRPr="007A3B13" w:rsidRDefault="007A3B13" w:rsidP="007A3B13">
      <w:r w:rsidRPr="007A3B13">
        <w:t> </w:t>
      </w:r>
    </w:p>
    <w:p w14:paraId="1D0485A9" w14:textId="77777777" w:rsidR="007A3B13" w:rsidRPr="007A3B13" w:rsidRDefault="007A3B13" w:rsidP="007A3B13">
      <w:r w:rsidRPr="007A3B13">
        <w:t> </w:t>
      </w:r>
    </w:p>
    <w:p w14:paraId="5188643C" w14:textId="77777777" w:rsidR="007A3B13" w:rsidRPr="007A3B13" w:rsidRDefault="007A3B13" w:rsidP="007A3B13">
      <w:r w:rsidRPr="007A3B13">
        <w:t> </w:t>
      </w:r>
    </w:p>
    <w:p w14:paraId="787A2257" w14:textId="77777777" w:rsidR="007A3B13" w:rsidRPr="007A3B13" w:rsidRDefault="007A3B13" w:rsidP="007A3B13">
      <w:r w:rsidRPr="007A3B13">
        <w:br/>
      </w:r>
      <w:r w:rsidRPr="007A3B13">
        <w:br/>
      </w:r>
      <w:r w:rsidRPr="007A3B13">
        <w:rPr>
          <w:b/>
          <w:bCs/>
        </w:rPr>
        <w:t>Anamnese</w:t>
      </w:r>
      <w:r w:rsidRPr="007A3B13">
        <w:t xml:space="preserve"> </w:t>
      </w:r>
    </w:p>
    <w:p w14:paraId="00846DED" w14:textId="77777777" w:rsidR="007A3B13" w:rsidRPr="007A3B13" w:rsidRDefault="00957285" w:rsidP="007A3B13">
      <w:r>
        <w:rPr>
          <w:noProof/>
        </w:rPr>
      </w:r>
      <w:r>
        <w:pict w14:anchorId="7C1846C0">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379DC8F" w14:textId="77777777" w:rsidR="007A3B13" w:rsidRPr="007A3B13" w:rsidRDefault="007A3B13" w:rsidP="007A3B13">
      <w:r w:rsidRPr="007A3B13">
        <w:t xml:space="preserve">AA: </w:t>
      </w:r>
    </w:p>
    <w:p w14:paraId="250F5463" w14:textId="77777777" w:rsidR="007A3B13" w:rsidRPr="007A3B13" w:rsidRDefault="007A3B13" w:rsidP="007A3B13">
      <w:r w:rsidRPr="007A3B13">
        <w:t>Verlaufskontrolle der rheumatoiden Arthritis unter Golimumab. Aktuell fühle er sich deutlich schlechter. Seit Montag nehme er 40 mg Prednisolon ein und nehme zusätzlich Ibuprofen morgens und abends. Schwellungen sind nicht aufgetreten. Schmerzen bestehen an den Händen, Schultern, Knien. MS 30-60 Minuten. Zunehmende Schmerzen zum Abend hin. Greifen der Hände ist nur schwierig.  </w:t>
      </w:r>
    </w:p>
    <w:p w14:paraId="58251156" w14:textId="77777777" w:rsidR="007A3B13" w:rsidRPr="007A3B13" w:rsidRDefault="007A3B13" w:rsidP="007A3B13">
      <w:r w:rsidRPr="007A3B13">
        <w:t> </w:t>
      </w:r>
    </w:p>
    <w:p w14:paraId="2116F300" w14:textId="77777777" w:rsidR="007A3B13" w:rsidRPr="007A3B13" w:rsidRDefault="007A3B13" w:rsidP="007A3B13">
      <w:r w:rsidRPr="007A3B13">
        <w:t xml:space="preserve">VA: Gewicht 98 kg, abgenommen, keine Übelkeit, kein Erbrechen, Stuhlgang und Wasserlassen ok, keine Infekte, keine Hauterscheinungen, Ausschlag am Rücken, aktuell keine Abszesse. </w:t>
      </w:r>
    </w:p>
    <w:p w14:paraId="087509EA" w14:textId="77777777" w:rsidR="007A3B13" w:rsidRPr="007A3B13" w:rsidRDefault="007A3B13" w:rsidP="007A3B13">
      <w:r w:rsidRPr="007A3B13">
        <w:t> </w:t>
      </w:r>
    </w:p>
    <w:p w14:paraId="0D0A115B" w14:textId="77777777" w:rsidR="007A3B13" w:rsidRPr="007A3B13" w:rsidRDefault="007A3B13" w:rsidP="007A3B13">
      <w:r w:rsidRPr="007A3B13">
        <w:t> </w:t>
      </w:r>
    </w:p>
    <w:p w14:paraId="56487E23" w14:textId="77777777" w:rsidR="007A3B13" w:rsidRPr="007A3B13" w:rsidRDefault="007A3B13" w:rsidP="007A3B13">
      <w:r w:rsidRPr="007A3B13">
        <w:br/>
      </w:r>
      <w:r w:rsidRPr="007A3B13">
        <w:br/>
      </w:r>
      <w:r w:rsidRPr="007A3B13">
        <w:rPr>
          <w:b/>
          <w:bCs/>
        </w:rPr>
        <w:t>Untersuchungsbefund</w:t>
      </w:r>
      <w:r w:rsidRPr="007A3B13">
        <w:t xml:space="preserve"> </w:t>
      </w:r>
    </w:p>
    <w:p w14:paraId="361BF9C1" w14:textId="77777777" w:rsidR="007A3B13" w:rsidRPr="007A3B13" w:rsidRDefault="00957285" w:rsidP="007A3B13">
      <w:r>
        <w:rPr>
          <w:noProof/>
        </w:rPr>
      </w:r>
      <w:r>
        <w:pict w14:anchorId="4E4EA1A0">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49304F" w14:textId="77777777" w:rsidR="007A3B13" w:rsidRPr="007A3B13" w:rsidRDefault="007A3B13" w:rsidP="007A3B13">
      <w:r w:rsidRPr="007A3B13">
        <w:t>Größe: 187cm, Gewicht: 98 kg.</w:t>
      </w:r>
    </w:p>
    <w:p w14:paraId="14CF46AE" w14:textId="77777777" w:rsidR="007A3B13" w:rsidRPr="007A3B13" w:rsidRDefault="007A3B13" w:rsidP="007A3B13">
      <w:r w:rsidRPr="007A3B13">
        <w:t xml:space="preserve">Gelenkstatus: 10 druckschmerzhafte Gelenke, keine Schwellungen </w:t>
      </w:r>
    </w:p>
    <w:p w14:paraId="6ED73DFA" w14:textId="77777777" w:rsidR="007A3B13" w:rsidRPr="007A3B13" w:rsidRDefault="007A3B13" w:rsidP="007A3B13">
      <w:r w:rsidRPr="007A3B13">
        <w:t>Kein Klopfschmerz über WS</w:t>
      </w:r>
    </w:p>
    <w:p w14:paraId="52718592" w14:textId="77777777" w:rsidR="007A3B13" w:rsidRPr="007A3B13" w:rsidRDefault="007A3B13" w:rsidP="007A3B13">
      <w:r w:rsidRPr="007A3B13">
        <w:t>Restliche Untersuchung unauffällig</w:t>
      </w:r>
    </w:p>
    <w:p w14:paraId="681E25A7" w14:textId="77777777" w:rsidR="007A3B13" w:rsidRPr="007A3B13" w:rsidRDefault="007A3B13" w:rsidP="007A3B13">
      <w:r w:rsidRPr="007A3B13">
        <w:lastRenderedPageBreak/>
        <w:t xml:space="preserve">RR 120/70 mmHg, HF 75/min, spO2 98% </w:t>
      </w:r>
    </w:p>
    <w:p w14:paraId="67975BEC" w14:textId="77777777" w:rsidR="007A3B13" w:rsidRPr="007A3B13" w:rsidRDefault="007A3B13" w:rsidP="007A3B13">
      <w:r w:rsidRPr="007A3B13">
        <w:br/>
      </w:r>
      <w:r w:rsidRPr="007A3B13">
        <w:br/>
      </w:r>
      <w:r w:rsidRPr="007A3B13">
        <w:rPr>
          <w:b/>
          <w:bCs/>
        </w:rPr>
        <w:t>Laborwerte</w:t>
      </w:r>
      <w:r w:rsidRPr="007A3B13">
        <w:t xml:space="preserve"> </w:t>
      </w:r>
    </w:p>
    <w:p w14:paraId="34AE47EC" w14:textId="77777777" w:rsidR="007A3B13" w:rsidRPr="007A3B13" w:rsidRDefault="00957285" w:rsidP="007A3B13">
      <w:r>
        <w:rPr>
          <w:noProof/>
        </w:rPr>
      </w:r>
      <w:r>
        <w:pict w14:anchorId="26FECCBB">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D0A04C0" w14:textId="77777777" w:rsidR="007A3B13" w:rsidRPr="007A3B13" w:rsidRDefault="007A3B13" w:rsidP="007A3B13">
      <w:r w:rsidRPr="007A3B13">
        <w:rPr>
          <w:b/>
          <w:bCs/>
          <w:u w:val="single"/>
        </w:rPr>
        <w:t>Kleines BB</w:t>
      </w:r>
      <w:r w:rsidRPr="007A3B13">
        <w:t>: Hämoglobin 14,9 g/dl (13,5 - 17,5 g/dl), Hämatokrit 44,2 % (39 - 51 %), Erythrozyten 4,92 x 10</w:t>
      </w:r>
      <w:r w:rsidRPr="007A3B13">
        <w:rPr>
          <w:vertAlign w:val="superscript"/>
        </w:rPr>
        <w:t>6</w:t>
      </w:r>
      <w:r w:rsidRPr="007A3B13">
        <w:t>/µl (4,4 - 5,8 x 10</w:t>
      </w:r>
      <w:r w:rsidRPr="007A3B13">
        <w:rPr>
          <w:vertAlign w:val="superscript"/>
        </w:rPr>
        <w:t>6</w:t>
      </w:r>
      <w:r w:rsidRPr="007A3B13">
        <w:t>/µl), Leukozyten 8,25 x 10</w:t>
      </w:r>
      <w:r w:rsidRPr="007A3B13">
        <w:rPr>
          <w:vertAlign w:val="superscript"/>
        </w:rPr>
        <w:t>3</w:t>
      </w:r>
      <w:r w:rsidRPr="007A3B13">
        <w:t>/µl (4 - 10 x 10</w:t>
      </w:r>
      <w:r w:rsidRPr="007A3B13">
        <w:rPr>
          <w:vertAlign w:val="superscript"/>
        </w:rPr>
        <w:t>3</w:t>
      </w:r>
      <w:r w:rsidRPr="007A3B13">
        <w:t>/µl), Thrombozyten 253 x 10</w:t>
      </w:r>
      <w:r w:rsidRPr="007A3B13">
        <w:rPr>
          <w:vertAlign w:val="superscript"/>
        </w:rPr>
        <w:t>3</w:t>
      </w:r>
      <w:r w:rsidRPr="007A3B13">
        <w:t>/µl (140 - 350 x 10</w:t>
      </w:r>
      <w:r w:rsidRPr="007A3B13">
        <w:rPr>
          <w:vertAlign w:val="superscript"/>
        </w:rPr>
        <w:t>3</w:t>
      </w:r>
      <w:r w:rsidRPr="007A3B13">
        <w:t xml:space="preserve">/µl), MCH 30,3 pg (27 - 33 pg), MCHC 33,7 g Hb/dl (32 - 36 g Hb/dl), MCV 89,9 fl (81 - 98 fl), MPV 9,6 fl (7,8 - 11 fl), RDW 13,4 % (11,6 - 16,2 %). </w:t>
      </w:r>
    </w:p>
    <w:p w14:paraId="2464EF53" w14:textId="77777777" w:rsidR="007A3B13" w:rsidRPr="007A3B13" w:rsidRDefault="007A3B13" w:rsidP="007A3B13">
      <w:r w:rsidRPr="007A3B13">
        <w:rPr>
          <w:b/>
          <w:bCs/>
          <w:u w:val="single"/>
        </w:rPr>
        <w:t>Diff. BB</w:t>
      </w:r>
      <w:r w:rsidRPr="007A3B13">
        <w:t>: Neutrophile (maschinell) 87,3 %, Eosinophile (maschinell) 0,1 %, Basophile (maschinell) 0,3 %, Lymphozyten (maschinell) 9,9 %, Monozyten (maschinell) 2,5 %, Neutrophile (maschinell) Absolut 7,2 x 10</w:t>
      </w:r>
      <w:r w:rsidRPr="007A3B13">
        <w:rPr>
          <w:vertAlign w:val="superscript"/>
        </w:rPr>
        <w:t>3</w:t>
      </w:r>
      <w:r w:rsidRPr="007A3B13">
        <w:t>/µl (1,6 - 7,8 x 10</w:t>
      </w:r>
      <w:r w:rsidRPr="007A3B13">
        <w:rPr>
          <w:vertAlign w:val="superscript"/>
        </w:rPr>
        <w:t>3</w:t>
      </w:r>
      <w:r w:rsidRPr="007A3B13">
        <w:t>/µl), Eosinophile (maschinell) Absolut 0 x 10</w:t>
      </w:r>
      <w:r w:rsidRPr="007A3B13">
        <w:rPr>
          <w:vertAlign w:val="superscript"/>
        </w:rPr>
        <w:t>3</w:t>
      </w:r>
      <w:r w:rsidRPr="007A3B13">
        <w:t>/µl (0 - 0,5 x 10</w:t>
      </w:r>
      <w:r w:rsidRPr="007A3B13">
        <w:rPr>
          <w:vertAlign w:val="superscript"/>
        </w:rPr>
        <w:t>3</w:t>
      </w:r>
      <w:r w:rsidRPr="007A3B13">
        <w:t>/µl), Basophile (maschinell) Absolut 0,0 x 10</w:t>
      </w:r>
      <w:r w:rsidRPr="007A3B13">
        <w:rPr>
          <w:vertAlign w:val="superscript"/>
        </w:rPr>
        <w:t>3</w:t>
      </w:r>
      <w:r w:rsidRPr="007A3B13">
        <w:t>/µl (0 - 0,1 x 10</w:t>
      </w:r>
      <w:r w:rsidRPr="007A3B13">
        <w:rPr>
          <w:vertAlign w:val="superscript"/>
        </w:rPr>
        <w:t>3</w:t>
      </w:r>
      <w:r w:rsidRPr="007A3B13">
        <w:t xml:space="preserve">/µl), </w:t>
      </w:r>
      <w:r w:rsidRPr="007A3B13">
        <w:rPr>
          <w:b/>
          <w:bCs/>
        </w:rPr>
        <w:t>Lymphozyten (maschinell) Absolut 0,8 x 10</w:t>
      </w:r>
      <w:r w:rsidRPr="007A3B13">
        <w:rPr>
          <w:b/>
          <w:bCs/>
          <w:vertAlign w:val="superscript"/>
        </w:rPr>
        <w:t>3</w:t>
      </w:r>
      <w:r w:rsidRPr="007A3B13">
        <w:rPr>
          <w:b/>
          <w:bCs/>
        </w:rPr>
        <w:t>/µl</w:t>
      </w:r>
      <w:r w:rsidRPr="007A3B13">
        <w:t xml:space="preserve"> (1 - 3,5 x 10</w:t>
      </w:r>
      <w:r w:rsidRPr="007A3B13">
        <w:rPr>
          <w:vertAlign w:val="superscript"/>
        </w:rPr>
        <w:t>3</w:t>
      </w:r>
      <w:r w:rsidRPr="007A3B13">
        <w:t>/µl), Monozyten (maschinell) Absolut 0,2 x 10</w:t>
      </w:r>
      <w:r w:rsidRPr="007A3B13">
        <w:rPr>
          <w:vertAlign w:val="superscript"/>
        </w:rPr>
        <w:t>3</w:t>
      </w:r>
      <w:r w:rsidRPr="007A3B13">
        <w:t>/µl (0,1 - 0,9 x 10</w:t>
      </w:r>
      <w:r w:rsidRPr="007A3B13">
        <w:rPr>
          <w:vertAlign w:val="superscript"/>
        </w:rPr>
        <w:t>3</w:t>
      </w:r>
      <w:r w:rsidRPr="007A3B13">
        <w:t xml:space="preserve">/µl), </w:t>
      </w:r>
    </w:p>
    <w:p w14:paraId="4F3E181F" w14:textId="77777777" w:rsidR="007A3B13" w:rsidRPr="007A3B13" w:rsidRDefault="007A3B13" w:rsidP="007A3B13">
      <w:r w:rsidRPr="007A3B13">
        <w:rPr>
          <w:b/>
          <w:bCs/>
          <w:u w:val="single"/>
        </w:rPr>
        <w:t>Serumchemie</w:t>
      </w:r>
      <w:r w:rsidRPr="007A3B13">
        <w:t xml:space="preserve">: Kalium 4,3 mmol/l (3,6 - 4,8 mmol/l), Natrium 139 mmol/l (135 - 145 mmol/l), Kreatinin 0,72 mg/dl (0,67 - 1,17 mg/dl), eGFR (Berechnung nach CKD-EPI) 118 ml/min/1,73m², Harnsäure 6,7 mg/dl (3,4 - 7,0 mg/dl), alk. Phosphatase 96 U/l (40 - 130 U/l), ALT / GPT 25 U/l (&lt; 50 U/l), </w:t>
      </w:r>
      <w:r w:rsidRPr="007A3B13">
        <w:rPr>
          <w:b/>
          <w:bCs/>
        </w:rPr>
        <w:t>Gamma-GT 60 U/l</w:t>
      </w:r>
      <w:r w:rsidRPr="007A3B13">
        <w:t xml:space="preserve"> (&lt; 60 U/l), </w:t>
      </w:r>
      <w:r w:rsidRPr="007A3B13">
        <w:rPr>
          <w:b/>
          <w:bCs/>
        </w:rPr>
        <w:t>LDH 265 U/l</w:t>
      </w:r>
      <w:r w:rsidRPr="007A3B13">
        <w:t xml:space="preserve"> (&lt; 250 U/l). </w:t>
      </w:r>
    </w:p>
    <w:p w14:paraId="1C30365B" w14:textId="77777777" w:rsidR="007A3B13" w:rsidRPr="007A3B13" w:rsidRDefault="007A3B13" w:rsidP="007A3B13">
      <w:r w:rsidRPr="007A3B13">
        <w:rPr>
          <w:b/>
          <w:bCs/>
          <w:u w:val="single"/>
        </w:rPr>
        <w:t>Sonstige Serumchemie</w:t>
      </w:r>
      <w:r w:rsidRPr="007A3B13">
        <w:t xml:space="preserve">: Creatin-Kinase (MB) i. P. nicht möglich, Creatin-Kinase 68 U/l (&lt; 190 U/l). eGFR (Berechnung nach CKD-EPI) 118 ml/min/1,73m², </w:t>
      </w:r>
    </w:p>
    <w:p w14:paraId="00A1F36A" w14:textId="77777777" w:rsidR="007A3B13" w:rsidRPr="007A3B13" w:rsidRDefault="007A3B13" w:rsidP="007A3B13">
      <w:r w:rsidRPr="007A3B13">
        <w:rPr>
          <w:b/>
          <w:bCs/>
          <w:u w:val="single"/>
        </w:rPr>
        <w:t>Immunologie</w:t>
      </w:r>
      <w:r w:rsidRPr="007A3B13">
        <w:t xml:space="preserve">: </w:t>
      </w:r>
      <w:r w:rsidRPr="007A3B13">
        <w:rPr>
          <w:b/>
          <w:bCs/>
        </w:rPr>
        <w:t>Rheumafaktor IgG 73,84 IE/ml</w:t>
      </w:r>
      <w:r w:rsidRPr="007A3B13">
        <w:t xml:space="preserve"> (0 - &lt;15 IE/ml), </w:t>
      </w:r>
      <w:r w:rsidRPr="007A3B13">
        <w:rPr>
          <w:b/>
          <w:bCs/>
        </w:rPr>
        <w:t>C-reaktives Protein 9,7 mg/l</w:t>
      </w:r>
      <w:r w:rsidRPr="007A3B13">
        <w:t xml:space="preserve"> (-&lt;5,2 mg/l), </w:t>
      </w:r>
      <w:r w:rsidRPr="007A3B13">
        <w:rPr>
          <w:b/>
          <w:bCs/>
        </w:rPr>
        <w:t>Hoch sensitives CRP 7,34 mg/l</w:t>
      </w:r>
      <w:r w:rsidRPr="007A3B13">
        <w:t xml:space="preserve"> (&lt; 5 mg/l), </w:t>
      </w:r>
    </w:p>
    <w:p w14:paraId="6003DF61" w14:textId="77777777" w:rsidR="007A3B13" w:rsidRPr="007A3B13" w:rsidRDefault="007A3B13" w:rsidP="007A3B13">
      <w:r w:rsidRPr="007A3B13">
        <w:br/>
      </w:r>
      <w:r w:rsidRPr="007A3B13">
        <w:br/>
      </w:r>
      <w:r w:rsidRPr="007A3B13">
        <w:rPr>
          <w:b/>
          <w:bCs/>
        </w:rPr>
        <w:t>Befunde</w:t>
      </w:r>
      <w:r w:rsidRPr="007A3B13">
        <w:t xml:space="preserve"> </w:t>
      </w:r>
    </w:p>
    <w:p w14:paraId="0F9D7D16" w14:textId="77777777" w:rsidR="007A3B13" w:rsidRPr="007A3B13" w:rsidRDefault="00957285" w:rsidP="007A3B13">
      <w:r>
        <w:rPr>
          <w:noProof/>
        </w:rPr>
      </w:r>
      <w:r>
        <w:pict w14:anchorId="0F381227">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D462B3" w14:textId="77777777" w:rsidR="007A3B13" w:rsidRPr="007A3B13" w:rsidRDefault="007A3B13" w:rsidP="007A3B13">
      <w:r w:rsidRPr="007A3B13">
        <w:rPr>
          <w:b/>
          <w:bCs/>
          <w:u w:val="single"/>
        </w:rPr>
        <w:t>FAPI PET/CT mit CT low dose vom 16.07.2021:</w:t>
      </w:r>
      <w:r w:rsidRPr="007A3B13">
        <w:t> </w:t>
      </w:r>
    </w:p>
    <w:p w14:paraId="19DB3F3A" w14:textId="77777777" w:rsidR="007A3B13" w:rsidRPr="007A3B13" w:rsidRDefault="007A3B13" w:rsidP="007A3B13">
      <w:r w:rsidRPr="007A3B13">
        <w:t xml:space="preserve">Befund: Voraufnahmen zum Vergleich verfügbar: Hand-MRT rechts nativ und mit KM vom 04.11.2019. Halsweichteile: Soweit erfasst Nasennebenhöhlen und Mastoidzellen frei pneumatisiert. Symmetrische Darstellung der zervikalen Weichteile. Keine pathologisch vergrößerten oder Radiopharmakon mehrspeichernde Lymphknoten zervikal beidseits. Unauffällige Konfiguration der Schilddrüse. Thorax: Keine pathologisch vergrößerten oder Radiopharmakon mehrspeichernde Lymphknoten beidseits axillär, periklavikulär, mediastinal oder hilär. Kein Perikard- oder Pleuraerguss. Dystelektatische </w:t>
      </w:r>
      <w:r w:rsidRPr="007A3B13">
        <w:lastRenderedPageBreak/>
        <w:t xml:space="preserve">Zeichenvermehrung. Kein malignitätssuspekte pulmonaler Rundherd. Keine Infiltrate. Symmetrische beidseits axilläre subkutane Verdichtung mit gesteigerte Nuklid Mehrbelegung, am ehesten reaktiv bedingt. Abdomen: Leber mit glatter Außenkontur, kein Hinweis auf fokale Hypodensitäten. Homogene Nuklidverteilung (SUVmean 0,9). Keine Cholestasezeichen. Gallenblase zartwandig, flüssigkeitsgefüllt und ohne röntgendichtes Konkrement. Milz unauffällig. Pancreas regelrecht lobuliert, keine Aufweitung des Pankreasganges. Nebennieren beidseits zart. Orthotop gelegene Nieren, kein Harnaufstau. Sigmadivertikulose mit kräftig gesteigerte Nuklid Mehrbelegung (Bild 137, SUVmax 10,7). Keine pathologisch vergrößerten oder Radiopharmakon mehrspeichernde Lymphknoten abdominell oder inguinal beidseits. Keine freie abdominelle Luft oder Flüssigkeit. Muskuloskelettale System: Flaue FAPI Anreicherung im Ansatz des Musculus Subscapularis links (Bild 35, SUVmax 3,0). Ebenfalls fokal gesteigerte Nuklid Mehranreicherung am Epicondylus lateralis und medialis des linken Humerus. Gesteigerte Nuklidanreicherung in Projektion auf den Ansatz des Musculus triceps brachii rechts. Geringer Erguss in der Bursa suprapatellaris beidseits mit flauer Nuklidmehrspeicherung (Bild 231, SUVmax 2,9). Gesteigerte flächige Nuklidanreicherung einer Musculus bizeps femoris caput breve links (Bild 228, SUVmax 5,0). Geringe gesteigerte Traceranreicherung in Muskelansatz des Musculus quadrizeps femoris links. Subkutane Verdichtung mit gesteigerter Nuklidanreicherung ventral der Ansatzsehne des Musculus quadrizeps femoris rechts (Bild 242, SUVmax 3,9). Fokal gesteigerte Nuklid Speicherung in den Musculi interossei plantares rechts (SUVmax 3,4), betont am 3. und 4. Zehenstrahl. Rechte Hand: Regelrechte Konfiguration und Stellung von distalem Radius und Ulna mit kräftiger FAPI-Speicherung im angrenzenden Weichteilgewebe (SUVmax 5,1). Regelrechte Konfiguration und Stellung der Ossa Carpalia, kleine zystische Läsion im distalen Scaphoid Pol. Weitere FAPI-Mehrspeicherung am PIP des Digitus 2 (SUVmax 3,1). Gesteigerte FAPI-Belegung in der Flexoren- und Extensorenloge. Linke Hand: Regelrechte Konfiguration und Stellung von distalem Radius und Ulna mit deutlich gesteigerter FAPI-Speicherung im angrenzenden Weichteilgewebe (SUVmax 3,9). Regelrechte Konfiguration und Stellung der Ossa Carpalia. Ebenfalls gesteigerte FAPI-Speicherung in der Flexoren- ujd Extensorenloge. </w:t>
      </w:r>
    </w:p>
    <w:p w14:paraId="0B155184" w14:textId="77777777" w:rsidR="007A3B13" w:rsidRPr="007A3B13" w:rsidRDefault="007A3B13" w:rsidP="007A3B13">
      <w:r w:rsidRPr="007A3B13">
        <w:t>Beurteilung: Bei bekannter seropositiver RA mit Schmerzen in den Schulterglenken, Ellenbogen, Händen und Knien beidseits gesteigerte FAPI-Anreicherung im Sinne einer erhöhten Fibroblastenaktivität in der Flexoren-und Extensorenloge beider Hände, im Musculus bizeps femoris caput breve links sowie in der Patellasehne bds., in den Ellenbogengelenken bds. und deutlich geringer ausgeprägt im linken Schultergelenk. NB: Sigmadivertikulose mit deutlich gesteigerter FAPI-Belegung.</w:t>
      </w:r>
    </w:p>
    <w:p w14:paraId="4BE4E655" w14:textId="77777777" w:rsidR="007A3B13" w:rsidRPr="007A3B13" w:rsidRDefault="007A3B13" w:rsidP="007A3B13">
      <w:r w:rsidRPr="007A3B13">
        <w:br/>
      </w:r>
      <w:r w:rsidRPr="007A3B13">
        <w:br/>
      </w:r>
      <w:r w:rsidRPr="007A3B13">
        <w:rPr>
          <w:b/>
          <w:bCs/>
        </w:rPr>
        <w:t>Verlauf und Beurteilung</w:t>
      </w:r>
      <w:r w:rsidRPr="007A3B13">
        <w:t xml:space="preserve"> </w:t>
      </w:r>
    </w:p>
    <w:p w14:paraId="27651941" w14:textId="77777777" w:rsidR="007A3B13" w:rsidRPr="007A3B13" w:rsidRDefault="00957285" w:rsidP="007A3B13">
      <w:r>
        <w:rPr>
          <w:noProof/>
        </w:rPr>
      </w:r>
      <w:r>
        <w:pict w14:anchorId="46F24993">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86AC4D" w14:textId="77777777" w:rsidR="007A3B13" w:rsidRPr="007A3B13" w:rsidRDefault="007A3B13" w:rsidP="007A3B13">
      <w:r w:rsidRPr="007A3B13">
        <w:lastRenderedPageBreak/>
        <w:t xml:space="preserve">Klinisch fanden sich 10 druckschmerzhafte Gelenke ohne Schwellungen. </w:t>
      </w:r>
    </w:p>
    <w:p w14:paraId="058CF013" w14:textId="77777777" w:rsidR="007A3B13" w:rsidRPr="007A3B13" w:rsidRDefault="007A3B13" w:rsidP="007A3B13">
      <w:r w:rsidRPr="007A3B13">
        <w:t xml:space="preserve">Serologisch zeigten sich keine Auffälligkeiten bis auf leicht erhöhte Entzündungswerten, die zwar fallend zu den Vorwerten waren, aber aktuell auch unter einer Stoßtherapie mit 40 mg Prednisolon auftraten. </w:t>
      </w:r>
    </w:p>
    <w:p w14:paraId="0AE2C42D" w14:textId="77777777" w:rsidR="007A3B13" w:rsidRPr="007A3B13" w:rsidRDefault="007A3B13" w:rsidP="007A3B13">
      <w:r w:rsidRPr="007A3B13">
        <w:t>Im FAPI-PET-CT fand sich eine gesteigerte Kontrastmittelanreicherung in der Flexoren- und Extensorenloge beider Hände, Schulter- und Oberschenkelgelenk links sowie Patellasehnen und Ellenbogengelenke bds. im Sinne einer gesteigerten Aktivität der Grunderkrankung. Die Befunde korrelieren mit den Schmerzstellen des Patienten.</w:t>
      </w:r>
    </w:p>
    <w:p w14:paraId="388C9976" w14:textId="77777777" w:rsidR="007A3B13" w:rsidRPr="007A3B13" w:rsidRDefault="007A3B13" w:rsidP="007A3B13">
      <w:r w:rsidRPr="007A3B13">
        <w:t>In der Zusammenschau der Befunde ist die Grunderkrankung weiterhin aktiv.</w:t>
      </w:r>
    </w:p>
    <w:p w14:paraId="04E816AB" w14:textId="77777777" w:rsidR="007A3B13" w:rsidRPr="007A3B13" w:rsidRDefault="007A3B13" w:rsidP="007A3B13">
      <w:r w:rsidRPr="007A3B13">
        <w:t xml:space="preserve">Wir empfehlen daher eine Umstellung der medikamentösen Therapie auf Upadacitinib 15 mg 1-0-0. Hierzu wurde der Patient ausführlich aufgeklärt und ein Informationsblatt der Dgrh ausgehändigt. </w:t>
      </w:r>
    </w:p>
    <w:p w14:paraId="56BA4695" w14:textId="77777777" w:rsidR="007A3B13" w:rsidRPr="007A3B13" w:rsidRDefault="007A3B13" w:rsidP="007A3B13">
      <w:r w:rsidRPr="007A3B13">
        <w:t xml:space="preserve">Prednisolon sollte schrittweise reduziert werden. Wir weisen daraufhin, Ibuprofen nicht täglich einzunehmen und nur in Verbindung mit einem Magenschutz. Alternativ kann die Therapie mit Novalgin 500 mg max. 4-6 x tgl. kombiniert werden. </w:t>
      </w:r>
    </w:p>
    <w:p w14:paraId="43329F44" w14:textId="77777777" w:rsidR="007A3B13" w:rsidRPr="007A3B13" w:rsidRDefault="007A3B13" w:rsidP="007A3B13">
      <w:r w:rsidRPr="007A3B13">
        <w:t xml:space="preserve">Eine WV sollte in 3 Monaten erfolgen. Zur Verlaufskontrolle wurde bereits ein FAPI-PET-CT in 3 Monaten vereinbart. </w:t>
      </w:r>
    </w:p>
    <w:p w14:paraId="0814C514" w14:textId="77777777" w:rsidR="007A3B13" w:rsidRPr="007A3B13" w:rsidRDefault="007A3B13" w:rsidP="007A3B13">
      <w:r w:rsidRPr="007A3B13">
        <w:t> </w:t>
      </w:r>
    </w:p>
    <w:p w14:paraId="1FD94DC9" w14:textId="77777777" w:rsidR="007A3B13" w:rsidRPr="007A3B13" w:rsidRDefault="007A3B13" w:rsidP="007A3B13">
      <w:r w:rsidRPr="007A3B13">
        <w:t> </w:t>
      </w:r>
      <w:r w:rsidRPr="007A3B13">
        <w:rPr>
          <w:b/>
          <w:bCs/>
          <w:u w:val="single"/>
        </w:rPr>
        <w:t>Wegen der immunsuppressiven Therapie bitten wir um Beachtung:</w:t>
      </w:r>
      <w:r w:rsidRPr="007A3B13">
        <w:t xml:space="preserve"> </w:t>
      </w:r>
    </w:p>
    <w:p w14:paraId="6E89D05D" w14:textId="77777777" w:rsidR="007A3B13" w:rsidRPr="007A3B13" w:rsidRDefault="007A3B13" w:rsidP="007A3B13">
      <w:r w:rsidRPr="007A3B13">
        <w:t> </w:t>
      </w:r>
    </w:p>
    <w:p w14:paraId="380B7067" w14:textId="77777777" w:rsidR="007A3B13" w:rsidRPr="007A3B13" w:rsidRDefault="007A3B13" w:rsidP="007A3B13">
      <w:pPr>
        <w:numPr>
          <w:ilvl w:val="0"/>
          <w:numId w:val="2"/>
        </w:numPr>
      </w:pPr>
      <w:r w:rsidRPr="007A3B13">
        <w:t xml:space="preserve">Bei Fieber, Schüttelfrost und/oder grippeartigen Symptomen sollte unmittelbar eine ärztliche Vorstellung erfolgen.   </w:t>
      </w:r>
    </w:p>
    <w:p w14:paraId="29E3F98F" w14:textId="77777777" w:rsidR="007A3B13" w:rsidRPr="007A3B13" w:rsidRDefault="007A3B13" w:rsidP="007A3B13">
      <w:r w:rsidRPr="007A3B13">
        <w:t> </w:t>
      </w:r>
    </w:p>
    <w:p w14:paraId="29E9AA22" w14:textId="77777777" w:rsidR="007A3B13" w:rsidRPr="007A3B13" w:rsidRDefault="007A3B13" w:rsidP="007A3B13">
      <w:pPr>
        <w:numPr>
          <w:ilvl w:val="0"/>
          <w:numId w:val="3"/>
        </w:numPr>
      </w:pPr>
      <w:r w:rsidRPr="007A3B13">
        <w:t xml:space="preserve">Die STIKO empfiehlt folgende Impfungen vor/während einer immunsuppressiven Therapie:   </w:t>
      </w:r>
    </w:p>
    <w:p w14:paraId="0430A343" w14:textId="77777777" w:rsidR="007A3B13" w:rsidRPr="007A3B13" w:rsidRDefault="007A3B13" w:rsidP="007A3B13">
      <w:pPr>
        <w:numPr>
          <w:ilvl w:val="1"/>
          <w:numId w:val="3"/>
        </w:numPr>
      </w:pPr>
      <w:r w:rsidRPr="007A3B13">
        <w:rPr>
          <w:b/>
          <w:bCs/>
          <w:i/>
          <w:iCs/>
        </w:rPr>
        <w:t xml:space="preserve">Diphtherie, Pertussis und Tetanus: </w:t>
      </w:r>
      <w:r w:rsidRPr="007A3B13">
        <w:t xml:space="preserve">Totimpfstoff - In der Regel im Rahmen einer DPT-(Diphtherie-Pertussis-Tetanus)-Kombinationsimpfung. </w:t>
      </w:r>
      <w:r w:rsidRPr="007A3B13">
        <w:rPr>
          <w:i/>
          <w:iCs/>
        </w:rPr>
        <w:t>Eine Impfung ist auch während der immunsuppressiven Therapie möglich. </w:t>
      </w:r>
      <w:r w:rsidRPr="007A3B13">
        <w:t xml:space="preserve"> </w:t>
      </w:r>
    </w:p>
    <w:p w14:paraId="58F3EAB3" w14:textId="77777777" w:rsidR="007A3B13" w:rsidRPr="007A3B13" w:rsidRDefault="007A3B13" w:rsidP="007A3B13">
      <w:pPr>
        <w:numPr>
          <w:ilvl w:val="1"/>
          <w:numId w:val="3"/>
        </w:numPr>
      </w:pPr>
      <w:r w:rsidRPr="007A3B13">
        <w:rPr>
          <w:b/>
          <w:bCs/>
          <w:i/>
          <w:iCs/>
        </w:rPr>
        <w:t>Hepatitis B:</w:t>
      </w:r>
      <w:r w:rsidRPr="007A3B13">
        <w:t xml:space="preserve"> Totimpfstoff - Eine Impfung wird für alle Patienten ohne bestehenden Hepatitis-B-Schutz empfohlen. </w:t>
      </w:r>
      <w:r w:rsidRPr="007A3B13">
        <w:rPr>
          <w:i/>
          <w:iCs/>
        </w:rPr>
        <w:t xml:space="preserve">Eine Impfung ist auch während der immunsuppressiven Therapie möglich. </w:t>
      </w:r>
    </w:p>
    <w:p w14:paraId="207FB90F" w14:textId="77777777" w:rsidR="007A3B13" w:rsidRPr="007A3B13" w:rsidRDefault="007A3B13" w:rsidP="007A3B13">
      <w:pPr>
        <w:numPr>
          <w:ilvl w:val="1"/>
          <w:numId w:val="3"/>
        </w:numPr>
      </w:pPr>
      <w:r w:rsidRPr="007A3B13">
        <w:rPr>
          <w:b/>
          <w:bCs/>
          <w:i/>
          <w:iCs/>
        </w:rPr>
        <w:t>Humane Papillomviren:</w:t>
      </w:r>
      <w:r w:rsidRPr="007A3B13">
        <w:t xml:space="preserve"> Totimpfstoff - Für alle Mädchen im Alter von 12 bis 17 Jahren. Frauen, die innerhalb des empfohlenen Zeitraumes keine Impfung gegen HPV erhalten haben, können ebenfalls von einer Impfung </w:t>
      </w:r>
      <w:r w:rsidRPr="007A3B13">
        <w:lastRenderedPageBreak/>
        <w:t xml:space="preserve">gegen HPV profitieren. Frauenärztliche Vorsorgeuntersuchung zusätzlich empfohlen. </w:t>
      </w:r>
      <w:r w:rsidRPr="007A3B13">
        <w:rPr>
          <w:i/>
          <w:iCs/>
        </w:rPr>
        <w:t xml:space="preserve">Eine Impfung ist auch während der immunsuppressiven Therapie möglich. </w:t>
      </w:r>
    </w:p>
    <w:p w14:paraId="5EEB3ABB" w14:textId="77777777" w:rsidR="007A3B13" w:rsidRPr="007A3B13" w:rsidRDefault="007A3B13" w:rsidP="007A3B13">
      <w:pPr>
        <w:numPr>
          <w:ilvl w:val="1"/>
          <w:numId w:val="3"/>
        </w:numPr>
      </w:pPr>
      <w:r w:rsidRPr="007A3B13">
        <w:rPr>
          <w:b/>
          <w:bCs/>
          <w:i/>
          <w:iCs/>
        </w:rPr>
        <w:t>Influenza:</w:t>
      </w:r>
      <w:r w:rsidRPr="007A3B13">
        <w:t xml:space="preserve"> Totimpfstoff - Jährlich saisonale Grippeimpfung. </w:t>
      </w:r>
      <w:r w:rsidRPr="007A3B13">
        <w:rPr>
          <w:i/>
          <w:iCs/>
        </w:rPr>
        <w:t xml:space="preserve">Eine Impfung ist auch während der immunsuppressiven Therapie möglich. </w:t>
      </w:r>
    </w:p>
    <w:p w14:paraId="01390050" w14:textId="77777777" w:rsidR="007A3B13" w:rsidRPr="007A3B13" w:rsidRDefault="007A3B13" w:rsidP="007A3B13">
      <w:pPr>
        <w:numPr>
          <w:ilvl w:val="1"/>
          <w:numId w:val="3"/>
        </w:numPr>
      </w:pPr>
      <w:r w:rsidRPr="007A3B13">
        <w:rPr>
          <w:b/>
          <w:bCs/>
          <w:i/>
          <w:iCs/>
        </w:rPr>
        <w:t xml:space="preserve">Meningokokken (Serotyp C): </w:t>
      </w:r>
      <w:r w:rsidRPr="007A3B13">
        <w:t xml:space="preserve">Totimpfstoff - Auch jenseits des Kleinkindalters unter Berücksichtigung des individuellen Risikos empfohlen, da erhöhtes Erkrankungsrisiko. Daten zur Meningokokken-lmpfung unter immunsuppressiver Therapie liegen nicht vor. </w:t>
      </w:r>
      <w:r w:rsidRPr="007A3B13">
        <w:rPr>
          <w:i/>
          <w:iCs/>
        </w:rPr>
        <w:t xml:space="preserve">Eine Impfung ist auch während der immunsuppressiven Therapie möglich. </w:t>
      </w:r>
    </w:p>
    <w:p w14:paraId="02CDB184" w14:textId="77777777" w:rsidR="007A3B13" w:rsidRPr="007A3B13" w:rsidRDefault="007A3B13" w:rsidP="007A3B13">
      <w:pPr>
        <w:numPr>
          <w:ilvl w:val="1"/>
          <w:numId w:val="3"/>
        </w:numPr>
      </w:pPr>
      <w:r w:rsidRPr="007A3B13">
        <w:rPr>
          <w:b/>
          <w:bCs/>
          <w:i/>
          <w:iCs/>
        </w:rPr>
        <w:t>Pneumokokken:</w:t>
      </w:r>
      <w:r w:rsidRPr="007A3B13">
        <w:t xml:space="preserve"> Totimpfstoff - Auch vor dem 60. Lebensjahr empfohlen, da erhöhtes Erkrankungsrisiko. </w:t>
      </w:r>
      <w:r w:rsidRPr="007A3B13">
        <w:rPr>
          <w:i/>
          <w:iCs/>
        </w:rPr>
        <w:t>Eine Impfung ist auch während der immunsuppressiven Therapie möglich.</w:t>
      </w:r>
      <w:r w:rsidRPr="007A3B13">
        <w:t xml:space="preserve"> </w:t>
      </w:r>
    </w:p>
    <w:p w14:paraId="281FCE20" w14:textId="77777777" w:rsidR="007A3B13" w:rsidRPr="007A3B13" w:rsidRDefault="007A3B13" w:rsidP="007A3B13">
      <w:pPr>
        <w:numPr>
          <w:ilvl w:val="1"/>
          <w:numId w:val="3"/>
        </w:numPr>
      </w:pPr>
      <w:r w:rsidRPr="007A3B13">
        <w:rPr>
          <w:b/>
          <w:bCs/>
          <w:i/>
          <w:iCs/>
        </w:rPr>
        <w:t xml:space="preserve">Poliomyelitis (IPV): </w:t>
      </w:r>
      <w:r w:rsidRPr="007A3B13">
        <w:t>Totimpfstoff - Eingesetzt wird ein Injektions-lmpfstoff! Die früher gebräuchliche orale Polio-Vakzine (OPV) wird grundsätzlich nicht mehr empfohlen. </w:t>
      </w:r>
      <w:r w:rsidRPr="007A3B13">
        <w:rPr>
          <w:i/>
          <w:iCs/>
        </w:rPr>
        <w:t xml:space="preserve">Eine Impfung ist auch während der immunsuppressiven Therapie möglich. </w:t>
      </w:r>
    </w:p>
    <w:p w14:paraId="6733774D" w14:textId="77777777" w:rsidR="007A3B13" w:rsidRPr="007A3B13" w:rsidRDefault="007A3B13" w:rsidP="007A3B13">
      <w:pPr>
        <w:numPr>
          <w:ilvl w:val="1"/>
          <w:numId w:val="3"/>
        </w:numPr>
      </w:pPr>
      <w:r w:rsidRPr="007A3B13">
        <w:rPr>
          <w:b/>
          <w:bCs/>
          <w:i/>
          <w:iCs/>
        </w:rPr>
        <w:t>Masern, Mumps, Röteln:</w:t>
      </w:r>
      <w:r w:rsidRPr="007A3B13">
        <w:t xml:space="preserve"> Lebendimpfstoffe - </w:t>
      </w:r>
      <w:r w:rsidRPr="007A3B13">
        <w:rPr>
          <w:i/>
          <w:iCs/>
          <w:u w:val="single"/>
        </w:rPr>
        <w:t>Nur VOR einer immunsuppressiven Therapie, sonst kontraindiziert!</w:t>
      </w:r>
      <w:r w:rsidRPr="007A3B13">
        <w:t xml:space="preserve"> </w:t>
      </w:r>
    </w:p>
    <w:p w14:paraId="3C74B614" w14:textId="77777777" w:rsidR="007A3B13" w:rsidRPr="007A3B13" w:rsidRDefault="007A3B13" w:rsidP="007A3B13">
      <w:pPr>
        <w:numPr>
          <w:ilvl w:val="1"/>
          <w:numId w:val="3"/>
        </w:numPr>
      </w:pPr>
      <w:r w:rsidRPr="007A3B13">
        <w:rPr>
          <w:b/>
          <w:bCs/>
          <w:i/>
          <w:iCs/>
        </w:rPr>
        <w:t>Varizellen (VZV):</w:t>
      </w:r>
      <w:r w:rsidRPr="007A3B13">
        <w:rPr>
          <w:i/>
          <w:iCs/>
        </w:rPr>
        <w:t xml:space="preserve"> </w:t>
      </w:r>
      <w:r w:rsidRPr="007A3B13">
        <w:t xml:space="preserve">Lebendimpfstoffe - </w:t>
      </w:r>
      <w:r w:rsidRPr="007A3B13">
        <w:rPr>
          <w:i/>
          <w:iCs/>
          <w:u w:val="single"/>
        </w:rPr>
        <w:t>Nur VOR einer immunsuppressiven Therapie, sonst kontraindiziert!</w:t>
      </w:r>
      <w:r w:rsidRPr="007A3B13">
        <w:t xml:space="preserve"> </w:t>
      </w:r>
    </w:p>
    <w:p w14:paraId="6479EB0A" w14:textId="77777777" w:rsidR="007A3B13" w:rsidRPr="007A3B13" w:rsidRDefault="007A3B13" w:rsidP="007A3B13">
      <w:r w:rsidRPr="007A3B13">
        <w:br/>
      </w:r>
      <w:r w:rsidRPr="007A3B13">
        <w:br/>
      </w:r>
      <w:r w:rsidRPr="007A3B13">
        <w:rPr>
          <w:b/>
          <w:bCs/>
        </w:rPr>
        <w:t>Schluss</w:t>
      </w:r>
      <w:r w:rsidRPr="007A3B13">
        <w:t xml:space="preserve"> </w:t>
      </w:r>
    </w:p>
    <w:p w14:paraId="343ACD4E" w14:textId="77777777" w:rsidR="007A3B13" w:rsidRPr="007A3B13" w:rsidRDefault="00957285" w:rsidP="007A3B13">
      <w:r>
        <w:rPr>
          <w:noProof/>
        </w:rPr>
      </w:r>
      <w:r>
        <w:pict w14:anchorId="7896037A">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EE2E7AD" w14:textId="77777777" w:rsidR="007A3B13" w:rsidRPr="007A3B13" w:rsidRDefault="007A3B13" w:rsidP="007A3B13">
      <w:r w:rsidRPr="007A3B13">
        <w:t>Mit freundlichen kollegialen Grüßen</w:t>
      </w:r>
    </w:p>
    <w:p w14:paraId="71DEB67B" w14:textId="77777777" w:rsidR="007A3B13" w:rsidRPr="007A3B13" w:rsidRDefault="007A3B13" w:rsidP="007A3B13">
      <w:r w:rsidRPr="007A3B13">
        <w:t> </w:t>
      </w:r>
    </w:p>
    <w:p w14:paraId="080B7656" w14:textId="77777777" w:rsidR="007A3B13" w:rsidRPr="007A3B13" w:rsidRDefault="007A3B13" w:rsidP="007A3B13">
      <w:r w:rsidRPr="007A3B13">
        <w:t> </w:t>
      </w:r>
    </w:p>
    <w:p w14:paraId="3AC77937" w14:textId="77777777" w:rsidR="007A3B13" w:rsidRPr="007A3B13" w:rsidRDefault="007A3B13" w:rsidP="007A3B13">
      <w:r w:rsidRPr="007A3B13">
        <w:t> </w:t>
      </w:r>
    </w:p>
    <w:p w14:paraId="118200C2" w14:textId="77777777" w:rsidR="007A3B13" w:rsidRPr="007A3B13" w:rsidRDefault="007A3B13" w:rsidP="007A3B13">
      <w:r w:rsidRPr="007A3B13">
        <w:t> </w:t>
      </w:r>
    </w:p>
    <w:tbl>
      <w:tblPr>
        <w:tblW w:w="5000" w:type="pct"/>
        <w:tblCellMar>
          <w:left w:w="0" w:type="dxa"/>
          <w:right w:w="0" w:type="dxa"/>
        </w:tblCellMar>
        <w:tblLook w:val="04A0" w:firstRow="1" w:lastRow="0" w:firstColumn="1" w:lastColumn="0" w:noHBand="0" w:noVBand="1"/>
      </w:tblPr>
      <w:tblGrid>
        <w:gridCol w:w="9072"/>
      </w:tblGrid>
      <w:tr w:rsidR="007A3B13" w:rsidRPr="007A3B13" w14:paraId="68CD0F5C" w14:textId="77777777" w:rsidTr="007A3B13">
        <w:tc>
          <w:tcPr>
            <w:tcW w:w="1700" w:type="pct"/>
            <w:hideMark/>
          </w:tcPr>
          <w:p w14:paraId="4363DAC8" w14:textId="77777777" w:rsidR="007A3B13" w:rsidRPr="007A3B13" w:rsidRDefault="007A3B13" w:rsidP="007A3B13">
            <w:r w:rsidRPr="007A3B13">
              <w:t>Dr. med. A. Kleyer</w:t>
            </w:r>
          </w:p>
        </w:tc>
      </w:tr>
    </w:tbl>
    <w:p w14:paraId="56C5357F"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590C62"/>
    <w:multiLevelType w:val="multilevel"/>
    <w:tmpl w:val="9BEAF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92280"/>
    <w:multiLevelType w:val="multilevel"/>
    <w:tmpl w:val="829E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72265"/>
    <w:multiLevelType w:val="multilevel"/>
    <w:tmpl w:val="65C6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866014">
    <w:abstractNumId w:val="0"/>
  </w:num>
  <w:num w:numId="2" w16cid:durableId="995643802">
    <w:abstractNumId w:val="1"/>
  </w:num>
  <w:num w:numId="3" w16cid:durableId="174275683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13"/>
    <w:rsid w:val="002031B3"/>
    <w:rsid w:val="00453D1E"/>
    <w:rsid w:val="006852C5"/>
    <w:rsid w:val="007A3B13"/>
    <w:rsid w:val="0092470E"/>
    <w:rsid w:val="00957285"/>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2FFC4E5"/>
  <w15:chartTrackingRefBased/>
  <w15:docId w15:val="{0E200E80-0987-47B5-901A-DFA4B245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A3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A3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A3B1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A3B1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A3B1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A3B1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A3B1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A3B1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A3B1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A3B1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A3B1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A3B1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A3B1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A3B1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A3B1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A3B1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A3B1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A3B13"/>
    <w:rPr>
      <w:rFonts w:eastAsiaTheme="majorEastAsia" w:cstheme="majorBidi"/>
      <w:color w:val="272727" w:themeColor="text1" w:themeTint="D8"/>
    </w:rPr>
  </w:style>
  <w:style w:type="paragraph" w:styleId="Titel">
    <w:name w:val="Title"/>
    <w:basedOn w:val="Standard"/>
    <w:next w:val="Standard"/>
    <w:link w:val="TitelZchn"/>
    <w:uiPriority w:val="10"/>
    <w:qFormat/>
    <w:rsid w:val="007A3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A3B1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A3B1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A3B1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A3B1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A3B13"/>
    <w:rPr>
      <w:i/>
      <w:iCs/>
      <w:color w:val="404040" w:themeColor="text1" w:themeTint="BF"/>
    </w:rPr>
  </w:style>
  <w:style w:type="paragraph" w:styleId="Listenabsatz">
    <w:name w:val="List Paragraph"/>
    <w:basedOn w:val="Standard"/>
    <w:uiPriority w:val="34"/>
    <w:qFormat/>
    <w:rsid w:val="007A3B13"/>
    <w:pPr>
      <w:ind w:left="720"/>
      <w:contextualSpacing/>
    </w:pPr>
  </w:style>
  <w:style w:type="character" w:styleId="IntensiveHervorhebung">
    <w:name w:val="Intense Emphasis"/>
    <w:basedOn w:val="Absatz-Standardschriftart"/>
    <w:uiPriority w:val="21"/>
    <w:qFormat/>
    <w:rsid w:val="007A3B13"/>
    <w:rPr>
      <w:i/>
      <w:iCs/>
      <w:color w:val="0F4761" w:themeColor="accent1" w:themeShade="BF"/>
    </w:rPr>
  </w:style>
  <w:style w:type="paragraph" w:styleId="IntensivesZitat">
    <w:name w:val="Intense Quote"/>
    <w:basedOn w:val="Standard"/>
    <w:next w:val="Standard"/>
    <w:link w:val="IntensivesZitatZchn"/>
    <w:uiPriority w:val="30"/>
    <w:qFormat/>
    <w:rsid w:val="007A3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A3B13"/>
    <w:rPr>
      <w:i/>
      <w:iCs/>
      <w:color w:val="0F4761" w:themeColor="accent1" w:themeShade="BF"/>
    </w:rPr>
  </w:style>
  <w:style w:type="character" w:styleId="IntensiverVerweis">
    <w:name w:val="Intense Reference"/>
    <w:basedOn w:val="Absatz-Standardschriftart"/>
    <w:uiPriority w:val="32"/>
    <w:qFormat/>
    <w:rsid w:val="007A3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9753221">
      <w:bodyDiv w:val="1"/>
      <w:marLeft w:val="0"/>
      <w:marRight w:val="0"/>
      <w:marTop w:val="0"/>
      <w:marBottom w:val="0"/>
      <w:divBdr>
        <w:top w:val="none" w:sz="0" w:space="0" w:color="auto"/>
        <w:left w:val="none" w:sz="0" w:space="0" w:color="auto"/>
        <w:bottom w:val="none" w:sz="0" w:space="0" w:color="auto"/>
        <w:right w:val="none" w:sz="0" w:space="0" w:color="auto"/>
      </w:divBdr>
      <w:divsChild>
        <w:div w:id="1165121776">
          <w:marLeft w:val="0"/>
          <w:marRight w:val="0"/>
          <w:marTop w:val="0"/>
          <w:marBottom w:val="0"/>
          <w:divBdr>
            <w:top w:val="none" w:sz="0" w:space="0" w:color="auto"/>
            <w:left w:val="none" w:sz="0" w:space="0" w:color="auto"/>
            <w:bottom w:val="none" w:sz="0" w:space="0" w:color="auto"/>
            <w:right w:val="none" w:sz="0" w:space="0" w:color="auto"/>
          </w:divBdr>
        </w:div>
      </w:divsChild>
    </w:div>
    <w:div w:id="1421754398">
      <w:bodyDiv w:val="1"/>
      <w:marLeft w:val="0"/>
      <w:marRight w:val="0"/>
      <w:marTop w:val="0"/>
      <w:marBottom w:val="0"/>
      <w:divBdr>
        <w:top w:val="none" w:sz="0" w:space="0" w:color="auto"/>
        <w:left w:val="none" w:sz="0" w:space="0" w:color="auto"/>
        <w:bottom w:val="none" w:sz="0" w:space="0" w:color="auto"/>
        <w:right w:val="none" w:sz="0" w:space="0" w:color="auto"/>
      </w:divBdr>
      <w:divsChild>
        <w:div w:id="196359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1435</Words>
  <Characters>9044</Characters>
  <Application>Microsoft Office Word</Application>
  <DocSecurity>0</DocSecurity>
  <Lines>75</Lines>
  <Paragraphs>20</Paragraphs>
  <ScaleCrop>false</ScaleCrop>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2026-09-24T18:15:00Z</dcterms:created>
  <dcterms:modified xsi:type="dcterms:W3CDTF">2026-09-25T22:42:00Z</dcterms:modified>
</cp:coreProperties>
</file>