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5A43C" w14:textId="77777777" w:rsidR="009F333B" w:rsidRPr="009F333B" w:rsidRDefault="009F333B" w:rsidP="009F333B">
      <w:r w:rsidRPr="009F333B">
        <w:rPr>
          <w:b/>
          <w:bCs/>
        </w:rPr>
        <w:t>Anrede</w:t>
      </w:r>
      <w:r w:rsidRPr="009F333B">
        <w:t xml:space="preserve"> </w:t>
      </w:r>
    </w:p>
    <w:p w14:paraId="69FA6F3B" w14:textId="77777777" w:rsidR="009F333B" w:rsidRPr="009F333B" w:rsidRDefault="003322DF" w:rsidP="009F333B">
      <w:r>
        <w:rPr>
          <w:noProof/>
        </w:rPr>
      </w:r>
      <w:r>
        <w:pict w14:anchorId="54F1E4B6">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78A17AE" w14:textId="77777777" w:rsidR="009F333B" w:rsidRPr="009F333B" w:rsidRDefault="009F333B" w:rsidP="009F333B">
      <w:r w:rsidRPr="009F333B">
        <w:t xml:space="preserve">Sehr geehrte Frau Kollegin, sehr geehrter Herr Kollege, </w:t>
      </w:r>
    </w:p>
    <w:p w14:paraId="17BB419C" w14:textId="77777777" w:rsidR="009F333B" w:rsidRPr="009F333B" w:rsidRDefault="009F333B" w:rsidP="009F333B">
      <w:r w:rsidRPr="009F333B">
        <w:t> </w:t>
      </w:r>
    </w:p>
    <w:p w14:paraId="05D0B785" w14:textId="1435A6B3" w:rsidR="009F333B" w:rsidRPr="009F333B" w:rsidRDefault="009F333B" w:rsidP="009F333B">
      <w:r w:rsidRPr="009F333B">
        <w:t>wir berichten über unseren gemeinsamen Patienten</w:t>
      </w:r>
      <w:r w:rsidR="00F850F5">
        <w:t>, 31,</w:t>
      </w:r>
      <w:r w:rsidRPr="009F333B">
        <w:t xml:space="preserve"> der sich am 09.09.2020 ambulant vorstellte.</w:t>
      </w:r>
    </w:p>
    <w:p w14:paraId="331D257C" w14:textId="77777777" w:rsidR="009F333B" w:rsidRPr="009F333B" w:rsidRDefault="009F333B" w:rsidP="009F333B">
      <w:r w:rsidRPr="009F333B">
        <w:br/>
      </w:r>
      <w:r w:rsidRPr="009F333B">
        <w:br/>
      </w:r>
      <w:r w:rsidRPr="009F333B">
        <w:rPr>
          <w:b/>
          <w:bCs/>
        </w:rPr>
        <w:t>Diagnosen</w:t>
      </w:r>
      <w:r w:rsidRPr="009F333B">
        <w:t xml:space="preserve"> </w:t>
      </w:r>
    </w:p>
    <w:p w14:paraId="0033DA6C" w14:textId="77777777" w:rsidR="009F333B" w:rsidRPr="009F333B" w:rsidRDefault="003322DF" w:rsidP="009F333B">
      <w:r>
        <w:rPr>
          <w:noProof/>
        </w:rPr>
      </w:r>
      <w:r>
        <w:pict w14:anchorId="48DAAA04">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4F0293" w14:textId="77777777" w:rsidR="009F333B" w:rsidRPr="009F333B" w:rsidRDefault="009F333B" w:rsidP="009F333B">
      <w:r w:rsidRPr="009F333B">
        <w:t>Rheumatoide Arthritis ED 10/2018 (RF, anti-MCV, anti-CCP positive)  </w:t>
      </w:r>
    </w:p>
    <w:p w14:paraId="5222BB16" w14:textId="77777777" w:rsidR="009F333B" w:rsidRPr="009F333B" w:rsidRDefault="009F333B" w:rsidP="009F333B">
      <w:r w:rsidRPr="009F333B">
        <w:rPr>
          <w:b/>
          <w:bCs/>
        </w:rPr>
        <w:t>Aktuelle Therapie:</w:t>
      </w:r>
      <w:r w:rsidRPr="009F333B">
        <w:t xml:space="preserve"> Methotrexat seit 2018, Dosis variabel, aktuell 10mg p.o./Woche</w:t>
      </w:r>
    </w:p>
    <w:p w14:paraId="1970229F" w14:textId="77777777" w:rsidR="009F333B" w:rsidRPr="009F333B" w:rsidRDefault="009F333B" w:rsidP="009F333B">
      <w:r w:rsidRPr="009F333B">
        <w:br/>
      </w:r>
      <w:r w:rsidRPr="009F333B">
        <w:br/>
      </w:r>
      <w:r w:rsidRPr="009F333B">
        <w:rPr>
          <w:b/>
          <w:bCs/>
        </w:rPr>
        <w:t>Therapiehistorie</w:t>
      </w:r>
      <w:r w:rsidRPr="009F333B">
        <w:t xml:space="preserve"> </w:t>
      </w:r>
    </w:p>
    <w:p w14:paraId="7DECE940" w14:textId="77777777" w:rsidR="009F333B" w:rsidRPr="009F333B" w:rsidRDefault="003322DF" w:rsidP="009F333B">
      <w:r>
        <w:rPr>
          <w:noProof/>
        </w:rPr>
      </w:r>
      <w:r>
        <w:pict w14:anchorId="140FD34C">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4BD4500" w14:textId="77777777" w:rsidR="009F333B" w:rsidRPr="009F333B" w:rsidRDefault="009F333B" w:rsidP="009F333B">
      <w:r w:rsidRPr="009F333B">
        <w:t> </w:t>
      </w:r>
    </w:p>
    <w:p w14:paraId="6C0CB124" w14:textId="77777777" w:rsidR="009F333B" w:rsidRPr="009F333B" w:rsidRDefault="009F333B" w:rsidP="009F333B">
      <w:r w:rsidRPr="009F333B">
        <w:rPr>
          <w:u w:val="single"/>
        </w:rPr>
        <w:t>Dauermedikation:</w:t>
      </w:r>
    </w:p>
    <w:p w14:paraId="3DF4AF5C" w14:textId="77777777" w:rsidR="009F333B" w:rsidRPr="009F333B" w:rsidRDefault="009F333B" w:rsidP="009F333B">
      <w:r w:rsidRPr="009F333B">
        <w:t>MTX 10mg p.o/ Woche</w:t>
      </w:r>
    </w:p>
    <w:p w14:paraId="6EF82ADF" w14:textId="77777777" w:rsidR="009F333B" w:rsidRPr="009F333B" w:rsidRDefault="009F333B" w:rsidP="009F333B">
      <w:r w:rsidRPr="009F333B">
        <w:t>Folsäure 5mg am Folgetag</w:t>
      </w:r>
    </w:p>
    <w:p w14:paraId="41918DAB" w14:textId="77777777" w:rsidR="009F333B" w:rsidRPr="009F333B" w:rsidRDefault="009F333B" w:rsidP="009F333B">
      <w:r w:rsidRPr="009F333B">
        <w:t> </w:t>
      </w:r>
    </w:p>
    <w:p w14:paraId="07F4BF41" w14:textId="77777777" w:rsidR="009F333B" w:rsidRPr="009F333B" w:rsidRDefault="009F333B" w:rsidP="009F333B">
      <w:r w:rsidRPr="009F333B">
        <w:br/>
      </w:r>
      <w:r w:rsidRPr="009F333B">
        <w:br/>
      </w:r>
      <w:r w:rsidRPr="009F333B">
        <w:rPr>
          <w:b/>
          <w:bCs/>
        </w:rPr>
        <w:t>Anamnese</w:t>
      </w:r>
      <w:r w:rsidRPr="009F333B">
        <w:t xml:space="preserve"> </w:t>
      </w:r>
    </w:p>
    <w:p w14:paraId="5359C3D4" w14:textId="77777777" w:rsidR="009F333B" w:rsidRPr="009F333B" w:rsidRDefault="003322DF" w:rsidP="009F333B">
      <w:r>
        <w:rPr>
          <w:noProof/>
        </w:rPr>
      </w:r>
      <w:r>
        <w:pict w14:anchorId="144F6E93">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BA8418" w14:textId="77777777" w:rsidR="009F333B" w:rsidRPr="009F333B" w:rsidRDefault="009F333B" w:rsidP="009F333B">
      <w:r w:rsidRPr="009F333B">
        <w:t xml:space="preserve">Es erfolgte eine ambulante Wiedervorstellung zur Verlaufskontrolle bei bekannter RA. MTX wurde seit ca. 5 Monaten auf 10mg/Wo reduziert, darunter berichtet Herr Pfister von keiner Verschlechterung der Beschwerden. Keine Arthralgien, keine Morgensteifigkeit. Infekte und Fieber werden verneint, weitere vegetative Anamnese unauffällig. Keine Auffälligkeiten von Haut-und Schleimhäuten, keine Augenentzündung. Die Medikation sei gut vertragen. </w:t>
      </w:r>
    </w:p>
    <w:p w14:paraId="4F6A4BA8" w14:textId="77777777" w:rsidR="009F333B" w:rsidRPr="009F333B" w:rsidRDefault="009F333B" w:rsidP="009F333B">
      <w:r w:rsidRPr="009F333B">
        <w:lastRenderedPageBreak/>
        <w:br/>
      </w:r>
      <w:r w:rsidRPr="009F333B">
        <w:br/>
      </w:r>
      <w:r w:rsidRPr="009F333B">
        <w:rPr>
          <w:b/>
          <w:bCs/>
        </w:rPr>
        <w:t>Untersuchungsbefund</w:t>
      </w:r>
      <w:r w:rsidRPr="009F333B">
        <w:t xml:space="preserve"> </w:t>
      </w:r>
    </w:p>
    <w:p w14:paraId="3BE55C0D" w14:textId="77777777" w:rsidR="009F333B" w:rsidRPr="009F333B" w:rsidRDefault="003322DF" w:rsidP="009F333B">
      <w:r>
        <w:rPr>
          <w:noProof/>
        </w:rPr>
      </w:r>
      <w:r>
        <w:pict w14:anchorId="666ED044">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092767" w14:textId="77777777" w:rsidR="009F333B" w:rsidRPr="009F333B" w:rsidRDefault="009F333B" w:rsidP="009F333B">
      <w:r w:rsidRPr="009F333B">
        <w:t>Größe: 180cm, Gewicht: 76 kg</w:t>
      </w:r>
    </w:p>
    <w:p w14:paraId="1F397B9A" w14:textId="77777777" w:rsidR="009F333B" w:rsidRPr="009F333B" w:rsidRDefault="009F333B" w:rsidP="009F333B">
      <w:r w:rsidRPr="009F333B">
        <w:t>Gelenkstatus:0  druckschmerzhafte, 0 geschwollene Gelenke; keine Enthesitis; keine Daktylitis.</w:t>
      </w:r>
    </w:p>
    <w:p w14:paraId="7B478CF9" w14:textId="77777777" w:rsidR="009F333B" w:rsidRPr="009F333B" w:rsidRDefault="009F333B" w:rsidP="009F333B">
      <w:r w:rsidRPr="009F333B">
        <w:t>Haut: unauffällig</w:t>
      </w:r>
    </w:p>
    <w:p w14:paraId="02F817FC" w14:textId="77777777" w:rsidR="009F333B" w:rsidRPr="009F333B" w:rsidRDefault="009F333B" w:rsidP="009F333B">
      <w:r w:rsidRPr="009F333B">
        <w:t>Restliche Untersuchung unauffällig</w:t>
      </w:r>
    </w:p>
    <w:p w14:paraId="02BCC4D7" w14:textId="77777777" w:rsidR="009F333B" w:rsidRPr="009F333B" w:rsidRDefault="009F333B" w:rsidP="009F333B">
      <w:r w:rsidRPr="009F333B">
        <w:br/>
      </w:r>
      <w:r w:rsidRPr="009F333B">
        <w:br/>
      </w:r>
      <w:r w:rsidRPr="009F333B">
        <w:rPr>
          <w:b/>
          <w:bCs/>
        </w:rPr>
        <w:t>Laborwerte</w:t>
      </w:r>
      <w:r w:rsidRPr="009F333B">
        <w:t xml:space="preserve"> </w:t>
      </w:r>
    </w:p>
    <w:p w14:paraId="1ED8189E" w14:textId="77777777" w:rsidR="009F333B" w:rsidRPr="009F333B" w:rsidRDefault="003322DF" w:rsidP="009F333B">
      <w:r>
        <w:rPr>
          <w:noProof/>
        </w:rPr>
      </w:r>
      <w:r>
        <w:pict w14:anchorId="79F628A5">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352BD3" w14:textId="77777777" w:rsidR="009F333B" w:rsidRPr="009F333B" w:rsidRDefault="009F333B" w:rsidP="009F333B">
      <w:r w:rsidRPr="009F333B">
        <w:rPr>
          <w:b/>
          <w:bCs/>
          <w:u w:val="single"/>
        </w:rPr>
        <w:t>Kleines BB</w:t>
      </w:r>
      <w:r w:rsidRPr="009F333B">
        <w:t>: Hämoglobin 15,8 g/dl (13,5 - 17,5 g/dl), Hämatokrit 45,5 % (39 - 51 %), Erythrozyten 4,91 x 10</w:t>
      </w:r>
      <w:r w:rsidRPr="009F333B">
        <w:rPr>
          <w:vertAlign w:val="superscript"/>
        </w:rPr>
        <w:t>6</w:t>
      </w:r>
      <w:r w:rsidRPr="009F333B">
        <w:t>/µl (4,4 - 5,8 x 10</w:t>
      </w:r>
      <w:r w:rsidRPr="009F333B">
        <w:rPr>
          <w:vertAlign w:val="superscript"/>
        </w:rPr>
        <w:t>6</w:t>
      </w:r>
      <w:r w:rsidRPr="009F333B">
        <w:t>/µl), Leukozyten 4,49 x 10</w:t>
      </w:r>
      <w:r w:rsidRPr="009F333B">
        <w:rPr>
          <w:vertAlign w:val="superscript"/>
        </w:rPr>
        <w:t>3</w:t>
      </w:r>
      <w:r w:rsidRPr="009F333B">
        <w:t>/µl (4 - 10 x 10</w:t>
      </w:r>
      <w:r w:rsidRPr="009F333B">
        <w:rPr>
          <w:vertAlign w:val="superscript"/>
        </w:rPr>
        <w:t>3</w:t>
      </w:r>
      <w:r w:rsidRPr="009F333B">
        <w:t>/µl), Thrombozyten 233 x 10</w:t>
      </w:r>
      <w:r w:rsidRPr="009F333B">
        <w:rPr>
          <w:vertAlign w:val="superscript"/>
        </w:rPr>
        <w:t>3</w:t>
      </w:r>
      <w:r w:rsidRPr="009F333B">
        <w:t>/µl (140 - 350 x 10</w:t>
      </w:r>
      <w:r w:rsidRPr="009F333B">
        <w:rPr>
          <w:vertAlign w:val="superscript"/>
        </w:rPr>
        <w:t>3</w:t>
      </w:r>
      <w:r w:rsidRPr="009F333B">
        <w:t xml:space="preserve">/µl), MCH 32,2 pg (27 - 33 pg), MCHC 34,7 g Hb/dl (32 - 36 g Hb/dl), MCV 92,7 fl (81 - 98 fl), MPV 10,5 fl (7,8 - 11 fl), RDW 12,3 % (11,6 - 16,2 %). </w:t>
      </w:r>
    </w:p>
    <w:p w14:paraId="09DF2C53" w14:textId="77777777" w:rsidR="009F333B" w:rsidRPr="009F333B" w:rsidRDefault="009F333B" w:rsidP="009F333B">
      <w:r w:rsidRPr="009F333B">
        <w:rPr>
          <w:b/>
          <w:bCs/>
          <w:u w:val="single"/>
        </w:rPr>
        <w:t>Diff. BB</w:t>
      </w:r>
      <w:r w:rsidRPr="009F333B">
        <w:t>: Neutrophile (maschinell) 48,9 %, Eosinophile (maschinell) 5,1 %, Basophile (maschinell) 1,6 %, Lymphozyten (maschinell) 30,1 %, Monozyten (maschinell) 14,3 %, Neutrophile (maschinell) Absolut 2,2 x 10</w:t>
      </w:r>
      <w:r w:rsidRPr="009F333B">
        <w:rPr>
          <w:vertAlign w:val="superscript"/>
        </w:rPr>
        <w:t>3</w:t>
      </w:r>
      <w:r w:rsidRPr="009F333B">
        <w:t>/µl (1,6 - 7,8 x 10</w:t>
      </w:r>
      <w:r w:rsidRPr="009F333B">
        <w:rPr>
          <w:vertAlign w:val="superscript"/>
        </w:rPr>
        <w:t>3</w:t>
      </w:r>
      <w:r w:rsidRPr="009F333B">
        <w:t>/µl), Eosinophile (maschinell) Absolut 0,2 x 10</w:t>
      </w:r>
      <w:r w:rsidRPr="009F333B">
        <w:rPr>
          <w:vertAlign w:val="superscript"/>
        </w:rPr>
        <w:t>3</w:t>
      </w:r>
      <w:r w:rsidRPr="009F333B">
        <w:t>/µl (0 - 0,5 x 10</w:t>
      </w:r>
      <w:r w:rsidRPr="009F333B">
        <w:rPr>
          <w:vertAlign w:val="superscript"/>
        </w:rPr>
        <w:t>3</w:t>
      </w:r>
      <w:r w:rsidRPr="009F333B">
        <w:t>/µl), Basophile (maschinell) Absolut 0,1 x 10</w:t>
      </w:r>
      <w:r w:rsidRPr="009F333B">
        <w:rPr>
          <w:vertAlign w:val="superscript"/>
        </w:rPr>
        <w:t>3</w:t>
      </w:r>
      <w:r w:rsidRPr="009F333B">
        <w:t>/µl (0 - 0,1 x 10</w:t>
      </w:r>
      <w:r w:rsidRPr="009F333B">
        <w:rPr>
          <w:vertAlign w:val="superscript"/>
        </w:rPr>
        <w:t>3</w:t>
      </w:r>
      <w:r w:rsidRPr="009F333B">
        <w:t>/µl), Lymphozyten (maschinell) Absolut 1,4 x 10</w:t>
      </w:r>
      <w:r w:rsidRPr="009F333B">
        <w:rPr>
          <w:vertAlign w:val="superscript"/>
        </w:rPr>
        <w:t>3</w:t>
      </w:r>
      <w:r w:rsidRPr="009F333B">
        <w:t>/µl (1 - 3,5 x 10</w:t>
      </w:r>
      <w:r w:rsidRPr="009F333B">
        <w:rPr>
          <w:vertAlign w:val="superscript"/>
        </w:rPr>
        <w:t>3</w:t>
      </w:r>
      <w:r w:rsidRPr="009F333B">
        <w:t>/µl), Monozyten (maschinell) Absolut 0,6 x 10</w:t>
      </w:r>
      <w:r w:rsidRPr="009F333B">
        <w:rPr>
          <w:vertAlign w:val="superscript"/>
        </w:rPr>
        <w:t>3</w:t>
      </w:r>
      <w:r w:rsidRPr="009F333B">
        <w:t>/µl (0,1 - 0,9 x 10</w:t>
      </w:r>
      <w:r w:rsidRPr="009F333B">
        <w:rPr>
          <w:vertAlign w:val="superscript"/>
        </w:rPr>
        <w:t>3</w:t>
      </w:r>
      <w:r w:rsidRPr="009F333B">
        <w:t xml:space="preserve">/µl), </w:t>
      </w:r>
    </w:p>
    <w:p w14:paraId="51B42A7E" w14:textId="77777777" w:rsidR="009F333B" w:rsidRPr="009F333B" w:rsidRDefault="009F333B" w:rsidP="009F333B">
      <w:r w:rsidRPr="009F333B">
        <w:rPr>
          <w:b/>
          <w:bCs/>
          <w:u w:val="single"/>
        </w:rPr>
        <w:t>Serumchemie</w:t>
      </w:r>
      <w:r w:rsidRPr="009F333B">
        <w:t xml:space="preserve">: Kalium 4,3 mmol/l (3,6 - 4,8 mmol/l), Natrium 143 mmol/l (135 - 145 mmol/l), Kreatinin 0,81 mg/dl (0,67 - 1,17 mg/dl), eGFR (Berechnung nach CKD-EPI) 99 ml/min/1,73m², </w:t>
      </w:r>
      <w:r w:rsidRPr="009F333B">
        <w:rPr>
          <w:b/>
          <w:bCs/>
        </w:rPr>
        <w:t>Harnsäure 8,2 mg/dl</w:t>
      </w:r>
      <w:r w:rsidRPr="009F333B">
        <w:t xml:space="preserve"> (3,4 - 7,0 mg/dl), alk. Phosphatase 74 U/l (40 - 130 U/l), ALT / GPT 49 U/l (&lt; 50 U/l), </w:t>
      </w:r>
      <w:r w:rsidRPr="009F333B">
        <w:rPr>
          <w:b/>
          <w:bCs/>
        </w:rPr>
        <w:t>Gamma-GT 78 U/l</w:t>
      </w:r>
      <w:r w:rsidRPr="009F333B">
        <w:t xml:space="preserve"> (&lt; 60 U/l), LDH 204 U/l (&lt; 250 U/l). </w:t>
      </w:r>
    </w:p>
    <w:p w14:paraId="07CF0269" w14:textId="77777777" w:rsidR="009F333B" w:rsidRPr="009F333B" w:rsidRDefault="009F333B" w:rsidP="009F333B">
      <w:r w:rsidRPr="009F333B">
        <w:rPr>
          <w:b/>
          <w:bCs/>
          <w:u w:val="single"/>
        </w:rPr>
        <w:t>Sonstige Serumchemie</w:t>
      </w:r>
      <w:r w:rsidRPr="009F333B">
        <w:t xml:space="preserve">: Creatin-Kinase (MB) i. P. nicht möglich, Creatin-Kinase 111 U/l (&lt; 190 U/l). eGFR (Berechnung nach CKD-EPI) 99 ml/min/1,73m², </w:t>
      </w:r>
    </w:p>
    <w:p w14:paraId="2B9C396F" w14:textId="77777777" w:rsidR="009F333B" w:rsidRPr="009F333B" w:rsidRDefault="009F333B" w:rsidP="009F333B">
      <w:r w:rsidRPr="009F333B">
        <w:rPr>
          <w:b/>
          <w:bCs/>
          <w:u w:val="single"/>
        </w:rPr>
        <w:t>Immunologie</w:t>
      </w:r>
      <w:r w:rsidRPr="009F333B">
        <w:t xml:space="preserve">: C-reaktives Protein &lt;5,2 mg/l (-&lt;5,2 mg/l), Hoch sensitives CRP 2,91 mg/l (&lt; 5 mg/l), </w:t>
      </w:r>
    </w:p>
    <w:p w14:paraId="23540F26" w14:textId="77777777" w:rsidR="009F333B" w:rsidRPr="009F333B" w:rsidRDefault="009F333B" w:rsidP="009F333B">
      <w:r w:rsidRPr="009F333B">
        <w:br/>
      </w:r>
      <w:r w:rsidRPr="009F333B">
        <w:br/>
      </w:r>
      <w:r w:rsidRPr="009F333B">
        <w:rPr>
          <w:b/>
          <w:bCs/>
        </w:rPr>
        <w:t>Befunde</w:t>
      </w:r>
      <w:r w:rsidRPr="009F333B">
        <w:t xml:space="preserve"> </w:t>
      </w:r>
    </w:p>
    <w:p w14:paraId="6AD5E4A4" w14:textId="77777777" w:rsidR="009F333B" w:rsidRPr="009F333B" w:rsidRDefault="003322DF" w:rsidP="009F333B">
      <w:r>
        <w:rPr>
          <w:noProof/>
        </w:rPr>
      </w:r>
      <w:r>
        <w:pict w14:anchorId="392C496C">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AB15E7E" w14:textId="77777777" w:rsidR="009F333B" w:rsidRPr="009F333B" w:rsidRDefault="009F333B" w:rsidP="009F333B">
      <w:r w:rsidRPr="009F333B">
        <w:rPr>
          <w:b/>
          <w:bCs/>
          <w:u w:val="single"/>
        </w:rPr>
        <w:t>FAPI PET/CT mit CT low dose vom 28.08.2020:</w:t>
      </w:r>
      <w:r w:rsidRPr="009F333B">
        <w:t> </w:t>
      </w:r>
    </w:p>
    <w:p w14:paraId="7182C570" w14:textId="77777777" w:rsidR="009F333B" w:rsidRPr="009F333B" w:rsidRDefault="009F333B" w:rsidP="009F333B">
      <w:r w:rsidRPr="009F333B">
        <w:t xml:space="preserve">Befund: Voraufnahmen zum Vergleich verfügbar: FAPI PET/CT mit diagnostischem CT vom 01.10.2018. Schädelbasis/Halsweichteile: Nasennebenhöhlen (soweit erfasst) frei pneumatisiert. Unauffällige Darstellung der Glandula thyreoidea. Keine pathologisch vergrößerten oder Radiopharmakon mehrspeichernde Lymphknoten zervikal bds.. Thorax: Keine suspekt vergrößerten oder pathologisch Radiopharmakon mehrspeichernde Lymphknoten periclaviculär, axillär, hilär oder mediastinal. Granulom im linken Unterlappen dorsal paravertebral (Bild 55, ca. 0,4×0,4cm). Kein Perikard- oder Pleuraerguss.Im Lungenfenster keine malignitätsverdächtigen Rundherde. Kein Infiltrat. Regelrecht anliegende Pleura bds.. Abdomen / Becken: Leber (soweit bei fehlender Kontrastmittelgabe beurteilbar) ohne fokale Läsionen. SUV mean Leber 0,6. Orthotop gelegene Milz. Nebennieren bds. zart. Orthotop gelegene Nieren ohne Zeichen eines Harnaufstaus. Kein Nachweis pathologisch konfigurierter, vergrößerter oder vermehrt Radiopharmakon aufnehmender Lymphknoten mesenterial, paraaortal, retroperitoneal iliacal oder inguinal. Keine freie Luft, keine freie Flüssigkeit. Skelett/Extremitäten: Fokale FAPI-Mehrbelegung am rechten AC-Gelenk z.B degenerativer Genese bei subchondraler Sklerosierung und Geröllzysten (Bild 25, SUVmax TOF 4,3). AC-Gelenksarthrose links. Bei Z.n. Kreuzbandplastik rechts, Bohrlochkanal. Zeichen einer geringen sysovialen Speicherung des Radiopharmakons sowie am verschmälerten medialen Kniegelenkspalt bei subchondralen Mehrsklerosierungen (Bild 239, MPR cor 57 SUVmax TOF 4,0). Fenestriertes Corpus sterni. </w:t>
      </w:r>
    </w:p>
    <w:p w14:paraId="40DD4655" w14:textId="77777777" w:rsidR="009F333B" w:rsidRPr="009F333B" w:rsidRDefault="009F333B" w:rsidP="009F333B">
      <w:r w:rsidRPr="009F333B">
        <w:t>Beurteilung: AC-Gelenksarthrose bds. mit mäßiger Tracerspeicherung rechts mehr als links. Gonarthrose rechts mit geringer Synovialitis.</w:t>
      </w:r>
    </w:p>
    <w:p w14:paraId="03E01368" w14:textId="77777777" w:rsidR="009F333B" w:rsidRPr="009F333B" w:rsidRDefault="009F333B" w:rsidP="009F333B">
      <w:r w:rsidRPr="009F333B">
        <w:br/>
      </w:r>
      <w:r w:rsidRPr="009F333B">
        <w:br/>
      </w:r>
      <w:r w:rsidRPr="009F333B">
        <w:rPr>
          <w:b/>
          <w:bCs/>
        </w:rPr>
        <w:t>Verlauf und Beurteilung</w:t>
      </w:r>
      <w:r w:rsidRPr="009F333B">
        <w:t xml:space="preserve"> </w:t>
      </w:r>
    </w:p>
    <w:p w14:paraId="46553F2B" w14:textId="77777777" w:rsidR="009F333B" w:rsidRPr="009F333B" w:rsidRDefault="003322DF" w:rsidP="009F333B">
      <w:r>
        <w:rPr>
          <w:noProof/>
        </w:rPr>
      </w:r>
      <w:r>
        <w:pict w14:anchorId="4AAACFE4">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F652BE9" w14:textId="77777777" w:rsidR="009F333B" w:rsidRPr="009F333B" w:rsidRDefault="009F333B" w:rsidP="009F333B">
      <w:r w:rsidRPr="009F333B">
        <w:t>In der klinischen Untersuchung zeigten sich keine Auffälligkeiten. In der Laborkontrolle fanden sich keine erhöhten Entzündungsparameter. Gamma GT ist leicht erhöht, wir bitten um eine Nachkontrolle. Eine FAPI-PET/CT-Untersuchung zeigte außer bekannten degenerativen Veränderungen keinen Hinweis auf eine entzündliche Aktivität. In Zusammenschau der Befunde zeigt sich erfreulicherweise die Grunderkrankung in Remission. Wir empfehlen die unveränderte Fortführung der MTX-Therapie bei 10mg/ Woche bis zur Wiedervorstellung in 3 Monaten.</w:t>
      </w:r>
    </w:p>
    <w:p w14:paraId="77527AEF" w14:textId="77777777" w:rsidR="009F333B" w:rsidRPr="009F333B" w:rsidRDefault="009F333B" w:rsidP="009F333B">
      <w:r w:rsidRPr="009F333B">
        <w:br/>
      </w:r>
      <w:r w:rsidRPr="009F333B">
        <w:br/>
      </w:r>
      <w:r w:rsidRPr="009F333B">
        <w:rPr>
          <w:b/>
          <w:bCs/>
        </w:rPr>
        <w:t>Therapieempfehlung</w:t>
      </w:r>
      <w:r w:rsidRPr="009F333B">
        <w:t xml:space="preserve"> </w:t>
      </w:r>
    </w:p>
    <w:p w14:paraId="3243153E" w14:textId="77777777" w:rsidR="009F333B" w:rsidRPr="009F333B" w:rsidRDefault="003322DF" w:rsidP="009F333B">
      <w:r>
        <w:rPr>
          <w:noProof/>
        </w:rPr>
      </w:r>
      <w:r>
        <w:pict w14:anchorId="343C9028">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92AD16" w14:textId="77777777" w:rsidR="009F333B" w:rsidRPr="009F333B" w:rsidRDefault="009F333B" w:rsidP="009F333B">
      <w:pPr>
        <w:numPr>
          <w:ilvl w:val="0"/>
          <w:numId w:val="1"/>
        </w:numPr>
      </w:pPr>
      <w:r w:rsidRPr="009F333B">
        <w:t xml:space="preserve">Fortführung der MTX-Therapie </w:t>
      </w:r>
    </w:p>
    <w:p w14:paraId="6006FC5B" w14:textId="77777777" w:rsidR="009F333B" w:rsidRPr="009F333B" w:rsidRDefault="009F333B" w:rsidP="009F333B">
      <w:pPr>
        <w:numPr>
          <w:ilvl w:val="0"/>
          <w:numId w:val="1"/>
        </w:numPr>
      </w:pPr>
      <w:r w:rsidRPr="009F333B">
        <w:t xml:space="preserve">Wiedervorstellung in 3 Monaten </w:t>
      </w:r>
    </w:p>
    <w:p w14:paraId="070C2753" w14:textId="77777777" w:rsidR="009F333B" w:rsidRPr="009F333B" w:rsidRDefault="009F333B" w:rsidP="009F333B">
      <w:pPr>
        <w:numPr>
          <w:ilvl w:val="0"/>
          <w:numId w:val="1"/>
        </w:numPr>
      </w:pPr>
      <w:r w:rsidRPr="009F333B">
        <w:t xml:space="preserve">Kontrolle der Leberwerte </w:t>
      </w:r>
    </w:p>
    <w:p w14:paraId="784D3CB8" w14:textId="77777777" w:rsidR="009F333B" w:rsidRPr="009F333B" w:rsidRDefault="009F333B" w:rsidP="009F333B">
      <w:r w:rsidRPr="009F333B">
        <w:t> </w:t>
      </w:r>
    </w:p>
    <w:p w14:paraId="461F4712" w14:textId="77777777" w:rsidR="009F333B" w:rsidRPr="009F333B" w:rsidRDefault="009F333B" w:rsidP="009F333B">
      <w:r w:rsidRPr="009F333B">
        <w:t>Aktuelle Handlungsempfehlungen der Deutschen Gesellschaft für Rheumatologie e.V. für die Betreuung von Patienten mit rheumatischen Erkrankungen während der SARS-CoV-2/Covid 19-Pandemie</w:t>
      </w:r>
    </w:p>
    <w:p w14:paraId="38F64A7E" w14:textId="77777777" w:rsidR="009F333B" w:rsidRPr="009F333B" w:rsidRDefault="009F333B" w:rsidP="009F333B">
      <w:r w:rsidRPr="009F333B">
        <w:t>finden sie hier: https://dgrh.de/Start/Publikationen/Empfehlungen/Therapie-bei-besonderen-Situationen/Empfehlungen-während-der-SARS-CoV-2-Covid-19-Pandemie.html</w:t>
      </w:r>
    </w:p>
    <w:p w14:paraId="5B948C27" w14:textId="77777777" w:rsidR="009F333B" w:rsidRPr="009F333B" w:rsidRDefault="009F333B" w:rsidP="009F333B">
      <w:r w:rsidRPr="009F333B">
        <w:br/>
      </w:r>
      <w:r w:rsidRPr="009F333B">
        <w:br/>
      </w:r>
      <w:r w:rsidRPr="009F333B">
        <w:rPr>
          <w:b/>
          <w:bCs/>
        </w:rPr>
        <w:t>Schluss</w:t>
      </w:r>
      <w:r w:rsidRPr="009F333B">
        <w:t xml:space="preserve"> </w:t>
      </w:r>
    </w:p>
    <w:p w14:paraId="6CD19FD6" w14:textId="77777777" w:rsidR="009F333B" w:rsidRPr="009F333B" w:rsidRDefault="003322DF" w:rsidP="009F333B">
      <w:r>
        <w:rPr>
          <w:noProof/>
        </w:rPr>
      </w:r>
      <w:r>
        <w:pict w14:anchorId="203DCED7">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0EDD59E" w14:textId="77777777" w:rsidR="009F333B" w:rsidRPr="009F333B" w:rsidRDefault="009F333B" w:rsidP="009F333B">
      <w:r w:rsidRPr="009F333B">
        <w:t>Mit freundlichen kollegialen Grüßen</w:t>
      </w:r>
    </w:p>
    <w:p w14:paraId="7F28F86B" w14:textId="77777777" w:rsidR="009F333B" w:rsidRPr="009F333B" w:rsidRDefault="009F333B" w:rsidP="009F333B">
      <w:r w:rsidRPr="009F333B">
        <w:t> </w:t>
      </w:r>
    </w:p>
    <w:p w14:paraId="61CF21E5" w14:textId="77777777" w:rsidR="009F333B" w:rsidRPr="009F333B" w:rsidRDefault="009F333B" w:rsidP="009F333B">
      <w:r w:rsidRPr="009F333B">
        <w:t> </w:t>
      </w:r>
    </w:p>
    <w:tbl>
      <w:tblPr>
        <w:tblW w:w="5000" w:type="pct"/>
        <w:tblCellMar>
          <w:left w:w="0" w:type="dxa"/>
          <w:right w:w="0" w:type="dxa"/>
        </w:tblCellMar>
        <w:tblLook w:val="04A0" w:firstRow="1" w:lastRow="0" w:firstColumn="1" w:lastColumn="0" w:noHBand="0" w:noVBand="1"/>
      </w:tblPr>
      <w:tblGrid>
        <w:gridCol w:w="9072"/>
      </w:tblGrid>
      <w:tr w:rsidR="009F333B" w:rsidRPr="009F333B" w14:paraId="5619D854" w14:textId="77777777" w:rsidTr="009F333B">
        <w:tc>
          <w:tcPr>
            <w:tcW w:w="1700" w:type="pct"/>
            <w:hideMark/>
          </w:tcPr>
          <w:p w14:paraId="6254464D" w14:textId="77777777" w:rsidR="009F333B" w:rsidRPr="009F333B" w:rsidRDefault="009F333B" w:rsidP="009F333B">
            <w:r w:rsidRPr="009F333B">
              <w:t>Dr. med. A. Kleyer</w:t>
            </w:r>
          </w:p>
        </w:tc>
      </w:tr>
    </w:tbl>
    <w:p w14:paraId="76351F69"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134CCC"/>
    <w:multiLevelType w:val="multilevel"/>
    <w:tmpl w:val="EA8E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0900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3B"/>
    <w:rsid w:val="003322DF"/>
    <w:rsid w:val="00453D1E"/>
    <w:rsid w:val="006852C5"/>
    <w:rsid w:val="0092470E"/>
    <w:rsid w:val="009F333B"/>
    <w:rsid w:val="00B761FA"/>
    <w:rsid w:val="00D93C9C"/>
    <w:rsid w:val="00F850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CF5A1D4"/>
  <w15:chartTrackingRefBased/>
  <w15:docId w15:val="{8AC915EC-7767-4E71-A625-35D1DA7A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F3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F3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F33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F33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F33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F33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F33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F33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F33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333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333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333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333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333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333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333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333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333B"/>
    <w:rPr>
      <w:rFonts w:eastAsiaTheme="majorEastAsia" w:cstheme="majorBidi"/>
      <w:color w:val="272727" w:themeColor="text1" w:themeTint="D8"/>
    </w:rPr>
  </w:style>
  <w:style w:type="paragraph" w:styleId="Titel">
    <w:name w:val="Title"/>
    <w:basedOn w:val="Standard"/>
    <w:next w:val="Standard"/>
    <w:link w:val="TitelZchn"/>
    <w:uiPriority w:val="10"/>
    <w:qFormat/>
    <w:rsid w:val="009F3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F333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33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F333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33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F333B"/>
    <w:rPr>
      <w:i/>
      <w:iCs/>
      <w:color w:val="404040" w:themeColor="text1" w:themeTint="BF"/>
    </w:rPr>
  </w:style>
  <w:style w:type="paragraph" w:styleId="Listenabsatz">
    <w:name w:val="List Paragraph"/>
    <w:basedOn w:val="Standard"/>
    <w:uiPriority w:val="34"/>
    <w:qFormat/>
    <w:rsid w:val="009F333B"/>
    <w:pPr>
      <w:ind w:left="720"/>
      <w:contextualSpacing/>
    </w:pPr>
  </w:style>
  <w:style w:type="character" w:styleId="IntensiveHervorhebung">
    <w:name w:val="Intense Emphasis"/>
    <w:basedOn w:val="Absatz-Standardschriftart"/>
    <w:uiPriority w:val="21"/>
    <w:qFormat/>
    <w:rsid w:val="009F333B"/>
    <w:rPr>
      <w:i/>
      <w:iCs/>
      <w:color w:val="0F4761" w:themeColor="accent1" w:themeShade="BF"/>
    </w:rPr>
  </w:style>
  <w:style w:type="paragraph" w:styleId="IntensivesZitat">
    <w:name w:val="Intense Quote"/>
    <w:basedOn w:val="Standard"/>
    <w:next w:val="Standard"/>
    <w:link w:val="IntensivesZitatZchn"/>
    <w:uiPriority w:val="30"/>
    <w:qFormat/>
    <w:rsid w:val="009F3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F333B"/>
    <w:rPr>
      <w:i/>
      <w:iCs/>
      <w:color w:val="0F4761" w:themeColor="accent1" w:themeShade="BF"/>
    </w:rPr>
  </w:style>
  <w:style w:type="character" w:styleId="IntensiverVerweis">
    <w:name w:val="Intense Reference"/>
    <w:basedOn w:val="Absatz-Standardschriftart"/>
    <w:uiPriority w:val="32"/>
    <w:qFormat/>
    <w:rsid w:val="009F3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3050895">
      <w:bodyDiv w:val="1"/>
      <w:marLeft w:val="0"/>
      <w:marRight w:val="0"/>
      <w:marTop w:val="0"/>
      <w:marBottom w:val="0"/>
      <w:divBdr>
        <w:top w:val="none" w:sz="0" w:space="0" w:color="auto"/>
        <w:left w:val="none" w:sz="0" w:space="0" w:color="auto"/>
        <w:bottom w:val="none" w:sz="0" w:space="0" w:color="auto"/>
        <w:right w:val="none" w:sz="0" w:space="0" w:color="auto"/>
      </w:divBdr>
      <w:divsChild>
        <w:div w:id="998116327">
          <w:marLeft w:val="0"/>
          <w:marRight w:val="0"/>
          <w:marTop w:val="0"/>
          <w:marBottom w:val="0"/>
          <w:divBdr>
            <w:top w:val="none" w:sz="0" w:space="0" w:color="auto"/>
            <w:left w:val="none" w:sz="0" w:space="0" w:color="auto"/>
            <w:bottom w:val="none" w:sz="0" w:space="0" w:color="auto"/>
            <w:right w:val="none" w:sz="0" w:space="0" w:color="auto"/>
          </w:divBdr>
        </w:div>
      </w:divsChild>
    </w:div>
    <w:div w:id="1894080819">
      <w:bodyDiv w:val="1"/>
      <w:marLeft w:val="0"/>
      <w:marRight w:val="0"/>
      <w:marTop w:val="0"/>
      <w:marBottom w:val="0"/>
      <w:divBdr>
        <w:top w:val="none" w:sz="0" w:space="0" w:color="auto"/>
        <w:left w:val="none" w:sz="0" w:space="0" w:color="auto"/>
        <w:bottom w:val="none" w:sz="0" w:space="0" w:color="auto"/>
        <w:right w:val="none" w:sz="0" w:space="0" w:color="auto"/>
      </w:divBdr>
      <w:divsChild>
        <w:div w:id="568463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783</Words>
  <Characters>4936</Characters>
  <Application>Microsoft Office Word</Application>
  <DocSecurity>0</DocSecurity>
  <Lines>41</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2026-09-24T18:36:00Z</dcterms:created>
  <dcterms:modified xsi:type="dcterms:W3CDTF">2026-09-25T22:45:00Z</dcterms:modified>
</cp:coreProperties>
</file>