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70DD68" w14:textId="77777777" w:rsidR="002E0B21" w:rsidRPr="002E0B21" w:rsidRDefault="002E0B21" w:rsidP="002E0B21">
      <w:r w:rsidRPr="002E0B21">
        <w:rPr>
          <w:b/>
          <w:bCs/>
        </w:rPr>
        <w:t>Anrede</w:t>
      </w:r>
      <w:r w:rsidRPr="002E0B21">
        <w:t xml:space="preserve"> </w:t>
      </w:r>
    </w:p>
    <w:p w14:paraId="1DEAD878" w14:textId="77777777" w:rsidR="002E0B21" w:rsidRPr="002E0B21" w:rsidRDefault="000267D5" w:rsidP="002E0B21">
      <w:r>
        <w:rPr>
          <w:noProof/>
        </w:rPr>
      </w:r>
      <w:r>
        <w:pict w14:anchorId="5DDBFA54">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57F2678" w14:textId="77777777" w:rsidR="002E0B21" w:rsidRPr="002E0B21" w:rsidRDefault="002E0B21" w:rsidP="002E0B21">
      <w:r w:rsidRPr="002E0B21">
        <w:t xml:space="preserve">Sehr geehrte Frau Kollegin, sehr geehrter Herr Kollege, </w:t>
      </w:r>
    </w:p>
    <w:p w14:paraId="09F3B040" w14:textId="77777777" w:rsidR="002E0B21" w:rsidRPr="002E0B21" w:rsidRDefault="002E0B21" w:rsidP="002E0B21">
      <w:r w:rsidRPr="002E0B21">
        <w:t> </w:t>
      </w:r>
    </w:p>
    <w:p w14:paraId="64BD34E1" w14:textId="734BC363" w:rsidR="002E0B21" w:rsidRPr="002E0B21" w:rsidRDefault="002E0B21" w:rsidP="002E0B21">
      <w:r w:rsidRPr="002E0B21">
        <w:t xml:space="preserve">wir berichten über unseren gemeinsamen Patienten, </w:t>
      </w:r>
      <w:r w:rsidR="00FD3B46">
        <w:t>34,</w:t>
      </w:r>
      <w:r w:rsidRPr="002E0B21">
        <w:t xml:space="preserve"> der sich am 11.09.2025 und am 12.12.2025 ambulant vorstellte.</w:t>
      </w:r>
    </w:p>
    <w:p w14:paraId="49A28D54" w14:textId="77777777" w:rsidR="002E0B21" w:rsidRPr="002E0B21" w:rsidRDefault="002E0B21" w:rsidP="002E0B21">
      <w:r w:rsidRPr="002E0B21">
        <w:br/>
      </w:r>
      <w:r w:rsidRPr="002E0B21">
        <w:br/>
      </w:r>
      <w:r w:rsidRPr="002E0B21">
        <w:rPr>
          <w:b/>
          <w:bCs/>
        </w:rPr>
        <w:t>Diagnosen</w:t>
      </w:r>
      <w:r w:rsidRPr="002E0B21">
        <w:t xml:space="preserve"> </w:t>
      </w:r>
    </w:p>
    <w:p w14:paraId="7C14B770" w14:textId="77777777" w:rsidR="002E0B21" w:rsidRPr="002E0B21" w:rsidRDefault="000267D5" w:rsidP="002E0B21">
      <w:r>
        <w:rPr>
          <w:noProof/>
        </w:rPr>
      </w:r>
      <w:r>
        <w:pict w14:anchorId="2A34FF2E">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1CE416B" w14:textId="77777777" w:rsidR="002E0B21" w:rsidRPr="002E0B21" w:rsidRDefault="002E0B21" w:rsidP="002E0B21">
      <w:pPr>
        <w:numPr>
          <w:ilvl w:val="0"/>
          <w:numId w:val="1"/>
        </w:numPr>
      </w:pPr>
      <w:r w:rsidRPr="002E0B21">
        <w:t xml:space="preserve">Psoriasis-Arthritis </w:t>
      </w:r>
    </w:p>
    <w:p w14:paraId="20B077EB" w14:textId="77777777" w:rsidR="002E0B21" w:rsidRPr="002E0B21" w:rsidRDefault="002E0B21" w:rsidP="002E0B21">
      <w:pPr>
        <w:numPr>
          <w:ilvl w:val="1"/>
          <w:numId w:val="1"/>
        </w:numPr>
      </w:pPr>
      <w:r w:rsidRPr="002E0B21">
        <w:t xml:space="preserve">Arthralgie, Arthritis Knie links </w:t>
      </w:r>
    </w:p>
    <w:p w14:paraId="2CF5483E" w14:textId="77777777" w:rsidR="002E0B21" w:rsidRPr="002E0B21" w:rsidRDefault="002E0B21" w:rsidP="002E0B21">
      <w:pPr>
        <w:numPr>
          <w:ilvl w:val="1"/>
          <w:numId w:val="1"/>
        </w:numPr>
      </w:pPr>
      <w:r w:rsidRPr="002E0B21">
        <w:t xml:space="preserve">Z.n. OP Meniskus links </w:t>
      </w:r>
    </w:p>
    <w:p w14:paraId="58E12C24" w14:textId="77777777" w:rsidR="002E0B21" w:rsidRPr="002E0B21" w:rsidRDefault="002E0B21" w:rsidP="002E0B21">
      <w:pPr>
        <w:numPr>
          <w:ilvl w:val="1"/>
          <w:numId w:val="1"/>
        </w:numPr>
      </w:pPr>
      <w:r w:rsidRPr="002E0B21">
        <w:t xml:space="preserve">Psoriasis </w:t>
      </w:r>
    </w:p>
    <w:p w14:paraId="51675511" w14:textId="77777777" w:rsidR="002E0B21" w:rsidRPr="002E0B21" w:rsidRDefault="002E0B21" w:rsidP="002E0B21">
      <w:pPr>
        <w:numPr>
          <w:ilvl w:val="1"/>
          <w:numId w:val="1"/>
        </w:numPr>
      </w:pPr>
      <w:r w:rsidRPr="002E0B21">
        <w:t xml:space="preserve">Bildgebungen: </w:t>
      </w:r>
    </w:p>
    <w:p w14:paraId="04374DEA" w14:textId="77777777" w:rsidR="002E0B21" w:rsidRPr="002E0B21" w:rsidRDefault="002E0B21" w:rsidP="002E0B21">
      <w:pPr>
        <w:numPr>
          <w:ilvl w:val="2"/>
          <w:numId w:val="1"/>
        </w:numPr>
      </w:pPr>
      <w:r w:rsidRPr="002E0B21">
        <w:t>MRT Knie links vom 21.12.2018: Rissbildung Innenmeniskushinterhorn. Ausgeprägte Synovialitis. Chondrale Strukturen und Bandstrukturen intakt.</w:t>
      </w:r>
    </w:p>
    <w:p w14:paraId="58B4AA3A" w14:textId="77777777" w:rsidR="002E0B21" w:rsidRPr="002E0B21" w:rsidRDefault="002E0B21" w:rsidP="002E0B21">
      <w:pPr>
        <w:numPr>
          <w:ilvl w:val="2"/>
          <w:numId w:val="1"/>
        </w:numPr>
      </w:pPr>
      <w:r w:rsidRPr="002E0B21">
        <w:t>MRT-Knie links mit KM vom 13.06.2019: Komplexer Riss des Innenmeniskushinterhorns. Ausgeprägte Synovialitis mit Kniegelenkerguss und Ausbildung einer großen Baker-Zyste.</w:t>
      </w:r>
    </w:p>
    <w:p w14:paraId="25F350F5" w14:textId="77777777" w:rsidR="002E0B21" w:rsidRPr="002E0B21" w:rsidRDefault="002E0B21" w:rsidP="002E0B21">
      <w:pPr>
        <w:numPr>
          <w:ilvl w:val="2"/>
          <w:numId w:val="1"/>
        </w:numPr>
      </w:pPr>
      <w:r w:rsidRPr="002E0B21">
        <w:t>Röntgen Hände bds vom 15.04.2019: Keine signifikanten degenerativen oder erosive Veränderungen. Keine typischen Zeichen für Hämochromatose</w:t>
      </w:r>
    </w:p>
    <w:p w14:paraId="02759156" w14:textId="77777777" w:rsidR="002E0B21" w:rsidRPr="002E0B21" w:rsidRDefault="002E0B21" w:rsidP="002E0B21">
      <w:pPr>
        <w:numPr>
          <w:ilvl w:val="2"/>
          <w:numId w:val="1"/>
        </w:numPr>
      </w:pPr>
      <w:r w:rsidRPr="002E0B21">
        <w:t>MRT Knie links vom 27.04.2022: Deutlich regrediente Synovialitis mit Gelenkerguss des linken Kniegelenks. Rückgebildete Bakerzyste. Bekannter komplexer Riss des Innenmeniskushinterhorns mit Ausläufern bis in die Pars intermedia mit rückgebildeter Extrusion des Innenmeniskus. Regrediente Extrusion des Außenmeniskus</w:t>
      </w:r>
    </w:p>
    <w:p w14:paraId="73554AE9" w14:textId="77777777" w:rsidR="002E0B21" w:rsidRPr="002E0B21" w:rsidRDefault="002E0B21" w:rsidP="002E0B21">
      <w:pPr>
        <w:numPr>
          <w:ilvl w:val="2"/>
          <w:numId w:val="1"/>
        </w:numPr>
      </w:pPr>
      <w:r w:rsidRPr="002E0B21">
        <w:t>MRT Schulter links vom 02.05.2022: Ansatztendinitis der Supraspinatussehne und kräftige Bursitis subacromialis/subdeltoidea, z.B. im Rahmen einer Psoriasisarthritis.</w:t>
      </w:r>
    </w:p>
    <w:p w14:paraId="2A27AF1B" w14:textId="77777777" w:rsidR="002E0B21" w:rsidRPr="002E0B21" w:rsidRDefault="002E0B21" w:rsidP="002E0B21">
      <w:pPr>
        <w:numPr>
          <w:ilvl w:val="2"/>
          <w:numId w:val="1"/>
        </w:numPr>
      </w:pPr>
      <w:r w:rsidRPr="002E0B21">
        <w:lastRenderedPageBreak/>
        <w:t>FAPI/PET 07/23: Bei bekannter Psoriasisarthritis intensive Fibroblastenaktivierung im Bereich der linken Schulter sowie um das linke Kniegelenk, im Rahmen der Grunderkrankung zu werten. Fokale Fibroblastenaktivierung im linken Handgelenk, ebenfalls im Rahmen der Grunderkrankung zu werten. Multiple Ansatzsehnentendinopathien insbesondere im Bereich der Hände bds., ebenfalls im Rahmen der Psoriasisarthritis zu werten.</w:t>
      </w:r>
    </w:p>
    <w:p w14:paraId="4F755CEC" w14:textId="77777777" w:rsidR="002E0B21" w:rsidRPr="002E0B21" w:rsidRDefault="002E0B21" w:rsidP="002E0B21">
      <w:r w:rsidRPr="002E0B21">
        <w:t>FAPI/PET 09/25: Bei bekannter Psoriasisarthritis zunehmende Fibroblastenaktivierung in multiplen Gelenken: Zunehmend im Kniegelenk links mit zunehmendem Gelenkserguss und synovialem Verteilungsmuster DD Synovialitis. Zunehmende Anreicherungen in multiplen Hand- und Fingergelenken bds..</w:t>
      </w:r>
    </w:p>
    <w:p w14:paraId="647AB9D3" w14:textId="77777777" w:rsidR="002E0B21" w:rsidRPr="002E0B21" w:rsidRDefault="002E0B21" w:rsidP="002E0B21">
      <w:r w:rsidRPr="002E0B21">
        <w:t>Neue Enthesitis spinal. Neuer FAPI-Fokus im Schultergelenk rechts medial. Zunehmende Sehnenansatztendinopathie peritrochantär bds. Einzelne Regionen regredient, z.B. im Schultergelenk links.</w:t>
      </w:r>
    </w:p>
    <w:p w14:paraId="5337C9AA" w14:textId="77777777" w:rsidR="002E0B21" w:rsidRPr="002E0B21" w:rsidRDefault="002E0B21" w:rsidP="002E0B21">
      <w:r w:rsidRPr="002E0B21">
        <w:t> </w:t>
      </w:r>
    </w:p>
    <w:p w14:paraId="1E405BD2" w14:textId="77777777" w:rsidR="002E0B21" w:rsidRPr="002E0B21" w:rsidRDefault="002E0B21" w:rsidP="002E0B21">
      <w:pPr>
        <w:numPr>
          <w:ilvl w:val="1"/>
          <w:numId w:val="1"/>
        </w:numPr>
      </w:pPr>
      <w:r w:rsidRPr="002E0B21">
        <w:t xml:space="preserve">Histologie li. Knie 11.02.2019: ausgeprägte lymphofollikuläre Synovialitis und lymphofol. Infiltrat. Keine Blutungen, keine Malignität </w:t>
      </w:r>
    </w:p>
    <w:p w14:paraId="260F51B2" w14:textId="77777777" w:rsidR="002E0B21" w:rsidRPr="002E0B21" w:rsidRDefault="002E0B21" w:rsidP="002E0B21">
      <w:pPr>
        <w:numPr>
          <w:ilvl w:val="1"/>
          <w:numId w:val="1"/>
        </w:numPr>
      </w:pPr>
      <w:r w:rsidRPr="002E0B21">
        <w:t xml:space="preserve">Histologie li. Knie 31.07.2023: Summenscore: 3 Graduierung nach Krenn et al: Low grade Synovialitis (2-4) </w:t>
      </w:r>
    </w:p>
    <w:p w14:paraId="34BDDB4D" w14:textId="77777777" w:rsidR="002E0B21" w:rsidRPr="002E0B21" w:rsidRDefault="002E0B21" w:rsidP="002E0B21">
      <w:pPr>
        <w:numPr>
          <w:ilvl w:val="1"/>
          <w:numId w:val="1"/>
        </w:numPr>
      </w:pPr>
      <w:r w:rsidRPr="002E0B21">
        <w:t xml:space="preserve">Immunologie: unauffällig </w:t>
      </w:r>
    </w:p>
    <w:p w14:paraId="7292F74E" w14:textId="77777777" w:rsidR="002E0B21" w:rsidRPr="002E0B21" w:rsidRDefault="002E0B21" w:rsidP="002E0B21">
      <w:pPr>
        <w:numPr>
          <w:ilvl w:val="1"/>
          <w:numId w:val="1"/>
        </w:numPr>
      </w:pPr>
      <w:r w:rsidRPr="002E0B21">
        <w:t xml:space="preserve">lokale Punktion und Volon-Injektion am li. Knie 18.07.2019 </w:t>
      </w:r>
    </w:p>
    <w:p w14:paraId="0B265F7A" w14:textId="77777777" w:rsidR="002E0B21" w:rsidRPr="002E0B21" w:rsidRDefault="002E0B21" w:rsidP="002E0B21">
      <w:pPr>
        <w:numPr>
          <w:ilvl w:val="1"/>
          <w:numId w:val="1"/>
        </w:numPr>
      </w:pPr>
      <w:r w:rsidRPr="002E0B21">
        <w:t xml:space="preserve">Bisherige Therapie: MTX, Tofacitinib, Secukinumab, Adalimumab, Etanercept, Risankizumab </w:t>
      </w:r>
    </w:p>
    <w:p w14:paraId="5A2993C6" w14:textId="77777777" w:rsidR="002E0B21" w:rsidRPr="002E0B21" w:rsidRDefault="002E0B21" w:rsidP="002E0B21">
      <w:pPr>
        <w:numPr>
          <w:ilvl w:val="1"/>
          <w:numId w:val="1"/>
        </w:numPr>
      </w:pPr>
      <w:r w:rsidRPr="002E0B21">
        <w:t xml:space="preserve">Aktuelle Therapie Empfehlung: Beginn Golimumab 50mg 1x monatlich </w:t>
      </w:r>
    </w:p>
    <w:p w14:paraId="08170593" w14:textId="77777777" w:rsidR="002E0B21" w:rsidRPr="002E0B21" w:rsidRDefault="002E0B21" w:rsidP="002E0B21">
      <w:r w:rsidRPr="002E0B21">
        <w:t> </w:t>
      </w:r>
    </w:p>
    <w:p w14:paraId="763D886E" w14:textId="77777777" w:rsidR="002E0B21" w:rsidRPr="002E0B21" w:rsidRDefault="002E0B21" w:rsidP="002E0B21">
      <w:r w:rsidRPr="002E0B21">
        <w:rPr>
          <w:b/>
          <w:bCs/>
        </w:rPr>
        <w:t>Nebendiagosen:</w:t>
      </w:r>
    </w:p>
    <w:p w14:paraId="31A7CE5C" w14:textId="77777777" w:rsidR="002E0B21" w:rsidRPr="002E0B21" w:rsidRDefault="002E0B21" w:rsidP="002E0B21">
      <w:pPr>
        <w:numPr>
          <w:ilvl w:val="0"/>
          <w:numId w:val="2"/>
        </w:numPr>
      </w:pPr>
      <w:r w:rsidRPr="002E0B21">
        <w:t xml:space="preserve">Hyperferritinämie ohne Eisenüberladung </w:t>
      </w:r>
    </w:p>
    <w:p w14:paraId="0DA47691" w14:textId="77777777" w:rsidR="002E0B21" w:rsidRPr="002E0B21" w:rsidRDefault="002E0B21" w:rsidP="002E0B21">
      <w:pPr>
        <w:numPr>
          <w:ilvl w:val="1"/>
          <w:numId w:val="2"/>
        </w:numPr>
      </w:pPr>
      <w:r w:rsidRPr="002E0B21">
        <w:t>02/22 Ausschluss einer Hämochromatose</w:t>
      </w:r>
    </w:p>
    <w:p w14:paraId="796555AA" w14:textId="77777777" w:rsidR="002E0B21" w:rsidRPr="002E0B21" w:rsidRDefault="002E0B21" w:rsidP="002E0B21">
      <w:pPr>
        <w:numPr>
          <w:ilvl w:val="1"/>
          <w:numId w:val="2"/>
        </w:numPr>
      </w:pPr>
      <w:r w:rsidRPr="002E0B21">
        <w:t>normwertige Transferrinsättigung</w:t>
      </w:r>
    </w:p>
    <w:p w14:paraId="3F94556A" w14:textId="77777777" w:rsidR="002E0B21" w:rsidRPr="002E0B21" w:rsidRDefault="002E0B21" w:rsidP="002E0B21">
      <w:pPr>
        <w:numPr>
          <w:ilvl w:val="1"/>
          <w:numId w:val="2"/>
        </w:numPr>
      </w:pPr>
      <w:r w:rsidRPr="002E0B21">
        <w:t>Z.n. Leberbiopsie 07/10 mit nutritiv-toxischer Schädigung ohne Eiseneinlagerungen</w:t>
      </w:r>
    </w:p>
    <w:p w14:paraId="389DAAAF" w14:textId="77777777" w:rsidR="002E0B21" w:rsidRPr="002E0B21" w:rsidRDefault="002E0B21" w:rsidP="002E0B21">
      <w:pPr>
        <w:numPr>
          <w:ilvl w:val="1"/>
          <w:numId w:val="2"/>
        </w:numPr>
      </w:pPr>
      <w:r w:rsidRPr="002E0B21">
        <w:t>heterozygote Mutation im H63D im HFE-Gen (His63Asp)</w:t>
      </w:r>
    </w:p>
    <w:p w14:paraId="13A9D9FD" w14:textId="77777777" w:rsidR="002E0B21" w:rsidRPr="002E0B21" w:rsidRDefault="002E0B21" w:rsidP="002E0B21">
      <w:pPr>
        <w:numPr>
          <w:ilvl w:val="1"/>
          <w:numId w:val="2"/>
        </w:numPr>
      </w:pPr>
      <w:r w:rsidRPr="002E0B21">
        <w:t>kein Nachweis einer Mutation im HFE-Gen C282Y oder im HH-Gen Ser65Cy</w:t>
      </w:r>
    </w:p>
    <w:p w14:paraId="761C6D4A" w14:textId="77777777" w:rsidR="002E0B21" w:rsidRPr="002E0B21" w:rsidRDefault="002E0B21" w:rsidP="002E0B21">
      <w:pPr>
        <w:numPr>
          <w:ilvl w:val="1"/>
          <w:numId w:val="2"/>
        </w:numPr>
      </w:pPr>
      <w:r w:rsidRPr="002E0B21">
        <w:lastRenderedPageBreak/>
        <w:t>Z.n. Aderlass, Z.n. Therapie Deferasirox</w:t>
      </w:r>
    </w:p>
    <w:p w14:paraId="3B999A6E" w14:textId="77777777" w:rsidR="002E0B21" w:rsidRPr="002E0B21" w:rsidRDefault="002E0B21" w:rsidP="002E0B21">
      <w:pPr>
        <w:numPr>
          <w:ilvl w:val="1"/>
          <w:numId w:val="2"/>
        </w:numPr>
      </w:pPr>
      <w:r w:rsidRPr="002E0B21">
        <w:t>chron. Erhöhung des Serumferritins a.e. im Rahmen einer Entzündungsreaktion bzw. bei Steatosis hepatis</w:t>
      </w:r>
    </w:p>
    <w:p w14:paraId="0EC65331" w14:textId="77777777" w:rsidR="002E0B21" w:rsidRPr="002E0B21" w:rsidRDefault="002E0B21" w:rsidP="002E0B21">
      <w:pPr>
        <w:numPr>
          <w:ilvl w:val="0"/>
          <w:numId w:val="2"/>
        </w:numPr>
      </w:pPr>
      <w:r w:rsidRPr="002E0B21">
        <w:t xml:space="preserve">Degen. HWS-Syndrom, AC-Gelenksarthrose </w:t>
      </w:r>
    </w:p>
    <w:p w14:paraId="6972417C" w14:textId="77777777" w:rsidR="002E0B21" w:rsidRPr="002E0B21" w:rsidRDefault="002E0B21" w:rsidP="002E0B21">
      <w:pPr>
        <w:numPr>
          <w:ilvl w:val="0"/>
          <w:numId w:val="2"/>
        </w:numPr>
      </w:pPr>
      <w:r w:rsidRPr="002E0B21">
        <w:t xml:space="preserve">DM Typ 2 nicht insulinpflichtig, diätetisch eingestellt </w:t>
      </w:r>
    </w:p>
    <w:p w14:paraId="5F472536" w14:textId="77777777" w:rsidR="002E0B21" w:rsidRPr="002E0B21" w:rsidRDefault="002E0B21" w:rsidP="002E0B21">
      <w:pPr>
        <w:numPr>
          <w:ilvl w:val="0"/>
          <w:numId w:val="2"/>
        </w:numPr>
      </w:pPr>
      <w:r w:rsidRPr="002E0B21">
        <w:t xml:space="preserve">arterielle Hypertonie </w:t>
      </w:r>
    </w:p>
    <w:p w14:paraId="476B696D" w14:textId="77777777" w:rsidR="002E0B21" w:rsidRPr="002E0B21" w:rsidRDefault="002E0B21" w:rsidP="002E0B21">
      <w:r w:rsidRPr="002E0B21">
        <w:br/>
      </w:r>
      <w:r w:rsidRPr="002E0B21">
        <w:br/>
      </w:r>
      <w:r w:rsidRPr="002E0B21">
        <w:rPr>
          <w:b/>
          <w:bCs/>
        </w:rPr>
        <w:t>Therapiehistorie</w:t>
      </w:r>
      <w:r w:rsidRPr="002E0B21">
        <w:t xml:space="preserve"> </w:t>
      </w:r>
    </w:p>
    <w:p w14:paraId="7EB84825" w14:textId="77777777" w:rsidR="002E0B21" w:rsidRPr="002E0B21" w:rsidRDefault="000267D5" w:rsidP="002E0B21">
      <w:r>
        <w:rPr>
          <w:noProof/>
        </w:rPr>
      </w:r>
      <w:r>
        <w:pict w14:anchorId="708F985C">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EB4B391" w14:textId="77777777" w:rsidR="002E0B21" w:rsidRPr="002E0B21" w:rsidRDefault="002E0B21" w:rsidP="002E0B21">
      <w:r w:rsidRPr="002E0B21">
        <w:rPr>
          <w:u w:val="single"/>
        </w:rPr>
        <w:t>Therapiehistorie:</w:t>
      </w:r>
    </w:p>
    <w:p w14:paraId="7559B2E4" w14:textId="77777777" w:rsidR="002E0B21" w:rsidRPr="002E0B21" w:rsidRDefault="002E0B21" w:rsidP="002E0B21">
      <w:r w:rsidRPr="002E0B21">
        <w:t xml:space="preserve">Z.n. MTX 15mg p.o./Woche </w:t>
      </w:r>
    </w:p>
    <w:p w14:paraId="0D30C05B" w14:textId="77777777" w:rsidR="002E0B21" w:rsidRPr="002E0B21" w:rsidRDefault="002E0B21" w:rsidP="002E0B21">
      <w:r w:rsidRPr="002E0B21">
        <w:t xml:space="preserve">Z.n. Tofacitinib 5 mg 1-0-1 seit 09/20-03/2023 (Wirkungsverlust) </w:t>
      </w:r>
    </w:p>
    <w:p w14:paraId="22500959" w14:textId="77777777" w:rsidR="002E0B21" w:rsidRPr="002E0B21" w:rsidRDefault="002E0B21" w:rsidP="002E0B21">
      <w:r w:rsidRPr="002E0B21">
        <w:t>Z.n. Secukinumab (Cosentyx) 300mg s.c. ab 03/2023-07/2023 (Keine Wirkung)</w:t>
      </w:r>
    </w:p>
    <w:p w14:paraId="73836E33" w14:textId="77777777" w:rsidR="002E0B21" w:rsidRPr="002E0B21" w:rsidRDefault="002E0B21" w:rsidP="002E0B21">
      <w:r w:rsidRPr="002E0B21">
        <w:t>Z.n. Adalimumab 07/2023-04/2024 (Wirkungsverlust)</w:t>
      </w:r>
    </w:p>
    <w:p w14:paraId="142796B0" w14:textId="77777777" w:rsidR="002E0B21" w:rsidRPr="002E0B21" w:rsidRDefault="002E0B21" w:rsidP="002E0B21">
      <w:r w:rsidRPr="002E0B21">
        <w:t>Z.n. Etanercept (Enbrel) 50 mg 1x wöchentlich (Aggravation der Haut-Psoriasis)</w:t>
      </w:r>
    </w:p>
    <w:p w14:paraId="4DCC90AA" w14:textId="77777777" w:rsidR="002E0B21" w:rsidRPr="002E0B21" w:rsidRDefault="002E0B21" w:rsidP="002E0B21">
      <w:r w:rsidRPr="002E0B21">
        <w:t> </w:t>
      </w:r>
    </w:p>
    <w:p w14:paraId="3BD6A279" w14:textId="77777777" w:rsidR="002E0B21" w:rsidRPr="002E0B21" w:rsidRDefault="002E0B21" w:rsidP="002E0B21">
      <w:r w:rsidRPr="002E0B21">
        <w:rPr>
          <w:u w:val="single"/>
        </w:rPr>
        <w:t>Dauermedikation:</w:t>
      </w:r>
    </w:p>
    <w:p w14:paraId="3423D832" w14:textId="77777777" w:rsidR="002E0B21" w:rsidRPr="002E0B21" w:rsidRDefault="002E0B21" w:rsidP="002E0B21">
      <w:r w:rsidRPr="002E0B21">
        <w:t>Risankizumab</w:t>
      </w:r>
    </w:p>
    <w:p w14:paraId="5E29C0A4" w14:textId="77777777" w:rsidR="002E0B21" w:rsidRPr="002E0B21" w:rsidRDefault="002E0B21" w:rsidP="002E0B21">
      <w:r w:rsidRPr="002E0B21">
        <w:t> </w:t>
      </w:r>
    </w:p>
    <w:p w14:paraId="02D0428D" w14:textId="77777777" w:rsidR="002E0B21" w:rsidRPr="002E0B21" w:rsidRDefault="002E0B21" w:rsidP="002E0B21">
      <w:r w:rsidRPr="002E0B21">
        <w:t> </w:t>
      </w:r>
    </w:p>
    <w:p w14:paraId="0A95CF14" w14:textId="77777777" w:rsidR="002E0B21" w:rsidRPr="002E0B21" w:rsidRDefault="002E0B21" w:rsidP="002E0B21">
      <w:r w:rsidRPr="002E0B21">
        <w:br/>
      </w:r>
      <w:r w:rsidRPr="002E0B21">
        <w:br/>
      </w:r>
      <w:r w:rsidRPr="002E0B21">
        <w:rPr>
          <w:b/>
          <w:bCs/>
        </w:rPr>
        <w:t>Anamnese</w:t>
      </w:r>
      <w:r w:rsidRPr="002E0B21">
        <w:t xml:space="preserve"> </w:t>
      </w:r>
    </w:p>
    <w:p w14:paraId="3035DA0E" w14:textId="77777777" w:rsidR="002E0B21" w:rsidRPr="002E0B21" w:rsidRDefault="000267D5" w:rsidP="002E0B21">
      <w:r>
        <w:rPr>
          <w:noProof/>
        </w:rPr>
      </w:r>
      <w:r>
        <w:pict w14:anchorId="289DE423">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CFB26DE" w14:textId="77777777" w:rsidR="002E0B21" w:rsidRPr="002E0B21" w:rsidRDefault="002E0B21" w:rsidP="002E0B21">
      <w:r w:rsidRPr="002E0B21">
        <w:t>Wiedervorstellung zur Verlaufskontrolle bei bekannter Psoriasis-Arthritis, zuletzt unter Therapie mit Risankizumab.</w:t>
      </w:r>
    </w:p>
    <w:p w14:paraId="6A0ECA6E" w14:textId="77777777" w:rsidR="002E0B21" w:rsidRPr="002E0B21" w:rsidRDefault="002E0B21" w:rsidP="002E0B21">
      <w:r w:rsidRPr="002E0B21">
        <w:t>Die Umstellung auf Skyrizi erfolgte durch die behandelnde Dermatologie. Die Injektionen wurden am 28.07.2025 und 28.08.2025 appliziert. Am 28.07.2025 wurde zusätzlich ein Kortisonstoß mit 20 mg Prednisolon über zwei Wochen durchgeführt.</w:t>
      </w:r>
    </w:p>
    <w:p w14:paraId="5478D3DC" w14:textId="77777777" w:rsidR="002E0B21" w:rsidRPr="002E0B21" w:rsidRDefault="002E0B21" w:rsidP="002E0B21">
      <w:r w:rsidRPr="002E0B21">
        <w:t>Eine Therapie mit Methotrexat wurde aufgrund von Unverträglichkeit beendet.</w:t>
      </w:r>
    </w:p>
    <w:p w14:paraId="3A6484AD" w14:textId="77777777" w:rsidR="002E0B21" w:rsidRPr="002E0B21" w:rsidRDefault="002E0B21" w:rsidP="002E0B21">
      <w:r w:rsidRPr="002E0B21">
        <w:lastRenderedPageBreak/>
        <w:t>Unter Risankizumab zeigte sich eine gute Wirkung auf die Haut, jedoch bestehen weiterhin zunehmende Gelenkbeschwerden. Der Patient berichtet über starke, persistierende Schmerzen in beiden Handgelenken und Fingern, insbesondere in den Daumengelenken, sowie im linken Knie. Die Schmerzen bestehen durchgängig, die Morgensteifigkeit hält ganztägig an, eine Besserung durch Bewegung wird verneint.</w:t>
      </w:r>
    </w:p>
    <w:p w14:paraId="3D42ADF3" w14:textId="77777777" w:rsidR="002E0B21" w:rsidRPr="002E0B21" w:rsidRDefault="002E0B21" w:rsidP="002E0B21">
      <w:r w:rsidRPr="002E0B21">
        <w:t>Das linke Knie ist geschwollen, wobei die Schwellung unter Belastung zunimmt. Zudem berichtete der Patient über eine aktive Psoriasis beider Unterschenkel vor einigen Wochen, welche dermatologisch topisch behandelt wurde; aktuell bestehen keine psoriatischen Hautläsionen.</w:t>
      </w:r>
    </w:p>
    <w:p w14:paraId="42181998" w14:textId="77777777" w:rsidR="002E0B21" w:rsidRPr="002E0B21" w:rsidRDefault="002E0B21" w:rsidP="002E0B21">
      <w:r w:rsidRPr="002E0B21">
        <w:t>Der Patient nimmt derzeit täglich 600 mg Ibuprofen ein. Es kommt zu nächtlichem Erwachen aufgrund der Gelenkbeschwerden.</w:t>
      </w:r>
    </w:p>
    <w:p w14:paraId="319ABFA6" w14:textId="77777777" w:rsidR="002E0B21" w:rsidRPr="002E0B21" w:rsidRDefault="002E0B21" w:rsidP="002E0B21">
      <w:r w:rsidRPr="002E0B21">
        <w:t>Die restliche fachspezifische und vegetative Anamnese ist unauffällig.</w:t>
      </w:r>
    </w:p>
    <w:p w14:paraId="18B71E92" w14:textId="77777777" w:rsidR="002E0B21" w:rsidRPr="002E0B21" w:rsidRDefault="002E0B21" w:rsidP="002E0B21">
      <w:r w:rsidRPr="002E0B21">
        <w:br/>
      </w:r>
      <w:r w:rsidRPr="002E0B21">
        <w:br/>
      </w:r>
      <w:r w:rsidRPr="002E0B21">
        <w:rPr>
          <w:b/>
          <w:bCs/>
        </w:rPr>
        <w:t>Untersuchungsbefund</w:t>
      </w:r>
      <w:r w:rsidRPr="002E0B21">
        <w:t xml:space="preserve"> </w:t>
      </w:r>
    </w:p>
    <w:p w14:paraId="441C83A8" w14:textId="77777777" w:rsidR="002E0B21" w:rsidRPr="002E0B21" w:rsidRDefault="000267D5" w:rsidP="002E0B21">
      <w:r>
        <w:rPr>
          <w:noProof/>
        </w:rPr>
      </w:r>
      <w:r>
        <w:pict w14:anchorId="731E346C">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4F39BDA" w14:textId="77777777" w:rsidR="002E0B21" w:rsidRPr="002E0B21" w:rsidRDefault="002E0B21" w:rsidP="002E0B21">
      <w:r w:rsidRPr="002E0B21">
        <w:t> </w:t>
      </w:r>
    </w:p>
    <w:p w14:paraId="60AEA92C" w14:textId="77777777" w:rsidR="002E0B21" w:rsidRPr="002E0B21" w:rsidRDefault="002E0B21" w:rsidP="002E0B21">
      <w:r w:rsidRPr="002E0B21">
        <w:t>Gewicht 84 Kg</w:t>
      </w:r>
    </w:p>
    <w:p w14:paraId="279CF8EB" w14:textId="77777777" w:rsidR="002E0B21" w:rsidRPr="002E0B21" w:rsidRDefault="002E0B21" w:rsidP="002E0B21">
      <w:r w:rsidRPr="002E0B21">
        <w:t>Cor, Pulmo unauffällig</w:t>
      </w:r>
    </w:p>
    <w:p w14:paraId="4C06137B" w14:textId="77777777" w:rsidR="002E0B21" w:rsidRPr="002E0B21" w:rsidRDefault="002E0B21" w:rsidP="002E0B21">
      <w:r w:rsidRPr="002E0B21">
        <w:t>Haut unauffällig</w:t>
      </w:r>
    </w:p>
    <w:p w14:paraId="202633CC" w14:textId="77777777" w:rsidR="002E0B21" w:rsidRPr="002E0B21" w:rsidRDefault="002E0B21" w:rsidP="002E0B21">
      <w:r w:rsidRPr="002E0B21">
        <w:t>Keine periphere Lymphadenopathie</w:t>
      </w:r>
    </w:p>
    <w:p w14:paraId="749DD1FA" w14:textId="77777777" w:rsidR="002E0B21" w:rsidRPr="002E0B21" w:rsidRDefault="002E0B21" w:rsidP="002E0B21">
      <w:r w:rsidRPr="002E0B21">
        <w:t>Keine Ödeme</w:t>
      </w:r>
    </w:p>
    <w:p w14:paraId="658D5EDA" w14:textId="77777777" w:rsidR="002E0B21" w:rsidRPr="002E0B21" w:rsidRDefault="002E0B21" w:rsidP="002E0B21">
      <w:r w:rsidRPr="002E0B21">
        <w:t>Gelenkstatus: SJ 1 (Knie li), TJ 6: HG, Daumengrundgelenk bds, OSG links, Handflexion eingeschränkt insb links</w:t>
      </w:r>
    </w:p>
    <w:p w14:paraId="7B7CB4EC" w14:textId="77777777" w:rsidR="002E0B21" w:rsidRPr="002E0B21" w:rsidRDefault="002E0B21" w:rsidP="002E0B21">
      <w:r w:rsidRPr="002E0B21">
        <w:t>Sonografie Synovitis Grad 2 Powerdoppler Grad 2 im linken Handgelenk, rechtes Handgelenk normal</w:t>
      </w:r>
    </w:p>
    <w:p w14:paraId="7A35B8DE" w14:textId="77777777" w:rsidR="002E0B21" w:rsidRPr="002E0B21" w:rsidRDefault="002E0B21" w:rsidP="002E0B21">
      <w:r w:rsidRPr="002E0B21">
        <w:t>PASI 0.0</w:t>
      </w:r>
    </w:p>
    <w:p w14:paraId="7A0215A8" w14:textId="77777777" w:rsidR="002E0B21" w:rsidRPr="002E0B21" w:rsidRDefault="002E0B21" w:rsidP="002E0B21">
      <w:r w:rsidRPr="002E0B21">
        <w:t>DAPSA 16</w:t>
      </w:r>
    </w:p>
    <w:p w14:paraId="3D05B55C" w14:textId="77777777" w:rsidR="002E0B21" w:rsidRPr="002E0B21" w:rsidRDefault="002E0B21" w:rsidP="002E0B21">
      <w:r w:rsidRPr="002E0B21">
        <w:br/>
      </w:r>
      <w:r w:rsidRPr="002E0B21">
        <w:br/>
      </w:r>
      <w:r w:rsidRPr="002E0B21">
        <w:rPr>
          <w:b/>
          <w:bCs/>
        </w:rPr>
        <w:t>Laborwerte</w:t>
      </w:r>
      <w:r w:rsidRPr="002E0B21">
        <w:t xml:space="preserve"> </w:t>
      </w:r>
    </w:p>
    <w:p w14:paraId="1F0B507B" w14:textId="77777777" w:rsidR="002E0B21" w:rsidRPr="002E0B21" w:rsidRDefault="000267D5" w:rsidP="002E0B21">
      <w:r>
        <w:rPr>
          <w:noProof/>
        </w:rPr>
      </w:r>
      <w:r>
        <w:pict w14:anchorId="2DAA5FCC">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01B5228" w14:textId="77777777" w:rsidR="002E0B21" w:rsidRPr="002E0B21" w:rsidRDefault="002E0B21" w:rsidP="002E0B21">
      <w:r w:rsidRPr="002E0B21">
        <w:rPr>
          <w:b/>
          <w:bCs/>
          <w:i/>
          <w:iCs/>
        </w:rPr>
        <w:t>Laborwerte vom 11.09.2025:</w:t>
      </w:r>
      <w:r w:rsidRPr="002E0B21">
        <w:t> </w:t>
      </w:r>
    </w:p>
    <w:p w14:paraId="032B8959" w14:textId="77777777" w:rsidR="002E0B21" w:rsidRPr="002E0B21" w:rsidRDefault="002E0B21" w:rsidP="002E0B21">
      <w:r w:rsidRPr="002E0B21">
        <w:rPr>
          <w:b/>
          <w:bCs/>
          <w:u w:val="single"/>
        </w:rPr>
        <w:lastRenderedPageBreak/>
        <w:t>Kleines BB</w:t>
      </w:r>
      <w:r w:rsidRPr="002E0B21">
        <w:t>: Hämoglobin 14,1 g/dl (13,5 - 17,5 g/dl), Hämatokrit 40,2 % (39 - 51 %), Erythrozyten 4,69 x 10</w:t>
      </w:r>
      <w:r w:rsidRPr="002E0B21">
        <w:rPr>
          <w:vertAlign w:val="superscript"/>
        </w:rPr>
        <w:t>6</w:t>
      </w:r>
      <w:r w:rsidRPr="002E0B21">
        <w:t>/µl (4,4 - 5,8 x 10</w:t>
      </w:r>
      <w:r w:rsidRPr="002E0B21">
        <w:rPr>
          <w:vertAlign w:val="superscript"/>
        </w:rPr>
        <w:t>6</w:t>
      </w:r>
      <w:r w:rsidRPr="002E0B21">
        <w:t>/µl), Leukozyten 8,03 x 10</w:t>
      </w:r>
      <w:r w:rsidRPr="002E0B21">
        <w:rPr>
          <w:vertAlign w:val="superscript"/>
        </w:rPr>
        <w:t>3</w:t>
      </w:r>
      <w:r w:rsidRPr="002E0B21">
        <w:t>/µl (4 - 10 x 10</w:t>
      </w:r>
      <w:r w:rsidRPr="002E0B21">
        <w:rPr>
          <w:vertAlign w:val="superscript"/>
        </w:rPr>
        <w:t>3</w:t>
      </w:r>
      <w:r w:rsidRPr="002E0B21">
        <w:t>/µl), Thrombozyten 255 x 10</w:t>
      </w:r>
      <w:r w:rsidRPr="002E0B21">
        <w:rPr>
          <w:vertAlign w:val="superscript"/>
        </w:rPr>
        <w:t>3</w:t>
      </w:r>
      <w:r w:rsidRPr="002E0B21">
        <w:t>/µl (140 - 350 x 10</w:t>
      </w:r>
      <w:r w:rsidRPr="002E0B21">
        <w:rPr>
          <w:vertAlign w:val="superscript"/>
        </w:rPr>
        <w:t>3</w:t>
      </w:r>
      <w:r w:rsidRPr="002E0B21">
        <w:t xml:space="preserve">/µl), MCH 30,1 pg (27 - 33 pg), MCHC 35,1 g Hb/dl (32 - 36 g Hb/dl), MCV 85,7 fl (81 - 98 fl), MPV 9,4 fl (7,8 - 11 fl), RDW 13,5 % (11,6 - 16,2 %). </w:t>
      </w:r>
    </w:p>
    <w:p w14:paraId="3840D361" w14:textId="77777777" w:rsidR="002E0B21" w:rsidRPr="002E0B21" w:rsidRDefault="002E0B21" w:rsidP="002E0B21">
      <w:r w:rsidRPr="002E0B21">
        <w:rPr>
          <w:b/>
          <w:bCs/>
          <w:u w:val="single"/>
        </w:rPr>
        <w:t>Diff. BB</w:t>
      </w:r>
      <w:r w:rsidRPr="002E0B21">
        <w:t>: Neutrophile (maschinell) 69,4 %, Eosinophile (maschinell) 3,7 %, Basophile (maschinell) 1,0 %, Lymphozyten (maschinell) 19,0 %, Monozyten (maschinell) 6,9 %, Neutrophile (maschinell) Absolut 5,6 x 10</w:t>
      </w:r>
      <w:r w:rsidRPr="002E0B21">
        <w:rPr>
          <w:vertAlign w:val="superscript"/>
        </w:rPr>
        <w:t>3</w:t>
      </w:r>
      <w:r w:rsidRPr="002E0B21">
        <w:t>/µl (1,6 - 7,8 x 10</w:t>
      </w:r>
      <w:r w:rsidRPr="002E0B21">
        <w:rPr>
          <w:vertAlign w:val="superscript"/>
        </w:rPr>
        <w:t>3</w:t>
      </w:r>
      <w:r w:rsidRPr="002E0B21">
        <w:t>/µl), Eosinophile (maschinell) Absolut 0,3 x 10</w:t>
      </w:r>
      <w:r w:rsidRPr="002E0B21">
        <w:rPr>
          <w:vertAlign w:val="superscript"/>
        </w:rPr>
        <w:t>3</w:t>
      </w:r>
      <w:r w:rsidRPr="002E0B21">
        <w:t>/µl (0 - 0,5 x 10</w:t>
      </w:r>
      <w:r w:rsidRPr="002E0B21">
        <w:rPr>
          <w:vertAlign w:val="superscript"/>
        </w:rPr>
        <w:t>3</w:t>
      </w:r>
      <w:r w:rsidRPr="002E0B21">
        <w:t>/µl), Basophile (maschinell) Absolut 0,1 x 10</w:t>
      </w:r>
      <w:r w:rsidRPr="002E0B21">
        <w:rPr>
          <w:vertAlign w:val="superscript"/>
        </w:rPr>
        <w:t>3</w:t>
      </w:r>
      <w:r w:rsidRPr="002E0B21">
        <w:t>/µl (0 - 0,1 x 10</w:t>
      </w:r>
      <w:r w:rsidRPr="002E0B21">
        <w:rPr>
          <w:vertAlign w:val="superscript"/>
        </w:rPr>
        <w:t>3</w:t>
      </w:r>
      <w:r w:rsidRPr="002E0B21">
        <w:t>/µl), Lymphozyten (maschinell) Absolut 1,5 x 10</w:t>
      </w:r>
      <w:r w:rsidRPr="002E0B21">
        <w:rPr>
          <w:vertAlign w:val="superscript"/>
        </w:rPr>
        <w:t>3</w:t>
      </w:r>
      <w:r w:rsidRPr="002E0B21">
        <w:t>/µl (1 - 3,5 x 10</w:t>
      </w:r>
      <w:r w:rsidRPr="002E0B21">
        <w:rPr>
          <w:vertAlign w:val="superscript"/>
        </w:rPr>
        <w:t>3</w:t>
      </w:r>
      <w:r w:rsidRPr="002E0B21">
        <w:t>/µl), Monozyten (maschinell) Absolut 0,6 x 10</w:t>
      </w:r>
      <w:r w:rsidRPr="002E0B21">
        <w:rPr>
          <w:vertAlign w:val="superscript"/>
        </w:rPr>
        <w:t>3</w:t>
      </w:r>
      <w:r w:rsidRPr="002E0B21">
        <w:t>/µl (0,1 - 0,9 x 10</w:t>
      </w:r>
      <w:r w:rsidRPr="002E0B21">
        <w:rPr>
          <w:vertAlign w:val="superscript"/>
        </w:rPr>
        <w:t>3</w:t>
      </w:r>
      <w:r w:rsidRPr="002E0B21">
        <w:t xml:space="preserve">/µl), </w:t>
      </w:r>
    </w:p>
    <w:p w14:paraId="29FA04FC" w14:textId="77777777" w:rsidR="002E0B21" w:rsidRPr="002E0B21" w:rsidRDefault="002E0B21" w:rsidP="002E0B21">
      <w:r w:rsidRPr="002E0B21">
        <w:rPr>
          <w:b/>
          <w:bCs/>
          <w:u w:val="single"/>
        </w:rPr>
        <w:t>Serumchemie</w:t>
      </w:r>
      <w:r w:rsidRPr="002E0B21">
        <w:t xml:space="preserve">: Kreatinin 0,99 mg/dl (0,67 - 1,17 mg/dl), eGFR (Berechnung nach CKD-EPI) 82 ml/min/1,73m², Harnsäure 5,4 mg/dl (3,4 - 7,0 mg/dl), Bilirubin gesamt 0,35 mg/dl (&lt; 1,10 mg/dl), alk. Phosphatase 109 U/l (40 - 130 U/l), AST / GOT 28 U/l (&lt; 50 U/l), ALT / GPT 39 U/l (&lt; 50 U/l), Gamma-GT 39 U/l (&lt; 60 U/l), Albumin (Serum) 41,8 g/l (35 - 55 g/l), </w:t>
      </w:r>
      <w:r w:rsidRPr="002E0B21">
        <w:rPr>
          <w:b/>
          <w:bCs/>
        </w:rPr>
        <w:t>LDH 271 U/l</w:t>
      </w:r>
      <w:r w:rsidRPr="002E0B21">
        <w:t xml:space="preserve"> (&lt; 250 U/l). </w:t>
      </w:r>
    </w:p>
    <w:p w14:paraId="779E12BB" w14:textId="77777777" w:rsidR="002E0B21" w:rsidRPr="002E0B21" w:rsidRDefault="002E0B21" w:rsidP="002E0B21">
      <w:r w:rsidRPr="002E0B21">
        <w:rPr>
          <w:b/>
          <w:bCs/>
          <w:u w:val="single"/>
        </w:rPr>
        <w:t>Sonstige Serumchemie</w:t>
      </w:r>
      <w:r w:rsidRPr="002E0B21">
        <w:t xml:space="preserve">: Eisen 82 ug/dl (40 - 160 ug/dl), Transferrin 2,38 g/l (2,00 - 3,60 g/l), Transferrin-Eisen-Sättigung 24,4 % (16 - 45 %). eGFR (Berechnung nach CKD-EPI) 82 ml/min/1,73m², </w:t>
      </w:r>
    </w:p>
    <w:p w14:paraId="06419250" w14:textId="77777777" w:rsidR="002E0B21" w:rsidRPr="002E0B21" w:rsidRDefault="002E0B21" w:rsidP="002E0B21">
      <w:r w:rsidRPr="002E0B21">
        <w:rPr>
          <w:b/>
          <w:bCs/>
          <w:u w:val="single"/>
        </w:rPr>
        <w:t>Immunologie</w:t>
      </w:r>
      <w:r w:rsidRPr="002E0B21">
        <w:t xml:space="preserve">: </w:t>
      </w:r>
      <w:r w:rsidRPr="002E0B21">
        <w:rPr>
          <w:b/>
          <w:bCs/>
        </w:rPr>
        <w:t>Rheumafaktor IgG 26,20 IE/ml</w:t>
      </w:r>
      <w:r w:rsidRPr="002E0B21">
        <w:t xml:space="preserve"> (0 - &lt;15 IE/ml), Komplement C3 130,6 mg/dl (81,1 - 157 mg/dl), Komplement C4 22,6 mg/dl (12,9 - 39,2 mg/dl), </w:t>
      </w:r>
      <w:r w:rsidRPr="002E0B21">
        <w:rPr>
          <w:b/>
          <w:bCs/>
        </w:rPr>
        <w:t>C-reaktives Protein 8,0 mg/l</w:t>
      </w:r>
      <w:r w:rsidRPr="002E0B21">
        <w:t xml:space="preserve"> (-&lt;5,5 mg/l), </w:t>
      </w:r>
      <w:r w:rsidRPr="002E0B21">
        <w:rPr>
          <w:b/>
          <w:bCs/>
        </w:rPr>
        <w:t>Ferritin 1798 ng/ml</w:t>
      </w:r>
      <w:r w:rsidRPr="002E0B21">
        <w:t xml:space="preserve"> (28 - 365 ng/ml), TNF alpha 7,9 pg/ml (0,1 - 13,7 pg/ml), </w:t>
      </w:r>
    </w:p>
    <w:p w14:paraId="1C96BCA4" w14:textId="77777777" w:rsidR="002E0B21" w:rsidRPr="002E0B21" w:rsidRDefault="002E0B21" w:rsidP="002E0B21">
      <w:r w:rsidRPr="002E0B21">
        <w:t> </w:t>
      </w:r>
    </w:p>
    <w:p w14:paraId="5DCF8E2F" w14:textId="77777777" w:rsidR="002E0B21" w:rsidRPr="002E0B21" w:rsidRDefault="002E0B21" w:rsidP="002E0B21">
      <w:r w:rsidRPr="002E0B21">
        <w:rPr>
          <w:b/>
          <w:bCs/>
          <w:i/>
          <w:iCs/>
        </w:rPr>
        <w:t>Laborwerte vom 12.12.2025:</w:t>
      </w:r>
      <w:r w:rsidRPr="002E0B21">
        <w:t> </w:t>
      </w:r>
    </w:p>
    <w:p w14:paraId="7E8E7A29" w14:textId="77777777" w:rsidR="002E0B21" w:rsidRPr="002E0B21" w:rsidRDefault="002E0B21" w:rsidP="002E0B21">
      <w:r w:rsidRPr="002E0B21">
        <w:rPr>
          <w:b/>
          <w:bCs/>
          <w:u w:val="single"/>
        </w:rPr>
        <w:t>Kleines BB</w:t>
      </w:r>
      <w:r w:rsidRPr="002E0B21">
        <w:t>: Hämoglobin 14,6 g/dl (13,5 - 17,5 g/dl), Hämatokrit 42,0 % (39 - 51 %), Erythrozyten 4,90 x 10</w:t>
      </w:r>
      <w:r w:rsidRPr="002E0B21">
        <w:rPr>
          <w:vertAlign w:val="superscript"/>
        </w:rPr>
        <w:t>6</w:t>
      </w:r>
      <w:r w:rsidRPr="002E0B21">
        <w:t>/µl (4,4 - 5,8 x 10</w:t>
      </w:r>
      <w:r w:rsidRPr="002E0B21">
        <w:rPr>
          <w:vertAlign w:val="superscript"/>
        </w:rPr>
        <w:t>6</w:t>
      </w:r>
      <w:r w:rsidRPr="002E0B21">
        <w:t>/µl), Leukozyten 7,40 x 10</w:t>
      </w:r>
      <w:r w:rsidRPr="002E0B21">
        <w:rPr>
          <w:vertAlign w:val="superscript"/>
        </w:rPr>
        <w:t>3</w:t>
      </w:r>
      <w:r w:rsidRPr="002E0B21">
        <w:t>/µl (4 - 10 x 10</w:t>
      </w:r>
      <w:r w:rsidRPr="002E0B21">
        <w:rPr>
          <w:vertAlign w:val="superscript"/>
        </w:rPr>
        <w:t>3</w:t>
      </w:r>
      <w:r w:rsidRPr="002E0B21">
        <w:t>/µl), Thrombozyten 221 x 10</w:t>
      </w:r>
      <w:r w:rsidRPr="002E0B21">
        <w:rPr>
          <w:vertAlign w:val="superscript"/>
        </w:rPr>
        <w:t>3</w:t>
      </w:r>
      <w:r w:rsidRPr="002E0B21">
        <w:t>/µl (140 - 350 x 10</w:t>
      </w:r>
      <w:r w:rsidRPr="002E0B21">
        <w:rPr>
          <w:vertAlign w:val="superscript"/>
        </w:rPr>
        <w:t>3</w:t>
      </w:r>
      <w:r w:rsidRPr="002E0B21">
        <w:t xml:space="preserve">/µl), MCH 29,9 pg (27 - 33 pg), MCHC 34,8 g Hb/dl (32 - 36 g Hb/dl), MCV 85,7 fl (81 - 98 fl), MPV 9,7 fl (7,8 - 11 fl), RDW 13,3 % (11,6 - 16,2 %). </w:t>
      </w:r>
    </w:p>
    <w:p w14:paraId="3AF175F9" w14:textId="77777777" w:rsidR="002E0B21" w:rsidRPr="002E0B21" w:rsidRDefault="002E0B21" w:rsidP="002E0B21">
      <w:r w:rsidRPr="002E0B21">
        <w:rPr>
          <w:b/>
          <w:bCs/>
          <w:u w:val="single"/>
        </w:rPr>
        <w:t>Diff. BB</w:t>
      </w:r>
      <w:r w:rsidRPr="002E0B21">
        <w:t>: Neutrophile (maschinell) 70,6 %, Eosinophile (maschinell) 3,3 %, Basophile (maschinell) 0,9 %, Lymphozyten (maschinell) 18,2 %, Monozyten (maschinell) 7,0 %, Neutrophile (maschinell) Absolut 5,2 x 10</w:t>
      </w:r>
      <w:r w:rsidRPr="002E0B21">
        <w:rPr>
          <w:vertAlign w:val="superscript"/>
        </w:rPr>
        <w:t>3</w:t>
      </w:r>
      <w:r w:rsidRPr="002E0B21">
        <w:t>/µl (1,6 - 7,8 x 10</w:t>
      </w:r>
      <w:r w:rsidRPr="002E0B21">
        <w:rPr>
          <w:vertAlign w:val="superscript"/>
        </w:rPr>
        <w:t>3</w:t>
      </w:r>
      <w:r w:rsidRPr="002E0B21">
        <w:t>/µl), Eosinophile (maschinell) Absolut 0,2 x 10</w:t>
      </w:r>
      <w:r w:rsidRPr="002E0B21">
        <w:rPr>
          <w:vertAlign w:val="superscript"/>
        </w:rPr>
        <w:t>3</w:t>
      </w:r>
      <w:r w:rsidRPr="002E0B21">
        <w:t>/µl (0 - 0,5 x 10</w:t>
      </w:r>
      <w:r w:rsidRPr="002E0B21">
        <w:rPr>
          <w:vertAlign w:val="superscript"/>
        </w:rPr>
        <w:t>3</w:t>
      </w:r>
      <w:r w:rsidRPr="002E0B21">
        <w:t>/µl), Basophile (maschinell) Absolut 0,1 x 10</w:t>
      </w:r>
      <w:r w:rsidRPr="002E0B21">
        <w:rPr>
          <w:vertAlign w:val="superscript"/>
        </w:rPr>
        <w:t>3</w:t>
      </w:r>
      <w:r w:rsidRPr="002E0B21">
        <w:t>/µl (0 - 0,1 x 10</w:t>
      </w:r>
      <w:r w:rsidRPr="002E0B21">
        <w:rPr>
          <w:vertAlign w:val="superscript"/>
        </w:rPr>
        <w:t>3</w:t>
      </w:r>
      <w:r w:rsidRPr="002E0B21">
        <w:t>/µl), Lymphozyten (maschinell) Absolut 1,3 x 10</w:t>
      </w:r>
      <w:r w:rsidRPr="002E0B21">
        <w:rPr>
          <w:vertAlign w:val="superscript"/>
        </w:rPr>
        <w:t>3</w:t>
      </w:r>
      <w:r w:rsidRPr="002E0B21">
        <w:t>/µl (1 - 3,5 x 10</w:t>
      </w:r>
      <w:r w:rsidRPr="002E0B21">
        <w:rPr>
          <w:vertAlign w:val="superscript"/>
        </w:rPr>
        <w:t>3</w:t>
      </w:r>
      <w:r w:rsidRPr="002E0B21">
        <w:t>/µl), Monozyten (maschinell) Absolut 0,5 x 10</w:t>
      </w:r>
      <w:r w:rsidRPr="002E0B21">
        <w:rPr>
          <w:vertAlign w:val="superscript"/>
        </w:rPr>
        <w:t>3</w:t>
      </w:r>
      <w:r w:rsidRPr="002E0B21">
        <w:t>/µl (0,1 - 0,9 x 10</w:t>
      </w:r>
      <w:r w:rsidRPr="002E0B21">
        <w:rPr>
          <w:vertAlign w:val="superscript"/>
        </w:rPr>
        <w:t>3</w:t>
      </w:r>
      <w:r w:rsidRPr="002E0B21">
        <w:t xml:space="preserve">/µl), </w:t>
      </w:r>
    </w:p>
    <w:p w14:paraId="5C47ADB1" w14:textId="77777777" w:rsidR="002E0B21" w:rsidRPr="002E0B21" w:rsidRDefault="002E0B21" w:rsidP="002E0B21">
      <w:r w:rsidRPr="002E0B21">
        <w:rPr>
          <w:b/>
          <w:bCs/>
          <w:u w:val="single"/>
        </w:rPr>
        <w:lastRenderedPageBreak/>
        <w:t>Serumchemie</w:t>
      </w:r>
      <w:r w:rsidRPr="002E0B21">
        <w:t xml:space="preserve">: Kreatinin 0,96 mg/dl (0,67 - 1,17 mg/dl), eGFR (Berechnung nach CKD-EPI) 85 ml/min/1,73m², Harnsäure 4,9 mg/dl (3,4 - 7,0 mg/dl), AST / GOT 28 U/l (&lt; 50 U/l), ALT / GPT 47 U/l (&lt; 50 U/l), Gamma-GT 37 U/l (&lt; 60 U/l), Albumin (Serum) 43,1 g/l (35 - 55 g/l). </w:t>
      </w:r>
    </w:p>
    <w:p w14:paraId="44DF5025" w14:textId="77777777" w:rsidR="002E0B21" w:rsidRPr="002E0B21" w:rsidRDefault="002E0B21" w:rsidP="002E0B21">
      <w:r w:rsidRPr="002E0B21">
        <w:rPr>
          <w:b/>
          <w:bCs/>
          <w:u w:val="single"/>
        </w:rPr>
        <w:t>Sonstige Serumchemie</w:t>
      </w:r>
      <w:r w:rsidRPr="002E0B21">
        <w:t xml:space="preserve">: eGFR (Berechnung nach CKD-EPI) 85 ml/min/1,73m², </w:t>
      </w:r>
    </w:p>
    <w:p w14:paraId="4612640C" w14:textId="77777777" w:rsidR="002E0B21" w:rsidRPr="002E0B21" w:rsidRDefault="002E0B21" w:rsidP="002E0B21">
      <w:r w:rsidRPr="002E0B21">
        <w:rPr>
          <w:b/>
          <w:bCs/>
          <w:u w:val="single"/>
        </w:rPr>
        <w:t>Immunologie</w:t>
      </w:r>
      <w:r w:rsidRPr="002E0B21">
        <w:t xml:space="preserve">: </w:t>
      </w:r>
      <w:r w:rsidRPr="002E0B21">
        <w:rPr>
          <w:b/>
          <w:bCs/>
        </w:rPr>
        <w:t>Rheumafaktor IgG 32,56 IE/ml</w:t>
      </w:r>
      <w:r w:rsidRPr="002E0B21">
        <w:t xml:space="preserve"> (0 - &lt;15 IE/ml), Komplement C3 134,4 mg/dl (81,1 - 157 mg/dl), Komplement C4 22,6 mg/dl (12,9 - 39,2 mg/dl), </w:t>
      </w:r>
      <w:r w:rsidRPr="002E0B21">
        <w:rPr>
          <w:b/>
          <w:bCs/>
        </w:rPr>
        <w:t>C-reaktives Protein 6,1 mg/l</w:t>
      </w:r>
      <w:r w:rsidRPr="002E0B21">
        <w:t xml:space="preserve"> (-&lt;5,5 mg/l), </w:t>
      </w:r>
    </w:p>
    <w:p w14:paraId="4A94FA93" w14:textId="77777777" w:rsidR="002E0B21" w:rsidRPr="002E0B21" w:rsidRDefault="002E0B21" w:rsidP="002E0B21">
      <w:r w:rsidRPr="002E0B21">
        <w:br/>
      </w:r>
      <w:r w:rsidRPr="002E0B21">
        <w:br/>
      </w:r>
      <w:r w:rsidRPr="002E0B21">
        <w:rPr>
          <w:b/>
          <w:bCs/>
        </w:rPr>
        <w:t>Weitere Befunde</w:t>
      </w:r>
      <w:r w:rsidRPr="002E0B21">
        <w:t xml:space="preserve"> </w:t>
      </w:r>
    </w:p>
    <w:p w14:paraId="505DA78D" w14:textId="77777777" w:rsidR="002E0B21" w:rsidRPr="002E0B21" w:rsidRDefault="000267D5" w:rsidP="002E0B21">
      <w:r>
        <w:rPr>
          <w:noProof/>
        </w:rPr>
      </w:r>
      <w:r>
        <w:pict w14:anchorId="3D67C036">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3F1B75F" w14:textId="77777777" w:rsidR="002E0B21" w:rsidRPr="002E0B21" w:rsidRDefault="002E0B21" w:rsidP="002E0B21">
      <w:r w:rsidRPr="002E0B21">
        <w:rPr>
          <w:b/>
          <w:bCs/>
          <w:u w:val="single"/>
        </w:rPr>
        <w:t>FAPI PET/CT vom 23.09.2025:</w:t>
      </w:r>
    </w:p>
    <w:p w14:paraId="5B14879C" w14:textId="77777777" w:rsidR="002E0B21" w:rsidRPr="002E0B21" w:rsidRDefault="002E0B21" w:rsidP="002E0B21">
      <w:r w:rsidRPr="002E0B21">
        <w:t>Fragestellung: Verlaufskontrolle.</w:t>
      </w:r>
    </w:p>
    <w:p w14:paraId="3DA34C2E" w14:textId="77777777" w:rsidR="002E0B21" w:rsidRPr="002E0B21" w:rsidRDefault="002E0B21" w:rsidP="002E0B21">
      <w:r w:rsidRPr="002E0B21">
        <w:t>Befund: Zum Vergleich liegt eine FAPI-PET/CT vom 21.7.2023 vor.</w:t>
      </w:r>
    </w:p>
    <w:p w14:paraId="3CAE58C1" w14:textId="77777777" w:rsidR="002E0B21" w:rsidRPr="002E0B21" w:rsidRDefault="002E0B21" w:rsidP="002E0B21">
      <w:r w:rsidRPr="002E0B21">
        <w:t>Schädelbasis/Hals:</w:t>
      </w:r>
    </w:p>
    <w:p w14:paraId="078FA801" w14:textId="77777777" w:rsidR="002E0B21" w:rsidRPr="002E0B21" w:rsidRDefault="002E0B21" w:rsidP="002E0B21">
      <w:r w:rsidRPr="002E0B21">
        <w:t>Partiell erfasstes Neurokranium unauffällig. Schleimhautschwellung im Sinus maxillaris rechts. Symmetrische Darstellung der Halsweichteile, keine pathologisch nuklidspeichernden oder vergrößerte Lymphknoten bds. zervikal. Unauffällige Darstellung der Schilddrüse.</w:t>
      </w:r>
    </w:p>
    <w:p w14:paraId="2D2CD135" w14:textId="77777777" w:rsidR="002E0B21" w:rsidRPr="002E0B21" w:rsidRDefault="002E0B21" w:rsidP="002E0B21">
      <w:r w:rsidRPr="002E0B21">
        <w:t>Thorax:</w:t>
      </w:r>
    </w:p>
    <w:p w14:paraId="2B62A37D" w14:textId="77777777" w:rsidR="002E0B21" w:rsidRPr="002E0B21" w:rsidRDefault="002E0B21" w:rsidP="002E0B21">
      <w:r w:rsidRPr="002E0B21">
        <w:t>Keine pathologisch nuklidspeichernden oder vergrößerten Lymphknoten axillär, periklavikulär, mediastinal oder hilär bds. Cor normgroß. Koronarsklerose. Aortensklerose. Kein Pleuraerguss, kein Perikarderguss.</w:t>
      </w:r>
    </w:p>
    <w:p w14:paraId="0226C5F6" w14:textId="77777777" w:rsidR="002E0B21" w:rsidRPr="002E0B21" w:rsidRDefault="002E0B21" w:rsidP="002E0B21">
      <w:r w:rsidRPr="002E0B21">
        <w:t>Im Lungenfenster kein malignomsuspekter Rundherd, kein Infiltrat. Schwielige Verdichtung im rechten Unterlappen, z.B. Dystelektase. Emphysematöse Veränderungen.</w:t>
      </w:r>
    </w:p>
    <w:p w14:paraId="24850FCA" w14:textId="77777777" w:rsidR="002E0B21" w:rsidRPr="002E0B21" w:rsidRDefault="002E0B21" w:rsidP="002E0B21">
      <w:r w:rsidRPr="002E0B21">
        <w:t>Abdomen/Becken:</w:t>
      </w:r>
    </w:p>
    <w:p w14:paraId="1FBB6C50" w14:textId="77777777" w:rsidR="002E0B21" w:rsidRPr="002E0B21" w:rsidRDefault="002E0B21" w:rsidP="002E0B21">
      <w:r w:rsidRPr="002E0B21">
        <w:t>Eingeschränkte Beurteilbarkeit der Oberbauchorgane im Nativ-CT. Unauffällige Darstellung der Leber. Homogene intrahepatische Nuklidverteilung. Leber SUV mean 0,9.</w:t>
      </w:r>
    </w:p>
    <w:p w14:paraId="7436FED1" w14:textId="77777777" w:rsidR="002E0B21" w:rsidRPr="002E0B21" w:rsidRDefault="002E0B21" w:rsidP="002E0B21">
      <w:r w:rsidRPr="002E0B21">
        <w:t xml:space="preserve">Gallenblase konkrementfrei. Milz normgroß. Lipatrophes Pankreas. Nebennieren bds. zart. Nieren bds. orthotop gelegen, kein Harnstau. Atherosklerose. An Zahl akzentuierte Lymphknoten mesenterial bds. (z.B. Bild 95), konstant und unspezifisch. Keine pathologisch nuklidspeichernden oder vergrößerten Lymphknoten pelvin oder inguinal </w:t>
      </w:r>
      <w:r w:rsidRPr="002E0B21">
        <w:lastRenderedPageBreak/>
        <w:t>bds. Harnblase gefüllt, zartwandig. Prostata vergrößert. Phlebolithen im kleinen Becken. Keine freie Luft, keine freie Flüssigkeit.</w:t>
      </w:r>
    </w:p>
    <w:p w14:paraId="7CDA9C3F" w14:textId="77777777" w:rsidR="002E0B21" w:rsidRPr="002E0B21" w:rsidRDefault="002E0B21" w:rsidP="002E0B21">
      <w:r w:rsidRPr="002E0B21">
        <w:t>Muskuloskelettales System:</w:t>
      </w:r>
    </w:p>
    <w:p w14:paraId="69A914B2" w14:textId="77777777" w:rsidR="002E0B21" w:rsidRPr="002E0B21" w:rsidRDefault="002E0B21" w:rsidP="002E0B21">
      <w:r w:rsidRPr="002E0B21">
        <w:t>FAPI-Anreicherung im Schultergelenk links regredient im Vergleich zur VU (SUVmax 4,3, VU SUVmax 6,5, Bild 36). Neuer gelenksassoziierter FAPI-Fokus kapselassoziiert im Schultergelenk rechts medial (Bild 36 SUVmax 6,4, ). Zur Voruntersuchung deutlich zunehmender Traceruptake peritrochantär bds., DD bei Sehnenansatztendinopathie. Zunehmender Traceruptake auch dorsal des Processus spinosus BWK 2-4, am ehesten bei Enthesitis. Interspinaler Traceruptake LWK 3/4, neu zur Voruntersuchung CT-graphisch unauffällig DD Baastrup-Phänomen DD Enthesitis. Zunehmende Gelenkserguss im Kniegelenk links bei moderater Gonarthrose, korrelierend mit dem im Verlauf gering an Intensität zunehmenden Traceruptake mit synovialem Verteilungsmuster und gering zunehmender Ausdehnung am medialen Tibiaplateau links (SUVmax 11,3, VU SUVmax 7,7, Bild 233). Vorbeschriebene Traceruptake in der inferioren Scapula links allenfalls noch flau abgrenzbar.</w:t>
      </w:r>
    </w:p>
    <w:p w14:paraId="168BDB97" w14:textId="77777777" w:rsidR="002E0B21" w:rsidRPr="002E0B21" w:rsidRDefault="002E0B21" w:rsidP="002E0B21">
      <w:r w:rsidRPr="002E0B21">
        <w:t>Kompaktainseln periazetabulär rechts. Degenerative Veränderungen im CT.</w:t>
      </w:r>
    </w:p>
    <w:p w14:paraId="0E73EB0D" w14:textId="77777777" w:rsidR="002E0B21" w:rsidRPr="002E0B21" w:rsidRDefault="002E0B21" w:rsidP="002E0B21">
      <w:r w:rsidRPr="002E0B21">
        <w:t>Hände:</w:t>
      </w:r>
    </w:p>
    <w:p w14:paraId="100D183C" w14:textId="77777777" w:rsidR="002E0B21" w:rsidRPr="002E0B21" w:rsidRDefault="002E0B21" w:rsidP="002E0B21">
      <w:r w:rsidRPr="002E0B21">
        <w:t>Zunehmender Traceruptake in der Handwurzel links an den Handwurzelgelenken und am Handgelenk links (SUVmax 11,6, VU SUVmax 4,6). Neuer FAPI-Fokus im DIP I links (SUVmax 10,6) sowie deutlich flauer und weitestgehend konstant im PIP III links (SUVmax 3,4). Kräftiger neuer FAPI-Uptake im Daumensattelgelenk rechts (SUVmax 10,3) und im DIP I rechts. Ferner neuer Traceruptake im PIP II rechts medial und lateral des Gelenkspaltes. Traceranreicherung im Sehnenverlauf des Digitus II rechts (SUVmax 6,4). FAPI-Fokus palmarseitig rechts aktuell nicht mehr abgrenzbar.</w:t>
      </w:r>
    </w:p>
    <w:p w14:paraId="61676659" w14:textId="77777777" w:rsidR="002E0B21" w:rsidRPr="002E0B21" w:rsidRDefault="002E0B21" w:rsidP="002E0B21">
      <w:r w:rsidRPr="002E0B21">
        <w:t>Beurteilung: Bei bekannter Psoriasisarthritis zunehmende Fibroblastenaktivierung in multiplen Gelenken: Zunehmend im Kniegelenk links mit zunehmendem Gelenkserguss und synovialem Verteilungsmuster DD Synovialitis. Zunehmende Anreicherungen in multiplen Hand- und Fingergelenken bds..</w:t>
      </w:r>
    </w:p>
    <w:p w14:paraId="56CE5925" w14:textId="77777777" w:rsidR="002E0B21" w:rsidRPr="002E0B21" w:rsidRDefault="002E0B21" w:rsidP="002E0B21">
      <w:r w:rsidRPr="002E0B21">
        <w:t>Neue Enthesitis spinal. Neuer FAPI-Fokus im Schultergelenk rechts medial. Zunehmende Sehnenansatztendinopathie peritrochantär bds. Einzelne Regionen regredient, z.B. im Schultergelenk links.</w:t>
      </w:r>
    </w:p>
    <w:p w14:paraId="453EC119" w14:textId="77777777" w:rsidR="002E0B21" w:rsidRPr="002E0B21" w:rsidRDefault="002E0B21" w:rsidP="002E0B21">
      <w:r w:rsidRPr="002E0B21">
        <w:t>Befundet durch:</w:t>
      </w:r>
    </w:p>
    <w:p w14:paraId="1382C210" w14:textId="77777777" w:rsidR="002E0B21" w:rsidRPr="002E0B21" w:rsidRDefault="002E0B21" w:rsidP="002E0B21">
      <w:r w:rsidRPr="002E0B21">
        <w:t> Dr. med. Katja Melzer Oberärztin</w:t>
      </w:r>
    </w:p>
    <w:p w14:paraId="1A5B9B75" w14:textId="77777777" w:rsidR="002E0B21" w:rsidRPr="002E0B21" w:rsidRDefault="002E0B21" w:rsidP="002E0B21">
      <w:r w:rsidRPr="002E0B21">
        <w:t> Dr. med. Armin Atzinger Oberarzt</w:t>
      </w:r>
    </w:p>
    <w:p w14:paraId="4767A175" w14:textId="77777777" w:rsidR="002E0B21" w:rsidRPr="002E0B21" w:rsidRDefault="002E0B21" w:rsidP="002E0B21">
      <w:r w:rsidRPr="002E0B21">
        <w:t> Dr. med. univ. Patrick Heckmann Assistenzarzt</w:t>
      </w:r>
    </w:p>
    <w:p w14:paraId="6DA9EA0E" w14:textId="77777777" w:rsidR="002E0B21" w:rsidRPr="002E0B21" w:rsidRDefault="002E0B21" w:rsidP="002E0B21">
      <w:r w:rsidRPr="002E0B21">
        <w:t> </w:t>
      </w:r>
    </w:p>
    <w:p w14:paraId="2A851226" w14:textId="77777777" w:rsidR="002E0B21" w:rsidRPr="002E0B21" w:rsidRDefault="002E0B21" w:rsidP="002E0B21">
      <w:r w:rsidRPr="002E0B21">
        <w:lastRenderedPageBreak/>
        <w:br/>
      </w:r>
      <w:r w:rsidRPr="002E0B21">
        <w:br/>
      </w:r>
      <w:r w:rsidRPr="002E0B21">
        <w:rPr>
          <w:b/>
          <w:bCs/>
        </w:rPr>
        <w:t>Verlauf und Beurteilung</w:t>
      </w:r>
      <w:r w:rsidRPr="002E0B21">
        <w:t xml:space="preserve"> </w:t>
      </w:r>
    </w:p>
    <w:p w14:paraId="4E160768" w14:textId="77777777" w:rsidR="002E0B21" w:rsidRPr="002E0B21" w:rsidRDefault="000267D5" w:rsidP="002E0B21">
      <w:r>
        <w:rPr>
          <w:noProof/>
        </w:rPr>
      </w:r>
      <w:r>
        <w:pict w14:anchorId="1F050ADD">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E270530" w14:textId="77777777" w:rsidR="002E0B21" w:rsidRPr="002E0B21" w:rsidRDefault="002E0B21" w:rsidP="002E0B21">
      <w:r w:rsidRPr="002E0B21">
        <w:t>Klinisch zeigten sich Druckdolenz in beiden Handgelenken sowie eine eingeschränkte Handflexion. Klinisch und sonografisch wurde ein Erguss im rechten Kniegelenk nachgewiesen, im linken Handgelenk zeigte sich eine Synovitis Grad 2 mit Powerdoppler Grad 2.</w:t>
      </w:r>
    </w:p>
    <w:p w14:paraId="79FEC532" w14:textId="77777777" w:rsidR="002E0B21" w:rsidRPr="002E0B21" w:rsidRDefault="002E0B21" w:rsidP="002E0B21">
      <w:r w:rsidRPr="002E0B21">
        <w:t>Laborchemisch fand sich ein leicht erhöhtes CRP. Zur weiteren Beurteilung der Krankheitsaktivität wurde eine FAPI-PET/CT durchgeführt. Diese zeigte eine vermehrte Fibroblastenaktivierung in mehreren Gelenken, insbesondere verstärkte Anreicherungen in multiplen Hand- und Fingergelenken beidseits (insbesondere im linken Handgelenk) sowie im linken Kniegelenk.</w:t>
      </w:r>
    </w:p>
    <w:p w14:paraId="3DE0094C" w14:textId="77777777" w:rsidR="002E0B21" w:rsidRPr="002E0B21" w:rsidRDefault="002E0B21" w:rsidP="002E0B21">
      <w:r w:rsidRPr="002E0B21">
        <w:t>Insgesamt besteht eine aktive Psoriasis-Arthritis. Daher empfehlen wir die Umstellung der Therapie auf Golimumab 50 mg einmal wöchentlich. Wir bitten um zeitnahe Vorstellung des Patienten zur Durchführung der vorgesehen Kontrollen zum Ausschluss Tuberkulose (Röntgen Thorax, Quantiferon), Hepatitis B&amp;C vor Therapiebeginn. Patient war telefonisch nicht erreichbar.</w:t>
      </w:r>
    </w:p>
    <w:p w14:paraId="56D18572" w14:textId="77777777" w:rsidR="002E0B21" w:rsidRPr="002E0B21" w:rsidRDefault="002E0B21" w:rsidP="002E0B21">
      <w:r w:rsidRPr="002E0B21">
        <w:t>Eine rheumatologische Verlaufskontrolle wird in 3–4 Monaten empfohlen; eine frühere Wiedervorstellung ist bei Bedarf jederzeit möglich.</w:t>
      </w:r>
    </w:p>
    <w:p w14:paraId="3EF94247" w14:textId="77777777" w:rsidR="002E0B21" w:rsidRPr="002E0B21" w:rsidRDefault="002E0B21" w:rsidP="002E0B21">
      <w:r w:rsidRPr="002E0B21">
        <w:br/>
      </w:r>
      <w:r w:rsidRPr="002E0B21">
        <w:br/>
      </w:r>
      <w:r w:rsidRPr="002E0B21">
        <w:rPr>
          <w:b/>
          <w:bCs/>
        </w:rPr>
        <w:t>Therapieempfehlung</w:t>
      </w:r>
      <w:r w:rsidRPr="002E0B21">
        <w:t xml:space="preserve"> </w:t>
      </w:r>
    </w:p>
    <w:p w14:paraId="7B706BCA" w14:textId="77777777" w:rsidR="002E0B21" w:rsidRPr="002E0B21" w:rsidRDefault="000267D5" w:rsidP="002E0B21">
      <w:r>
        <w:rPr>
          <w:noProof/>
        </w:rPr>
      </w:r>
      <w:r>
        <w:pict w14:anchorId="423796C1">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2E427F6" w14:textId="77777777" w:rsidR="002E0B21" w:rsidRPr="002E0B21" w:rsidRDefault="002E0B21" w:rsidP="002E0B21">
      <w:r w:rsidRPr="002E0B21">
        <w:t>Beginn Golimumab 50mg 1x monatlich</w:t>
      </w:r>
    </w:p>
    <w:p w14:paraId="25DDBA59" w14:textId="77777777" w:rsidR="002E0B21" w:rsidRPr="002E0B21" w:rsidRDefault="002E0B21" w:rsidP="002E0B21">
      <w:r w:rsidRPr="002E0B21">
        <w:t> </w:t>
      </w:r>
    </w:p>
    <w:p w14:paraId="4642A1BA" w14:textId="77777777" w:rsidR="002E0B21" w:rsidRPr="002E0B21" w:rsidRDefault="002E0B21" w:rsidP="002E0B21">
      <w:r w:rsidRPr="002E0B21">
        <w:br/>
      </w:r>
      <w:r w:rsidRPr="002E0B21">
        <w:br/>
      </w:r>
      <w:r w:rsidRPr="002E0B21">
        <w:rPr>
          <w:b/>
          <w:bCs/>
        </w:rPr>
        <w:t>Schluss</w:t>
      </w:r>
      <w:r w:rsidRPr="002E0B21">
        <w:t xml:space="preserve"> </w:t>
      </w:r>
    </w:p>
    <w:p w14:paraId="05433BA9" w14:textId="77777777" w:rsidR="002E0B21" w:rsidRPr="002E0B21" w:rsidRDefault="000267D5" w:rsidP="002E0B21">
      <w:r>
        <w:rPr>
          <w:noProof/>
        </w:rPr>
      </w:r>
      <w:r>
        <w:pict w14:anchorId="5B1F2FA5">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F5462C3" w14:textId="77777777" w:rsidR="002E0B21" w:rsidRPr="002E0B21" w:rsidRDefault="002E0B21" w:rsidP="002E0B21">
      <w:r w:rsidRPr="002E0B21">
        <w:t>Mit freundlichen kollegialen Grüßen</w:t>
      </w:r>
    </w:p>
    <w:p w14:paraId="635DBEA9" w14:textId="77777777" w:rsidR="002E0B21" w:rsidRPr="002E0B21" w:rsidRDefault="002E0B21" w:rsidP="002E0B21">
      <w:r w:rsidRPr="002E0B21">
        <w:t> </w:t>
      </w:r>
    </w:p>
    <w:p w14:paraId="1E6841EC" w14:textId="77777777" w:rsidR="002E0B21" w:rsidRPr="002E0B21" w:rsidRDefault="002E0B21" w:rsidP="002E0B21">
      <w:r w:rsidRPr="002E0B21">
        <w:t> </w:t>
      </w:r>
    </w:p>
    <w:p w14:paraId="20B5BD20" w14:textId="77777777" w:rsidR="002E0B21" w:rsidRPr="002E0B21" w:rsidRDefault="002E0B21" w:rsidP="002E0B21">
      <w:r w:rsidRPr="002E0B21">
        <w:t> </w:t>
      </w:r>
    </w:p>
    <w:p w14:paraId="7725258D" w14:textId="77777777" w:rsidR="002E0B21" w:rsidRPr="002E0B21" w:rsidRDefault="002E0B21" w:rsidP="002E0B21">
      <w:r w:rsidRPr="002E0B21">
        <w:lastRenderedPageBreak/>
        <w:t> </w:t>
      </w:r>
    </w:p>
    <w:tbl>
      <w:tblPr>
        <w:tblW w:w="5000" w:type="pct"/>
        <w:tblCellMar>
          <w:left w:w="0" w:type="dxa"/>
          <w:right w:w="0" w:type="dxa"/>
        </w:tblCellMar>
        <w:tblLook w:val="04A0" w:firstRow="1" w:lastRow="0" w:firstColumn="1" w:lastColumn="0" w:noHBand="0" w:noVBand="1"/>
      </w:tblPr>
      <w:tblGrid>
        <w:gridCol w:w="9072"/>
      </w:tblGrid>
      <w:tr w:rsidR="002E0B21" w:rsidRPr="002E0B21" w14:paraId="18A82B02" w14:textId="77777777" w:rsidTr="002E0B21">
        <w:tc>
          <w:tcPr>
            <w:tcW w:w="1700" w:type="pct"/>
            <w:hideMark/>
          </w:tcPr>
          <w:p w14:paraId="671E8383" w14:textId="77777777" w:rsidR="002E0B21" w:rsidRPr="002E0B21" w:rsidRDefault="002E0B21" w:rsidP="002E0B21">
            <w:r w:rsidRPr="002E0B21">
              <w:t>Prof. Dr. med. A. Ramming</w:t>
            </w:r>
          </w:p>
        </w:tc>
      </w:tr>
    </w:tbl>
    <w:p w14:paraId="1B17FAD6"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E00007"/>
    <w:multiLevelType w:val="multilevel"/>
    <w:tmpl w:val="5DEED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6B29DD"/>
    <w:multiLevelType w:val="multilevel"/>
    <w:tmpl w:val="94ECC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661875">
    <w:abstractNumId w:val="1"/>
  </w:num>
  <w:num w:numId="2" w16cid:durableId="8046621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B21"/>
    <w:rsid w:val="000267D5"/>
    <w:rsid w:val="002E0B21"/>
    <w:rsid w:val="00453D1E"/>
    <w:rsid w:val="0092470E"/>
    <w:rsid w:val="00B761FA"/>
    <w:rsid w:val="00BA6539"/>
    <w:rsid w:val="00D93C9C"/>
    <w:rsid w:val="00FD3B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85490AD"/>
  <w15:chartTrackingRefBased/>
  <w15:docId w15:val="{12230DEE-D832-4A5C-805B-6CFCFC5F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E0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E0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E0B2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E0B2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E0B2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E0B2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0B2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0B2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0B2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0B2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E0B2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E0B2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E0B2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E0B2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E0B2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0B2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0B2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0B21"/>
    <w:rPr>
      <w:rFonts w:eastAsiaTheme="majorEastAsia" w:cstheme="majorBidi"/>
      <w:color w:val="272727" w:themeColor="text1" w:themeTint="D8"/>
    </w:rPr>
  </w:style>
  <w:style w:type="paragraph" w:styleId="Titel">
    <w:name w:val="Title"/>
    <w:basedOn w:val="Standard"/>
    <w:next w:val="Standard"/>
    <w:link w:val="TitelZchn"/>
    <w:uiPriority w:val="10"/>
    <w:qFormat/>
    <w:rsid w:val="002E0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0B2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0B2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0B2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0B2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E0B21"/>
    <w:rPr>
      <w:i/>
      <w:iCs/>
      <w:color w:val="404040" w:themeColor="text1" w:themeTint="BF"/>
    </w:rPr>
  </w:style>
  <w:style w:type="paragraph" w:styleId="Listenabsatz">
    <w:name w:val="List Paragraph"/>
    <w:basedOn w:val="Standard"/>
    <w:uiPriority w:val="34"/>
    <w:qFormat/>
    <w:rsid w:val="002E0B21"/>
    <w:pPr>
      <w:ind w:left="720"/>
      <w:contextualSpacing/>
    </w:pPr>
  </w:style>
  <w:style w:type="character" w:styleId="IntensiveHervorhebung">
    <w:name w:val="Intense Emphasis"/>
    <w:basedOn w:val="Absatz-Standardschriftart"/>
    <w:uiPriority w:val="21"/>
    <w:qFormat/>
    <w:rsid w:val="002E0B21"/>
    <w:rPr>
      <w:i/>
      <w:iCs/>
      <w:color w:val="0F4761" w:themeColor="accent1" w:themeShade="BF"/>
    </w:rPr>
  </w:style>
  <w:style w:type="paragraph" w:styleId="IntensivesZitat">
    <w:name w:val="Intense Quote"/>
    <w:basedOn w:val="Standard"/>
    <w:next w:val="Standard"/>
    <w:link w:val="IntensivesZitatZchn"/>
    <w:uiPriority w:val="30"/>
    <w:qFormat/>
    <w:rsid w:val="002E0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E0B21"/>
    <w:rPr>
      <w:i/>
      <w:iCs/>
      <w:color w:val="0F4761" w:themeColor="accent1" w:themeShade="BF"/>
    </w:rPr>
  </w:style>
  <w:style w:type="character" w:styleId="IntensiverVerweis">
    <w:name w:val="Intense Reference"/>
    <w:basedOn w:val="Absatz-Standardschriftart"/>
    <w:uiPriority w:val="32"/>
    <w:qFormat/>
    <w:rsid w:val="002E0B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37877857">
      <w:bodyDiv w:val="1"/>
      <w:marLeft w:val="0"/>
      <w:marRight w:val="0"/>
      <w:marTop w:val="0"/>
      <w:marBottom w:val="0"/>
      <w:divBdr>
        <w:top w:val="none" w:sz="0" w:space="0" w:color="auto"/>
        <w:left w:val="none" w:sz="0" w:space="0" w:color="auto"/>
        <w:bottom w:val="none" w:sz="0" w:space="0" w:color="auto"/>
        <w:right w:val="none" w:sz="0" w:space="0" w:color="auto"/>
      </w:divBdr>
      <w:divsChild>
        <w:div w:id="1473446126">
          <w:marLeft w:val="0"/>
          <w:marRight w:val="0"/>
          <w:marTop w:val="0"/>
          <w:marBottom w:val="0"/>
          <w:divBdr>
            <w:top w:val="none" w:sz="0" w:space="0" w:color="auto"/>
            <w:left w:val="none" w:sz="0" w:space="0" w:color="auto"/>
            <w:bottom w:val="none" w:sz="0" w:space="0" w:color="auto"/>
            <w:right w:val="none" w:sz="0" w:space="0" w:color="auto"/>
          </w:divBdr>
          <w:divsChild>
            <w:div w:id="1210340415">
              <w:marLeft w:val="0"/>
              <w:marRight w:val="0"/>
              <w:marTop w:val="0"/>
              <w:marBottom w:val="0"/>
              <w:divBdr>
                <w:top w:val="none" w:sz="0" w:space="0" w:color="auto"/>
                <w:left w:val="none" w:sz="0" w:space="0" w:color="auto"/>
                <w:bottom w:val="none" w:sz="0" w:space="0" w:color="auto"/>
                <w:right w:val="none" w:sz="0" w:space="0" w:color="auto"/>
              </w:divBdr>
            </w:div>
            <w:div w:id="208493022">
              <w:marLeft w:val="0"/>
              <w:marRight w:val="0"/>
              <w:marTop w:val="0"/>
              <w:marBottom w:val="0"/>
              <w:divBdr>
                <w:top w:val="none" w:sz="0" w:space="0" w:color="auto"/>
                <w:left w:val="none" w:sz="0" w:space="0" w:color="auto"/>
                <w:bottom w:val="none" w:sz="0" w:space="0" w:color="auto"/>
                <w:right w:val="none" w:sz="0" w:space="0" w:color="auto"/>
              </w:divBdr>
            </w:div>
            <w:div w:id="1085494922">
              <w:marLeft w:val="0"/>
              <w:marRight w:val="0"/>
              <w:marTop w:val="0"/>
              <w:marBottom w:val="0"/>
              <w:divBdr>
                <w:top w:val="none" w:sz="0" w:space="0" w:color="auto"/>
                <w:left w:val="none" w:sz="0" w:space="0" w:color="auto"/>
                <w:bottom w:val="none" w:sz="0" w:space="0" w:color="auto"/>
                <w:right w:val="none" w:sz="0" w:space="0" w:color="auto"/>
              </w:divBdr>
            </w:div>
            <w:div w:id="62529871">
              <w:marLeft w:val="0"/>
              <w:marRight w:val="0"/>
              <w:marTop w:val="0"/>
              <w:marBottom w:val="0"/>
              <w:divBdr>
                <w:top w:val="none" w:sz="0" w:space="0" w:color="auto"/>
                <w:left w:val="none" w:sz="0" w:space="0" w:color="auto"/>
                <w:bottom w:val="none" w:sz="0" w:space="0" w:color="auto"/>
                <w:right w:val="none" w:sz="0" w:space="0" w:color="auto"/>
              </w:divBdr>
            </w:div>
            <w:div w:id="1560703747">
              <w:marLeft w:val="0"/>
              <w:marRight w:val="0"/>
              <w:marTop w:val="0"/>
              <w:marBottom w:val="0"/>
              <w:divBdr>
                <w:top w:val="none" w:sz="0" w:space="0" w:color="auto"/>
                <w:left w:val="none" w:sz="0" w:space="0" w:color="auto"/>
                <w:bottom w:val="none" w:sz="0" w:space="0" w:color="auto"/>
                <w:right w:val="none" w:sz="0" w:space="0" w:color="auto"/>
              </w:divBdr>
            </w:div>
            <w:div w:id="1569875304">
              <w:marLeft w:val="0"/>
              <w:marRight w:val="0"/>
              <w:marTop w:val="0"/>
              <w:marBottom w:val="0"/>
              <w:divBdr>
                <w:top w:val="none" w:sz="0" w:space="0" w:color="auto"/>
                <w:left w:val="none" w:sz="0" w:space="0" w:color="auto"/>
                <w:bottom w:val="none" w:sz="0" w:space="0" w:color="auto"/>
                <w:right w:val="none" w:sz="0" w:space="0" w:color="auto"/>
              </w:divBdr>
            </w:div>
            <w:div w:id="1697071889">
              <w:marLeft w:val="0"/>
              <w:marRight w:val="0"/>
              <w:marTop w:val="0"/>
              <w:marBottom w:val="0"/>
              <w:divBdr>
                <w:top w:val="none" w:sz="0" w:space="0" w:color="auto"/>
                <w:left w:val="none" w:sz="0" w:space="0" w:color="auto"/>
                <w:bottom w:val="none" w:sz="0" w:space="0" w:color="auto"/>
                <w:right w:val="none" w:sz="0" w:space="0" w:color="auto"/>
              </w:divBdr>
            </w:div>
            <w:div w:id="133716309">
              <w:marLeft w:val="0"/>
              <w:marRight w:val="0"/>
              <w:marTop w:val="0"/>
              <w:marBottom w:val="0"/>
              <w:divBdr>
                <w:top w:val="none" w:sz="0" w:space="0" w:color="auto"/>
                <w:left w:val="none" w:sz="0" w:space="0" w:color="auto"/>
                <w:bottom w:val="none" w:sz="0" w:space="0" w:color="auto"/>
                <w:right w:val="none" w:sz="0" w:space="0" w:color="auto"/>
              </w:divBdr>
            </w:div>
            <w:div w:id="1038318265">
              <w:marLeft w:val="0"/>
              <w:marRight w:val="0"/>
              <w:marTop w:val="0"/>
              <w:marBottom w:val="0"/>
              <w:divBdr>
                <w:top w:val="none" w:sz="0" w:space="0" w:color="auto"/>
                <w:left w:val="none" w:sz="0" w:space="0" w:color="auto"/>
                <w:bottom w:val="none" w:sz="0" w:space="0" w:color="auto"/>
                <w:right w:val="none" w:sz="0" w:space="0" w:color="auto"/>
              </w:divBdr>
            </w:div>
            <w:div w:id="1342274980">
              <w:marLeft w:val="0"/>
              <w:marRight w:val="0"/>
              <w:marTop w:val="0"/>
              <w:marBottom w:val="0"/>
              <w:divBdr>
                <w:top w:val="none" w:sz="0" w:space="0" w:color="auto"/>
                <w:left w:val="none" w:sz="0" w:space="0" w:color="auto"/>
                <w:bottom w:val="none" w:sz="0" w:space="0" w:color="auto"/>
                <w:right w:val="none" w:sz="0" w:space="0" w:color="auto"/>
              </w:divBdr>
            </w:div>
            <w:div w:id="435518396">
              <w:marLeft w:val="0"/>
              <w:marRight w:val="0"/>
              <w:marTop w:val="0"/>
              <w:marBottom w:val="0"/>
              <w:divBdr>
                <w:top w:val="none" w:sz="0" w:space="0" w:color="auto"/>
                <w:left w:val="none" w:sz="0" w:space="0" w:color="auto"/>
                <w:bottom w:val="none" w:sz="0" w:space="0" w:color="auto"/>
                <w:right w:val="none" w:sz="0" w:space="0" w:color="auto"/>
              </w:divBdr>
            </w:div>
            <w:div w:id="72506198">
              <w:marLeft w:val="0"/>
              <w:marRight w:val="0"/>
              <w:marTop w:val="0"/>
              <w:marBottom w:val="0"/>
              <w:divBdr>
                <w:top w:val="none" w:sz="0" w:space="0" w:color="auto"/>
                <w:left w:val="none" w:sz="0" w:space="0" w:color="auto"/>
                <w:bottom w:val="none" w:sz="0" w:space="0" w:color="auto"/>
                <w:right w:val="none" w:sz="0" w:space="0" w:color="auto"/>
              </w:divBdr>
            </w:div>
            <w:div w:id="56318675">
              <w:marLeft w:val="0"/>
              <w:marRight w:val="0"/>
              <w:marTop w:val="0"/>
              <w:marBottom w:val="0"/>
              <w:divBdr>
                <w:top w:val="none" w:sz="0" w:space="0" w:color="auto"/>
                <w:left w:val="none" w:sz="0" w:space="0" w:color="auto"/>
                <w:bottom w:val="none" w:sz="0" w:space="0" w:color="auto"/>
                <w:right w:val="none" w:sz="0" w:space="0" w:color="auto"/>
              </w:divBdr>
            </w:div>
            <w:div w:id="1750809378">
              <w:marLeft w:val="0"/>
              <w:marRight w:val="0"/>
              <w:marTop w:val="0"/>
              <w:marBottom w:val="0"/>
              <w:divBdr>
                <w:top w:val="none" w:sz="0" w:space="0" w:color="auto"/>
                <w:left w:val="none" w:sz="0" w:space="0" w:color="auto"/>
                <w:bottom w:val="none" w:sz="0" w:space="0" w:color="auto"/>
                <w:right w:val="none" w:sz="0" w:space="0" w:color="auto"/>
              </w:divBdr>
            </w:div>
            <w:div w:id="435757161">
              <w:marLeft w:val="0"/>
              <w:marRight w:val="0"/>
              <w:marTop w:val="0"/>
              <w:marBottom w:val="0"/>
              <w:divBdr>
                <w:top w:val="none" w:sz="0" w:space="0" w:color="auto"/>
                <w:left w:val="none" w:sz="0" w:space="0" w:color="auto"/>
                <w:bottom w:val="none" w:sz="0" w:space="0" w:color="auto"/>
                <w:right w:val="none" w:sz="0" w:space="0" w:color="auto"/>
              </w:divBdr>
            </w:div>
            <w:div w:id="199996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4443">
      <w:bodyDiv w:val="1"/>
      <w:marLeft w:val="0"/>
      <w:marRight w:val="0"/>
      <w:marTop w:val="0"/>
      <w:marBottom w:val="0"/>
      <w:divBdr>
        <w:top w:val="none" w:sz="0" w:space="0" w:color="auto"/>
        <w:left w:val="none" w:sz="0" w:space="0" w:color="auto"/>
        <w:bottom w:val="none" w:sz="0" w:space="0" w:color="auto"/>
        <w:right w:val="none" w:sz="0" w:space="0" w:color="auto"/>
      </w:divBdr>
      <w:divsChild>
        <w:div w:id="2138911210">
          <w:marLeft w:val="0"/>
          <w:marRight w:val="0"/>
          <w:marTop w:val="0"/>
          <w:marBottom w:val="0"/>
          <w:divBdr>
            <w:top w:val="none" w:sz="0" w:space="0" w:color="auto"/>
            <w:left w:val="none" w:sz="0" w:space="0" w:color="auto"/>
            <w:bottom w:val="none" w:sz="0" w:space="0" w:color="auto"/>
            <w:right w:val="none" w:sz="0" w:space="0" w:color="auto"/>
          </w:divBdr>
          <w:divsChild>
            <w:div w:id="1556742932">
              <w:marLeft w:val="0"/>
              <w:marRight w:val="0"/>
              <w:marTop w:val="0"/>
              <w:marBottom w:val="0"/>
              <w:divBdr>
                <w:top w:val="none" w:sz="0" w:space="0" w:color="auto"/>
                <w:left w:val="none" w:sz="0" w:space="0" w:color="auto"/>
                <w:bottom w:val="none" w:sz="0" w:space="0" w:color="auto"/>
                <w:right w:val="none" w:sz="0" w:space="0" w:color="auto"/>
              </w:divBdr>
            </w:div>
            <w:div w:id="451823535">
              <w:marLeft w:val="0"/>
              <w:marRight w:val="0"/>
              <w:marTop w:val="0"/>
              <w:marBottom w:val="0"/>
              <w:divBdr>
                <w:top w:val="none" w:sz="0" w:space="0" w:color="auto"/>
                <w:left w:val="none" w:sz="0" w:space="0" w:color="auto"/>
                <w:bottom w:val="none" w:sz="0" w:space="0" w:color="auto"/>
                <w:right w:val="none" w:sz="0" w:space="0" w:color="auto"/>
              </w:divBdr>
            </w:div>
            <w:div w:id="491604061">
              <w:marLeft w:val="0"/>
              <w:marRight w:val="0"/>
              <w:marTop w:val="0"/>
              <w:marBottom w:val="0"/>
              <w:divBdr>
                <w:top w:val="none" w:sz="0" w:space="0" w:color="auto"/>
                <w:left w:val="none" w:sz="0" w:space="0" w:color="auto"/>
                <w:bottom w:val="none" w:sz="0" w:space="0" w:color="auto"/>
                <w:right w:val="none" w:sz="0" w:space="0" w:color="auto"/>
              </w:divBdr>
            </w:div>
            <w:div w:id="946162068">
              <w:marLeft w:val="0"/>
              <w:marRight w:val="0"/>
              <w:marTop w:val="0"/>
              <w:marBottom w:val="0"/>
              <w:divBdr>
                <w:top w:val="none" w:sz="0" w:space="0" w:color="auto"/>
                <w:left w:val="none" w:sz="0" w:space="0" w:color="auto"/>
                <w:bottom w:val="none" w:sz="0" w:space="0" w:color="auto"/>
                <w:right w:val="none" w:sz="0" w:space="0" w:color="auto"/>
              </w:divBdr>
            </w:div>
            <w:div w:id="1105617431">
              <w:marLeft w:val="0"/>
              <w:marRight w:val="0"/>
              <w:marTop w:val="0"/>
              <w:marBottom w:val="0"/>
              <w:divBdr>
                <w:top w:val="none" w:sz="0" w:space="0" w:color="auto"/>
                <w:left w:val="none" w:sz="0" w:space="0" w:color="auto"/>
                <w:bottom w:val="none" w:sz="0" w:space="0" w:color="auto"/>
                <w:right w:val="none" w:sz="0" w:space="0" w:color="auto"/>
              </w:divBdr>
            </w:div>
            <w:div w:id="1049300932">
              <w:marLeft w:val="0"/>
              <w:marRight w:val="0"/>
              <w:marTop w:val="0"/>
              <w:marBottom w:val="0"/>
              <w:divBdr>
                <w:top w:val="none" w:sz="0" w:space="0" w:color="auto"/>
                <w:left w:val="none" w:sz="0" w:space="0" w:color="auto"/>
                <w:bottom w:val="none" w:sz="0" w:space="0" w:color="auto"/>
                <w:right w:val="none" w:sz="0" w:space="0" w:color="auto"/>
              </w:divBdr>
            </w:div>
            <w:div w:id="1422993627">
              <w:marLeft w:val="0"/>
              <w:marRight w:val="0"/>
              <w:marTop w:val="0"/>
              <w:marBottom w:val="0"/>
              <w:divBdr>
                <w:top w:val="none" w:sz="0" w:space="0" w:color="auto"/>
                <w:left w:val="none" w:sz="0" w:space="0" w:color="auto"/>
                <w:bottom w:val="none" w:sz="0" w:space="0" w:color="auto"/>
                <w:right w:val="none" w:sz="0" w:space="0" w:color="auto"/>
              </w:divBdr>
            </w:div>
            <w:div w:id="1747531110">
              <w:marLeft w:val="0"/>
              <w:marRight w:val="0"/>
              <w:marTop w:val="0"/>
              <w:marBottom w:val="0"/>
              <w:divBdr>
                <w:top w:val="none" w:sz="0" w:space="0" w:color="auto"/>
                <w:left w:val="none" w:sz="0" w:space="0" w:color="auto"/>
                <w:bottom w:val="none" w:sz="0" w:space="0" w:color="auto"/>
                <w:right w:val="none" w:sz="0" w:space="0" w:color="auto"/>
              </w:divBdr>
            </w:div>
            <w:div w:id="503471152">
              <w:marLeft w:val="0"/>
              <w:marRight w:val="0"/>
              <w:marTop w:val="0"/>
              <w:marBottom w:val="0"/>
              <w:divBdr>
                <w:top w:val="none" w:sz="0" w:space="0" w:color="auto"/>
                <w:left w:val="none" w:sz="0" w:space="0" w:color="auto"/>
                <w:bottom w:val="none" w:sz="0" w:space="0" w:color="auto"/>
                <w:right w:val="none" w:sz="0" w:space="0" w:color="auto"/>
              </w:divBdr>
            </w:div>
            <w:div w:id="2023122950">
              <w:marLeft w:val="0"/>
              <w:marRight w:val="0"/>
              <w:marTop w:val="0"/>
              <w:marBottom w:val="0"/>
              <w:divBdr>
                <w:top w:val="none" w:sz="0" w:space="0" w:color="auto"/>
                <w:left w:val="none" w:sz="0" w:space="0" w:color="auto"/>
                <w:bottom w:val="none" w:sz="0" w:space="0" w:color="auto"/>
                <w:right w:val="none" w:sz="0" w:space="0" w:color="auto"/>
              </w:divBdr>
            </w:div>
            <w:div w:id="1441025757">
              <w:marLeft w:val="0"/>
              <w:marRight w:val="0"/>
              <w:marTop w:val="0"/>
              <w:marBottom w:val="0"/>
              <w:divBdr>
                <w:top w:val="none" w:sz="0" w:space="0" w:color="auto"/>
                <w:left w:val="none" w:sz="0" w:space="0" w:color="auto"/>
                <w:bottom w:val="none" w:sz="0" w:space="0" w:color="auto"/>
                <w:right w:val="none" w:sz="0" w:space="0" w:color="auto"/>
              </w:divBdr>
            </w:div>
            <w:div w:id="169218094">
              <w:marLeft w:val="0"/>
              <w:marRight w:val="0"/>
              <w:marTop w:val="0"/>
              <w:marBottom w:val="0"/>
              <w:divBdr>
                <w:top w:val="none" w:sz="0" w:space="0" w:color="auto"/>
                <w:left w:val="none" w:sz="0" w:space="0" w:color="auto"/>
                <w:bottom w:val="none" w:sz="0" w:space="0" w:color="auto"/>
                <w:right w:val="none" w:sz="0" w:space="0" w:color="auto"/>
              </w:divBdr>
            </w:div>
            <w:div w:id="1196234093">
              <w:marLeft w:val="0"/>
              <w:marRight w:val="0"/>
              <w:marTop w:val="0"/>
              <w:marBottom w:val="0"/>
              <w:divBdr>
                <w:top w:val="none" w:sz="0" w:space="0" w:color="auto"/>
                <w:left w:val="none" w:sz="0" w:space="0" w:color="auto"/>
                <w:bottom w:val="none" w:sz="0" w:space="0" w:color="auto"/>
                <w:right w:val="none" w:sz="0" w:space="0" w:color="auto"/>
              </w:divBdr>
            </w:div>
            <w:div w:id="254899930">
              <w:marLeft w:val="0"/>
              <w:marRight w:val="0"/>
              <w:marTop w:val="0"/>
              <w:marBottom w:val="0"/>
              <w:divBdr>
                <w:top w:val="none" w:sz="0" w:space="0" w:color="auto"/>
                <w:left w:val="none" w:sz="0" w:space="0" w:color="auto"/>
                <w:bottom w:val="none" w:sz="0" w:space="0" w:color="auto"/>
                <w:right w:val="none" w:sz="0" w:space="0" w:color="auto"/>
              </w:divBdr>
            </w:div>
            <w:div w:id="1090153299">
              <w:marLeft w:val="0"/>
              <w:marRight w:val="0"/>
              <w:marTop w:val="0"/>
              <w:marBottom w:val="0"/>
              <w:divBdr>
                <w:top w:val="none" w:sz="0" w:space="0" w:color="auto"/>
                <w:left w:val="none" w:sz="0" w:space="0" w:color="auto"/>
                <w:bottom w:val="none" w:sz="0" w:space="0" w:color="auto"/>
                <w:right w:val="none" w:sz="0" w:space="0" w:color="auto"/>
              </w:divBdr>
            </w:div>
            <w:div w:id="13140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1869</Words>
  <Characters>11781</Characters>
  <Application>Microsoft Office Word</Application>
  <DocSecurity>0</DocSecurity>
  <Lines>98</Lines>
  <Paragraphs>27</Paragraphs>
  <ScaleCrop>false</ScaleCrop>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2026-09-25T15:03:00Z</dcterms:created>
  <dcterms:modified xsi:type="dcterms:W3CDTF">2026-09-25T22:48:00Z</dcterms:modified>
</cp:coreProperties>
</file>