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D1FA6" w14:textId="77777777" w:rsidR="00DD7AA1" w:rsidRPr="00DD7AA1" w:rsidRDefault="00DD7AA1" w:rsidP="00DD7AA1">
      <w:r w:rsidRPr="00DD7AA1">
        <w:rPr>
          <w:b/>
          <w:bCs/>
        </w:rPr>
        <w:t>Kürzel</w:t>
      </w:r>
      <w:r w:rsidRPr="00DD7AA1">
        <w:t xml:space="preserve"> </w:t>
      </w:r>
    </w:p>
    <w:p w14:paraId="4803F115" w14:textId="77777777" w:rsidR="00DD7AA1" w:rsidRPr="00DD7AA1" w:rsidRDefault="001C5409" w:rsidP="00DD7AA1">
      <w:r>
        <w:rPr>
          <w:noProof/>
        </w:rPr>
      </w:r>
      <w:r>
        <w:pict w14:anchorId="506B41D9">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4491F0" w14:textId="77777777" w:rsidR="00DD7AA1" w:rsidRPr="00DD7AA1" w:rsidRDefault="00DD7AA1" w:rsidP="00DD7AA1">
      <w:r w:rsidRPr="00DD7AA1">
        <w:t>lab/rei</w:t>
      </w:r>
      <w:r w:rsidRPr="00DD7AA1">
        <w:br/>
      </w:r>
      <w:r w:rsidRPr="00DD7AA1">
        <w:br/>
      </w:r>
      <w:r w:rsidRPr="00DD7AA1">
        <w:rPr>
          <w:b/>
          <w:bCs/>
        </w:rPr>
        <w:t>Anrede</w:t>
      </w:r>
      <w:r w:rsidRPr="00DD7AA1">
        <w:t xml:space="preserve"> </w:t>
      </w:r>
    </w:p>
    <w:p w14:paraId="139F7FD4" w14:textId="77777777" w:rsidR="00DD7AA1" w:rsidRPr="00DD7AA1" w:rsidRDefault="001C5409" w:rsidP="00DD7AA1">
      <w:r>
        <w:rPr>
          <w:noProof/>
        </w:rPr>
      </w:r>
      <w:r>
        <w:pict w14:anchorId="7357153A">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F7A11C" w14:textId="77777777" w:rsidR="00DD7AA1" w:rsidRPr="00DD7AA1" w:rsidRDefault="00DD7AA1" w:rsidP="00DD7AA1">
      <w:r w:rsidRPr="00DD7AA1">
        <w:t xml:space="preserve">Sehr geehrte Frau Kollegin, sehr geehrter Herr Kollege, </w:t>
      </w:r>
    </w:p>
    <w:p w14:paraId="7EEC98BE" w14:textId="77777777" w:rsidR="00DD7AA1" w:rsidRPr="00DD7AA1" w:rsidRDefault="00DD7AA1" w:rsidP="00DD7AA1">
      <w:r w:rsidRPr="00DD7AA1">
        <w:t> </w:t>
      </w:r>
    </w:p>
    <w:p w14:paraId="55ACAE9A" w14:textId="7C4BCBCA" w:rsidR="00DD7AA1" w:rsidRPr="00DD7AA1" w:rsidRDefault="00DD7AA1" w:rsidP="00DD7AA1">
      <w:r w:rsidRPr="00DD7AA1">
        <w:t xml:space="preserve">wir berichten über unseren gemeinsamen Patienten, </w:t>
      </w:r>
      <w:r w:rsidR="007A19BF">
        <w:t>39,</w:t>
      </w:r>
      <w:r w:rsidRPr="00DD7AA1">
        <w:t xml:space="preserve"> der sich am 05.11.2020 ambulant vorstellte.</w:t>
      </w:r>
    </w:p>
    <w:p w14:paraId="5CB33444" w14:textId="77777777" w:rsidR="00DD7AA1" w:rsidRPr="00DD7AA1" w:rsidRDefault="00DD7AA1" w:rsidP="00DD7AA1">
      <w:r w:rsidRPr="00DD7AA1">
        <w:br/>
      </w:r>
      <w:r w:rsidRPr="00DD7AA1">
        <w:br/>
      </w:r>
      <w:r w:rsidRPr="00DD7AA1">
        <w:rPr>
          <w:b/>
          <w:bCs/>
        </w:rPr>
        <w:t>Diagnosen</w:t>
      </w:r>
      <w:r w:rsidRPr="00DD7AA1">
        <w:t xml:space="preserve"> </w:t>
      </w:r>
    </w:p>
    <w:p w14:paraId="61E90B3D" w14:textId="77777777" w:rsidR="00DD7AA1" w:rsidRPr="00DD7AA1" w:rsidRDefault="001C5409" w:rsidP="00DD7AA1">
      <w:r>
        <w:rPr>
          <w:noProof/>
        </w:rPr>
      </w:r>
      <w:r>
        <w:pict w14:anchorId="5A47A2A4">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610AA3" w14:textId="77777777" w:rsidR="00DD7AA1" w:rsidRPr="00DD7AA1" w:rsidRDefault="00DD7AA1" w:rsidP="00DD7AA1">
      <w:pPr>
        <w:numPr>
          <w:ilvl w:val="0"/>
          <w:numId w:val="1"/>
        </w:numPr>
      </w:pPr>
      <w:r w:rsidRPr="00DD7AA1">
        <w:rPr>
          <w:b/>
          <w:bCs/>
        </w:rPr>
        <w:t xml:space="preserve">Psoriasisarthritis mit axialer und peripherer Beteiligung, </w:t>
      </w:r>
    </w:p>
    <w:p w14:paraId="59E1E322" w14:textId="77777777" w:rsidR="00DD7AA1" w:rsidRPr="00DD7AA1" w:rsidRDefault="00DD7AA1" w:rsidP="00DD7AA1">
      <w:pPr>
        <w:numPr>
          <w:ilvl w:val="1"/>
          <w:numId w:val="1"/>
        </w:numPr>
      </w:pPr>
      <w:r w:rsidRPr="00DD7AA1">
        <w:t xml:space="preserve">HLA-B27 negativ, IL-23RP positiv </w:t>
      </w:r>
    </w:p>
    <w:p w14:paraId="49D379F9" w14:textId="77777777" w:rsidR="00DD7AA1" w:rsidRPr="00DD7AA1" w:rsidRDefault="00DD7AA1" w:rsidP="00DD7AA1">
      <w:pPr>
        <w:numPr>
          <w:ilvl w:val="1"/>
          <w:numId w:val="1"/>
        </w:numPr>
      </w:pPr>
      <w:r w:rsidRPr="00DD7AA1">
        <w:t xml:space="preserve">Schuppenflechte der Kopfhaut </w:t>
      </w:r>
    </w:p>
    <w:p w14:paraId="50FB3181" w14:textId="77777777" w:rsidR="00DD7AA1" w:rsidRPr="00DD7AA1" w:rsidRDefault="00DD7AA1" w:rsidP="00DD7AA1">
      <w:pPr>
        <w:numPr>
          <w:ilvl w:val="1"/>
          <w:numId w:val="1"/>
        </w:numPr>
      </w:pPr>
      <w:r w:rsidRPr="00DD7AA1">
        <w:t xml:space="preserve">tief-sitzende Rückenschmerzen </w:t>
      </w:r>
    </w:p>
    <w:p w14:paraId="4FA6F8DB" w14:textId="77777777" w:rsidR="00DD7AA1" w:rsidRPr="00DD7AA1" w:rsidRDefault="00DD7AA1" w:rsidP="00DD7AA1">
      <w:pPr>
        <w:numPr>
          <w:ilvl w:val="1"/>
          <w:numId w:val="1"/>
        </w:numPr>
      </w:pPr>
      <w:r w:rsidRPr="00DD7AA1">
        <w:t xml:space="preserve">FAPI-PET/CT 10/2020: Fokale FAPI-Mehranreicherungen, im Sinne einer vermehrten Fibroblastenaktivität in den bekannten Läsionen in LWK 3 und LWK 4, im linken OSG und rechten USG, sowie einigen Zehengelenken mit im Vergleich zur VU gering rückläufig imponierender FAPI-Anreicherung. Keine neu aufgetretenen FAPI-positiven Läsionen. </w:t>
      </w:r>
    </w:p>
    <w:p w14:paraId="53A5BEFA" w14:textId="77777777" w:rsidR="00DD7AA1" w:rsidRPr="00DD7AA1" w:rsidRDefault="00DD7AA1" w:rsidP="00DD7AA1">
      <w:pPr>
        <w:numPr>
          <w:ilvl w:val="1"/>
          <w:numId w:val="1"/>
        </w:numPr>
      </w:pPr>
      <w:r w:rsidRPr="00DD7AA1">
        <w:t xml:space="preserve">FAPI-PET/CT 05/2020: Fokale FAPI Mehranreicherungen, im Sinne einer vermehrten Fibroblastenaktivität in LWK 3 und LWK 4, im linken OSG und rechten USG u. in einigen Zehengelenken </w:t>
      </w:r>
    </w:p>
    <w:p w14:paraId="189C595C" w14:textId="77777777" w:rsidR="00DD7AA1" w:rsidRPr="00DD7AA1" w:rsidRDefault="00DD7AA1" w:rsidP="00DD7AA1">
      <w:pPr>
        <w:numPr>
          <w:ilvl w:val="1"/>
          <w:numId w:val="1"/>
        </w:numPr>
      </w:pPr>
      <w:r w:rsidRPr="00DD7AA1">
        <w:t xml:space="preserve">MRT LWS/ISG (04/2020): Zeichen einer Sakroiliitis bds., degenerative Veränderungen LWK 3/4-betont </w:t>
      </w:r>
    </w:p>
    <w:p w14:paraId="411CDE69" w14:textId="77777777" w:rsidR="00DD7AA1" w:rsidRPr="00DD7AA1" w:rsidRDefault="00DD7AA1" w:rsidP="00DD7AA1">
      <w:pPr>
        <w:numPr>
          <w:ilvl w:val="1"/>
          <w:numId w:val="1"/>
        </w:numPr>
      </w:pPr>
      <w:r w:rsidRPr="00DD7AA1">
        <w:t>MRT Fuß links (03/2020): Synovialitis des OSG, im IP-Gelenk, im PIP-Gelenk D2 und im Art. tarsometatarsale 1.</w:t>
      </w:r>
      <w:r w:rsidRPr="00DD7AA1">
        <w:br/>
        <w:t xml:space="preserve">Diffuses kutanes/subkutanes Ödem. </w:t>
      </w:r>
    </w:p>
    <w:p w14:paraId="0B8D40A2" w14:textId="77777777" w:rsidR="00DD7AA1" w:rsidRPr="00DD7AA1" w:rsidRDefault="00DD7AA1" w:rsidP="00DD7AA1">
      <w:pPr>
        <w:numPr>
          <w:ilvl w:val="1"/>
          <w:numId w:val="1"/>
        </w:numPr>
      </w:pPr>
      <w:r w:rsidRPr="00DD7AA1">
        <w:t xml:space="preserve">Hepatitis B/C-Serologie und Quantiferon TB negativ 03/2020, Röntgen Thorax 03/2020: unauffällig </w:t>
      </w:r>
    </w:p>
    <w:p w14:paraId="44F53C33" w14:textId="77777777" w:rsidR="00DD7AA1" w:rsidRPr="00DD7AA1" w:rsidRDefault="00DD7AA1" w:rsidP="00DD7AA1">
      <w:pPr>
        <w:numPr>
          <w:ilvl w:val="1"/>
          <w:numId w:val="1"/>
        </w:numPr>
      </w:pPr>
      <w:r w:rsidRPr="00DD7AA1">
        <w:lastRenderedPageBreak/>
        <w:t xml:space="preserve">bisherige Therapie: Z.n. Ibuprofen bei Bedarf, Z.n. Diclofenac feste Einnahme 02/2020-05/2020 (ohne ausreichende Wirkung) </w:t>
      </w:r>
    </w:p>
    <w:p w14:paraId="0F1356F5" w14:textId="77777777" w:rsidR="00DD7AA1" w:rsidRPr="00DD7AA1" w:rsidRDefault="00DD7AA1" w:rsidP="00DD7AA1">
      <w:pPr>
        <w:numPr>
          <w:ilvl w:val="1"/>
          <w:numId w:val="1"/>
        </w:numPr>
      </w:pPr>
      <w:r w:rsidRPr="00DD7AA1">
        <w:rPr>
          <w:u w:val="single"/>
        </w:rPr>
        <w:t>aktuelle Therapie:</w:t>
      </w:r>
      <w:r w:rsidRPr="00DD7AA1">
        <w:t xml:space="preserve"> MTX 15 mg per os und Etoricoxib seit 05/2020, Erweiterung um Adalimumab 07/2020 </w:t>
      </w:r>
    </w:p>
    <w:p w14:paraId="73FBB417" w14:textId="77777777" w:rsidR="00DD7AA1" w:rsidRPr="00DD7AA1" w:rsidRDefault="00DD7AA1" w:rsidP="00DD7AA1">
      <w:pPr>
        <w:numPr>
          <w:ilvl w:val="0"/>
          <w:numId w:val="1"/>
        </w:numPr>
      </w:pPr>
      <w:r w:rsidRPr="00DD7AA1">
        <w:t xml:space="preserve">unklare Transaminasenerhöhung </w:t>
      </w:r>
    </w:p>
    <w:p w14:paraId="1A38D450" w14:textId="77777777" w:rsidR="00DD7AA1" w:rsidRPr="00DD7AA1" w:rsidRDefault="00DD7AA1" w:rsidP="00DD7AA1">
      <w:pPr>
        <w:numPr>
          <w:ilvl w:val="1"/>
          <w:numId w:val="1"/>
        </w:numPr>
      </w:pPr>
      <w:r w:rsidRPr="00DD7AA1">
        <w:t xml:space="preserve">Kontrolle und weitere Abklärung empfohlen </w:t>
      </w:r>
    </w:p>
    <w:p w14:paraId="1135C194" w14:textId="77777777" w:rsidR="00DD7AA1" w:rsidRPr="00DD7AA1" w:rsidRDefault="00DD7AA1" w:rsidP="00DD7AA1">
      <w:pPr>
        <w:numPr>
          <w:ilvl w:val="0"/>
          <w:numId w:val="1"/>
        </w:numPr>
      </w:pPr>
      <w:r w:rsidRPr="00DD7AA1">
        <w:t xml:space="preserve">Chronische Gichtarthropathie </w:t>
      </w:r>
    </w:p>
    <w:p w14:paraId="56500D4D" w14:textId="77777777" w:rsidR="00DD7AA1" w:rsidRPr="00DD7AA1" w:rsidRDefault="00DD7AA1" w:rsidP="00DD7AA1">
      <w:pPr>
        <w:numPr>
          <w:ilvl w:val="1"/>
          <w:numId w:val="1"/>
        </w:numPr>
      </w:pPr>
      <w:r w:rsidRPr="00DD7AA1">
        <w:t xml:space="preserve">DE-CT (03/2020): Gichtspezifische Farbkodierungen am Malleolus medialis bds., dorsal des Talus links, an der Fibulaspitze links. MCP-Gelenk 1 bds. und an den Grundgelenken 1-2 rechts. </w:t>
      </w:r>
    </w:p>
    <w:p w14:paraId="581B2833" w14:textId="77777777" w:rsidR="00DD7AA1" w:rsidRPr="00DD7AA1" w:rsidRDefault="00DD7AA1" w:rsidP="00DD7AA1">
      <w:pPr>
        <w:numPr>
          <w:ilvl w:val="0"/>
          <w:numId w:val="1"/>
        </w:numPr>
      </w:pPr>
      <w:r w:rsidRPr="00DD7AA1">
        <w:t xml:space="preserve">Vorbeschrieben: Spannungskopfschmerzen, Schwerhörigkeit, chron. Sinusitis, Von-Willebrand-Syndrom, Z.n. Struma-OP, aktuell laut Pat. erneut Knoten, chron. Refluxösophagitis, chron. Gastritis, Asthma bronchiale, V.a. obstruktives Schlafapnoe-Syndrom, Spondylarthrose HWS, Fruktoseintoleranz, Reizdarmsyndrom, Colondivertikel </w:t>
      </w:r>
    </w:p>
    <w:p w14:paraId="24E21594" w14:textId="77777777" w:rsidR="00DD7AA1" w:rsidRPr="00DD7AA1" w:rsidRDefault="00DD7AA1" w:rsidP="00DD7AA1">
      <w:r w:rsidRPr="00DD7AA1">
        <w:br/>
      </w:r>
      <w:r w:rsidRPr="00DD7AA1">
        <w:br/>
      </w:r>
      <w:r w:rsidRPr="00DD7AA1">
        <w:rPr>
          <w:b/>
          <w:bCs/>
        </w:rPr>
        <w:t>Therapiehistorie</w:t>
      </w:r>
      <w:r w:rsidRPr="00DD7AA1">
        <w:t xml:space="preserve"> </w:t>
      </w:r>
    </w:p>
    <w:p w14:paraId="10629B92" w14:textId="77777777" w:rsidR="00DD7AA1" w:rsidRPr="00DD7AA1" w:rsidRDefault="001C5409" w:rsidP="00DD7AA1">
      <w:r>
        <w:rPr>
          <w:noProof/>
        </w:rPr>
      </w:r>
      <w:r>
        <w:pict w14:anchorId="1C44230D">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F6EA7C" w14:textId="77777777" w:rsidR="00DD7AA1" w:rsidRPr="00DD7AA1" w:rsidRDefault="00DD7AA1" w:rsidP="00DD7AA1">
      <w:r w:rsidRPr="00DD7AA1">
        <w:t>Z.n. Ibuprofen 600  mg und Diclofenac bei Bedarf, feste Einnahme ohne ausreichende Wirkung</w:t>
      </w:r>
    </w:p>
    <w:p w14:paraId="688E6498" w14:textId="77777777" w:rsidR="00DD7AA1" w:rsidRPr="00DD7AA1" w:rsidRDefault="00DD7AA1" w:rsidP="00DD7AA1">
      <w:r w:rsidRPr="00DD7AA1">
        <w:t> </w:t>
      </w:r>
    </w:p>
    <w:p w14:paraId="39B61B59" w14:textId="77777777" w:rsidR="00DD7AA1" w:rsidRPr="00DD7AA1" w:rsidRDefault="00DD7AA1" w:rsidP="00DD7AA1">
      <w:r w:rsidRPr="00DD7AA1">
        <w:rPr>
          <w:u w:val="single"/>
        </w:rPr>
        <w:t>Dauermedikation:</w:t>
      </w:r>
    </w:p>
    <w:p w14:paraId="1A43F00A" w14:textId="77777777" w:rsidR="00DD7AA1" w:rsidRPr="00DD7AA1" w:rsidRDefault="00DD7AA1" w:rsidP="00DD7AA1">
      <w:r w:rsidRPr="00DD7AA1">
        <w:t>Thyronajod 50 µg</w:t>
      </w:r>
    </w:p>
    <w:p w14:paraId="3B5C66C8" w14:textId="77777777" w:rsidR="00DD7AA1" w:rsidRPr="00DD7AA1" w:rsidRDefault="00DD7AA1" w:rsidP="00DD7AA1">
      <w:r w:rsidRPr="00DD7AA1">
        <w:t>MTX 15 mg pro Woche s.c. neu seit 05/2020</w:t>
      </w:r>
    </w:p>
    <w:p w14:paraId="62DFD481" w14:textId="77777777" w:rsidR="00DD7AA1" w:rsidRPr="00DD7AA1" w:rsidRDefault="00DD7AA1" w:rsidP="00DD7AA1">
      <w:r w:rsidRPr="00DD7AA1">
        <w:t>Folsäure 5 mg per os 24 h nach MTX-Einnahme neu seit 05/2020</w:t>
      </w:r>
    </w:p>
    <w:p w14:paraId="3FE84E80" w14:textId="77777777" w:rsidR="00DD7AA1" w:rsidRPr="00DD7AA1" w:rsidRDefault="00DD7AA1" w:rsidP="00DD7AA1">
      <w:r w:rsidRPr="00DD7AA1">
        <w:t>Adalimumab 40 mg/ 2 Wochen</w:t>
      </w:r>
    </w:p>
    <w:p w14:paraId="4E186515" w14:textId="77777777" w:rsidR="00DD7AA1" w:rsidRPr="00DD7AA1" w:rsidRDefault="00DD7AA1" w:rsidP="00DD7AA1">
      <w:r w:rsidRPr="00DD7AA1">
        <w:t>Pantoprazol 40 mg 1-0-0</w:t>
      </w:r>
    </w:p>
    <w:p w14:paraId="18EAB5A4" w14:textId="77777777" w:rsidR="00DD7AA1" w:rsidRPr="00DD7AA1" w:rsidRDefault="00DD7AA1" w:rsidP="00DD7AA1">
      <w:r w:rsidRPr="00DD7AA1">
        <w:t>Etoricoxib 90 mg bei Bedarf</w:t>
      </w:r>
    </w:p>
    <w:p w14:paraId="7F471457" w14:textId="77777777" w:rsidR="00DD7AA1" w:rsidRPr="00DD7AA1" w:rsidRDefault="00DD7AA1" w:rsidP="00DD7AA1">
      <w:r w:rsidRPr="00DD7AA1">
        <w:t xml:space="preserve">Adalimumab 40 mg/2 Wochen </w:t>
      </w:r>
      <w:r w:rsidRPr="00DD7AA1">
        <w:rPr>
          <w:u w:val="single"/>
        </w:rPr>
        <w:t>neu 07/2020</w:t>
      </w:r>
    </w:p>
    <w:p w14:paraId="64E43D8C" w14:textId="77777777" w:rsidR="00DD7AA1" w:rsidRPr="00DD7AA1" w:rsidRDefault="00DD7AA1" w:rsidP="00DD7AA1">
      <w:r w:rsidRPr="00DD7AA1">
        <w:t> </w:t>
      </w:r>
    </w:p>
    <w:p w14:paraId="231A0C16" w14:textId="77777777" w:rsidR="00DD7AA1" w:rsidRPr="00DD7AA1" w:rsidRDefault="00DD7AA1" w:rsidP="00DD7AA1">
      <w:r w:rsidRPr="00DD7AA1">
        <w:lastRenderedPageBreak/>
        <w:br/>
      </w:r>
      <w:r w:rsidRPr="00DD7AA1">
        <w:br/>
      </w:r>
      <w:r w:rsidRPr="00DD7AA1">
        <w:rPr>
          <w:b/>
          <w:bCs/>
        </w:rPr>
        <w:t>Anamnese</w:t>
      </w:r>
      <w:r w:rsidRPr="00DD7AA1">
        <w:t xml:space="preserve"> </w:t>
      </w:r>
    </w:p>
    <w:p w14:paraId="394E74DF" w14:textId="77777777" w:rsidR="00DD7AA1" w:rsidRPr="00DD7AA1" w:rsidRDefault="001C5409" w:rsidP="00DD7AA1">
      <w:r>
        <w:rPr>
          <w:noProof/>
        </w:rPr>
      </w:r>
      <w:r>
        <w:pict w14:anchorId="2AE28E10">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E6506D" w14:textId="77777777" w:rsidR="00DD7AA1" w:rsidRPr="00DD7AA1" w:rsidRDefault="00DD7AA1" w:rsidP="00DD7AA1">
      <w:r w:rsidRPr="00DD7AA1">
        <w:t xml:space="preserve">WV bei PsA mit axialer Beteiligung unter MTX und Adalimumab. Herr Geist beschreibt eine leichte, aber für ihn nicht ausreichende Besserung der Gelenkbeschwerden durch die Therapie. Die Psoriasis an der Kopfhaut habe sich deutlich gebessert. Die blutigen, verkrusteten Läsionen seien fast vollständig abgeheilt. Er leide weiterhin unter Schmerzen im tiefen Rücken, in der HWS und in den Knien. Insgesamt seien aber weniger Schwellungen aufgetreten. Physiotherapeutische Übungen erfolgen nicht, hierfür fehle ihm die Zeit. </w:t>
      </w:r>
    </w:p>
    <w:p w14:paraId="4BA82F07" w14:textId="77777777" w:rsidR="00DD7AA1" w:rsidRPr="00DD7AA1" w:rsidRDefault="00DD7AA1" w:rsidP="00DD7AA1">
      <w:r w:rsidRPr="00DD7AA1">
        <w:rPr>
          <w:b/>
          <w:bCs/>
        </w:rPr>
        <w:t>SA</w:t>
      </w:r>
      <w:r w:rsidRPr="00DD7AA1">
        <w:t>: neu GDB 60</w:t>
      </w:r>
    </w:p>
    <w:p w14:paraId="0E20F9AF" w14:textId="77777777" w:rsidR="00DD7AA1" w:rsidRPr="00DD7AA1" w:rsidRDefault="00DD7AA1" w:rsidP="00DD7AA1">
      <w:r w:rsidRPr="00DD7AA1">
        <w:br/>
      </w:r>
      <w:r w:rsidRPr="00DD7AA1">
        <w:br/>
      </w:r>
      <w:r w:rsidRPr="00DD7AA1">
        <w:rPr>
          <w:b/>
          <w:bCs/>
        </w:rPr>
        <w:t>Untersuchungsbefund</w:t>
      </w:r>
      <w:r w:rsidRPr="00DD7AA1">
        <w:t xml:space="preserve"> </w:t>
      </w:r>
    </w:p>
    <w:p w14:paraId="221775C2" w14:textId="77777777" w:rsidR="00DD7AA1" w:rsidRPr="00DD7AA1" w:rsidRDefault="001C5409" w:rsidP="00DD7AA1">
      <w:r>
        <w:rPr>
          <w:noProof/>
        </w:rPr>
      </w:r>
      <w:r>
        <w:pict w14:anchorId="0B2B2340">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0D5C61" w14:textId="77777777" w:rsidR="00DD7AA1" w:rsidRPr="00DD7AA1" w:rsidRDefault="00DD7AA1" w:rsidP="00DD7AA1">
      <w:r w:rsidRPr="00DD7AA1">
        <w:t>53-jähriger Patient, guter AZ, normaler EZ</w:t>
      </w:r>
    </w:p>
    <w:p w14:paraId="109DEB54" w14:textId="77777777" w:rsidR="00DD7AA1" w:rsidRPr="00DD7AA1" w:rsidRDefault="00DD7AA1" w:rsidP="00DD7AA1">
      <w:r w:rsidRPr="00DD7AA1">
        <w:t>Cor: HT rein, rhythmisch</w:t>
      </w:r>
    </w:p>
    <w:p w14:paraId="1559B32F" w14:textId="77777777" w:rsidR="00DD7AA1" w:rsidRPr="00DD7AA1" w:rsidRDefault="00DD7AA1" w:rsidP="00DD7AA1">
      <w:r w:rsidRPr="00DD7AA1">
        <w:t>Pulmo: vesikuläres Atemgeräusch über allen Lungenfeldern, keine Rasselgeräusche</w:t>
      </w:r>
    </w:p>
    <w:p w14:paraId="2D3BD85C" w14:textId="77777777" w:rsidR="00DD7AA1" w:rsidRPr="00DD7AA1" w:rsidRDefault="00DD7AA1" w:rsidP="00DD7AA1">
      <w:r w:rsidRPr="00DD7AA1">
        <w:t>Haut: Psoriasis an Kopfhaut, PASI 0,3</w:t>
      </w:r>
    </w:p>
    <w:p w14:paraId="6BE8036E" w14:textId="77777777" w:rsidR="00DD7AA1" w:rsidRPr="00DD7AA1" w:rsidRDefault="00DD7AA1" w:rsidP="00DD7AA1">
      <w:r w:rsidRPr="00DD7AA1">
        <w:t>Gelenkstatus: SJC 0 TJC 3, Patrick-Zeichen bds. positiv </w:t>
      </w:r>
    </w:p>
    <w:p w14:paraId="3ED89423" w14:textId="77777777" w:rsidR="00DD7AA1" w:rsidRPr="00DD7AA1" w:rsidRDefault="00DD7AA1" w:rsidP="00DD7AA1">
      <w:r w:rsidRPr="00DD7AA1">
        <w:t>VAS Arzt 4; BASFI 9,4; BASDAI 8,15, HAQ 1,88</w:t>
      </w:r>
    </w:p>
    <w:p w14:paraId="15B7E240" w14:textId="77777777" w:rsidR="00DD7AA1" w:rsidRPr="00DD7AA1" w:rsidRDefault="00DD7AA1" w:rsidP="00DD7AA1">
      <w:r w:rsidRPr="00DD7AA1">
        <w:br/>
      </w:r>
      <w:r w:rsidRPr="00DD7AA1">
        <w:br/>
      </w:r>
      <w:r w:rsidRPr="00DD7AA1">
        <w:rPr>
          <w:b/>
          <w:bCs/>
        </w:rPr>
        <w:t>Laborwerte</w:t>
      </w:r>
      <w:r w:rsidRPr="00DD7AA1">
        <w:t xml:space="preserve"> </w:t>
      </w:r>
    </w:p>
    <w:p w14:paraId="4A6F7B6E" w14:textId="77777777" w:rsidR="00DD7AA1" w:rsidRPr="00DD7AA1" w:rsidRDefault="001C5409" w:rsidP="00DD7AA1">
      <w:r>
        <w:rPr>
          <w:noProof/>
        </w:rPr>
      </w:r>
      <w:r>
        <w:pict w14:anchorId="0E508C98">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DEFE0F" w14:textId="77777777" w:rsidR="00DD7AA1" w:rsidRPr="00DD7AA1" w:rsidRDefault="00DD7AA1" w:rsidP="00DD7AA1">
      <w:r w:rsidRPr="00DD7AA1">
        <w:rPr>
          <w:b/>
          <w:bCs/>
          <w:u w:val="single"/>
        </w:rPr>
        <w:t>Kleines BB</w:t>
      </w:r>
      <w:r w:rsidRPr="00DD7AA1">
        <w:t>: Hämoglobin 14,9 g/dl (13,5 - 17,5 g/dl), Hämatokrit 43,4 % (39 - 51 %), Erythrozyten 4,70 x 10</w:t>
      </w:r>
      <w:r w:rsidRPr="00DD7AA1">
        <w:rPr>
          <w:vertAlign w:val="superscript"/>
        </w:rPr>
        <w:t>6</w:t>
      </w:r>
      <w:r w:rsidRPr="00DD7AA1">
        <w:t>/µl (4,4 - 5,8 x 10</w:t>
      </w:r>
      <w:r w:rsidRPr="00DD7AA1">
        <w:rPr>
          <w:vertAlign w:val="superscript"/>
        </w:rPr>
        <w:t>6</w:t>
      </w:r>
      <w:r w:rsidRPr="00DD7AA1">
        <w:t>/µl), Leukozyten 4,73 x 10</w:t>
      </w:r>
      <w:r w:rsidRPr="00DD7AA1">
        <w:rPr>
          <w:vertAlign w:val="superscript"/>
        </w:rPr>
        <w:t>3</w:t>
      </w:r>
      <w:r w:rsidRPr="00DD7AA1">
        <w:t>/µl (4 - 10 x 10</w:t>
      </w:r>
      <w:r w:rsidRPr="00DD7AA1">
        <w:rPr>
          <w:vertAlign w:val="superscript"/>
        </w:rPr>
        <w:t>3</w:t>
      </w:r>
      <w:r w:rsidRPr="00DD7AA1">
        <w:t>/µl), Thrombozyten 232 x 10</w:t>
      </w:r>
      <w:r w:rsidRPr="00DD7AA1">
        <w:rPr>
          <w:vertAlign w:val="superscript"/>
        </w:rPr>
        <w:t>3</w:t>
      </w:r>
      <w:r w:rsidRPr="00DD7AA1">
        <w:t>/µl (140 - 350 x 10</w:t>
      </w:r>
      <w:r w:rsidRPr="00DD7AA1">
        <w:rPr>
          <w:vertAlign w:val="superscript"/>
        </w:rPr>
        <w:t>3</w:t>
      </w:r>
      <w:r w:rsidRPr="00DD7AA1">
        <w:t xml:space="preserve">/µl), MCH 31,7 pg (27 - 33 pg), MCHC 34,3 g Hb/dl (32 - 36 g Hb/dl), MCV 92,3 fl (81 - 98 fl), MPV 8,2 fl (7,8 - 11 fl), RDW 13,8 % (11,6 - 16,2 %). </w:t>
      </w:r>
    </w:p>
    <w:p w14:paraId="52C549C8" w14:textId="77777777" w:rsidR="00DD7AA1" w:rsidRPr="00DD7AA1" w:rsidRDefault="00DD7AA1" w:rsidP="00DD7AA1">
      <w:r w:rsidRPr="00DD7AA1">
        <w:rPr>
          <w:b/>
          <w:bCs/>
          <w:u w:val="single"/>
        </w:rPr>
        <w:t>Diff. BB</w:t>
      </w:r>
      <w:r w:rsidRPr="00DD7AA1">
        <w:t>: Neutrophile (maschinell) 46,9 %, Eosinophile (maschinell) 2,7 %, Basophile (maschinell) 0,9 %, Lymphozyten (maschinell) 38,4 %, Monozyten (maschinell) 11,0 %, Neutrophile (maschinell) Absolut 2,2 x 10</w:t>
      </w:r>
      <w:r w:rsidRPr="00DD7AA1">
        <w:rPr>
          <w:vertAlign w:val="superscript"/>
        </w:rPr>
        <w:t>3</w:t>
      </w:r>
      <w:r w:rsidRPr="00DD7AA1">
        <w:t>/µl (1,6 - 7,8 x 10</w:t>
      </w:r>
      <w:r w:rsidRPr="00DD7AA1">
        <w:rPr>
          <w:vertAlign w:val="superscript"/>
        </w:rPr>
        <w:t>3</w:t>
      </w:r>
      <w:r w:rsidRPr="00DD7AA1">
        <w:t>/µl), Eosinophile (maschinell) Absolut 0,1 x 10</w:t>
      </w:r>
      <w:r w:rsidRPr="00DD7AA1">
        <w:rPr>
          <w:vertAlign w:val="superscript"/>
        </w:rPr>
        <w:t>3</w:t>
      </w:r>
      <w:r w:rsidRPr="00DD7AA1">
        <w:t>/µl (0 - 0,5 x 10</w:t>
      </w:r>
      <w:r w:rsidRPr="00DD7AA1">
        <w:rPr>
          <w:vertAlign w:val="superscript"/>
        </w:rPr>
        <w:t>3</w:t>
      </w:r>
      <w:r w:rsidRPr="00DD7AA1">
        <w:t xml:space="preserve">/µl), Basophile (maschinell) Absolut 0,0 x </w:t>
      </w:r>
      <w:r w:rsidRPr="00DD7AA1">
        <w:lastRenderedPageBreak/>
        <w:t>10</w:t>
      </w:r>
      <w:r w:rsidRPr="00DD7AA1">
        <w:rPr>
          <w:vertAlign w:val="superscript"/>
        </w:rPr>
        <w:t>3</w:t>
      </w:r>
      <w:r w:rsidRPr="00DD7AA1">
        <w:t>/µl (0 - 0,1 x 10</w:t>
      </w:r>
      <w:r w:rsidRPr="00DD7AA1">
        <w:rPr>
          <w:vertAlign w:val="superscript"/>
        </w:rPr>
        <w:t>3</w:t>
      </w:r>
      <w:r w:rsidRPr="00DD7AA1">
        <w:t>/µl), Lymphozyten (maschinell) Absolut 1,8 x 10</w:t>
      </w:r>
      <w:r w:rsidRPr="00DD7AA1">
        <w:rPr>
          <w:vertAlign w:val="superscript"/>
        </w:rPr>
        <w:t>3</w:t>
      </w:r>
      <w:r w:rsidRPr="00DD7AA1">
        <w:t>/µl (1 - 3,5 x 10</w:t>
      </w:r>
      <w:r w:rsidRPr="00DD7AA1">
        <w:rPr>
          <w:vertAlign w:val="superscript"/>
        </w:rPr>
        <w:t>3</w:t>
      </w:r>
      <w:r w:rsidRPr="00DD7AA1">
        <w:t>/µl), Monozyten (maschinell) Absolut 0,5 x 10</w:t>
      </w:r>
      <w:r w:rsidRPr="00DD7AA1">
        <w:rPr>
          <w:vertAlign w:val="superscript"/>
        </w:rPr>
        <w:t>3</w:t>
      </w:r>
      <w:r w:rsidRPr="00DD7AA1">
        <w:t>/µl (0,1 - 0,9 x 10</w:t>
      </w:r>
      <w:r w:rsidRPr="00DD7AA1">
        <w:rPr>
          <w:vertAlign w:val="superscript"/>
        </w:rPr>
        <w:t>3</w:t>
      </w:r>
      <w:r w:rsidRPr="00DD7AA1">
        <w:t xml:space="preserve">/µl), </w:t>
      </w:r>
    </w:p>
    <w:p w14:paraId="75AC70AB" w14:textId="77777777" w:rsidR="00DD7AA1" w:rsidRPr="00DD7AA1" w:rsidRDefault="00DD7AA1" w:rsidP="00DD7AA1">
      <w:r w:rsidRPr="00DD7AA1">
        <w:rPr>
          <w:b/>
          <w:bCs/>
          <w:u w:val="single"/>
        </w:rPr>
        <w:t>Serumchemie</w:t>
      </w:r>
      <w:r w:rsidRPr="00DD7AA1">
        <w:t xml:space="preserve">: Kreatinin 0,83 mg/dl (0,67 - 1,17 mg/dl), eGFR (Berechnung nach CKD-EPI) 100 ml/min/1,73m², </w:t>
      </w:r>
      <w:r w:rsidRPr="00DD7AA1">
        <w:rPr>
          <w:b/>
          <w:bCs/>
        </w:rPr>
        <w:t>Harnsäure 7,8 mg/dl</w:t>
      </w:r>
      <w:r w:rsidRPr="00DD7AA1">
        <w:t xml:space="preserve"> (3,4 - 7,0 mg/dl), </w:t>
      </w:r>
      <w:r w:rsidRPr="00DD7AA1">
        <w:rPr>
          <w:b/>
          <w:bCs/>
        </w:rPr>
        <w:t>AST / GOT 53 U/l</w:t>
      </w:r>
      <w:r w:rsidRPr="00DD7AA1">
        <w:t xml:space="preserve"> (&lt; 50 U/l), </w:t>
      </w:r>
      <w:r w:rsidRPr="00DD7AA1">
        <w:rPr>
          <w:b/>
          <w:bCs/>
        </w:rPr>
        <w:t>ALT / GPT 53 U/l</w:t>
      </w:r>
      <w:r w:rsidRPr="00DD7AA1">
        <w:t xml:space="preserve"> (&lt; 50 U/l). </w:t>
      </w:r>
    </w:p>
    <w:p w14:paraId="736B495A" w14:textId="77777777" w:rsidR="00DD7AA1" w:rsidRPr="00DD7AA1" w:rsidRDefault="00DD7AA1" w:rsidP="00DD7AA1">
      <w:r w:rsidRPr="00DD7AA1">
        <w:rPr>
          <w:b/>
          <w:bCs/>
          <w:u w:val="single"/>
        </w:rPr>
        <w:t>Sonstige Serumchemie</w:t>
      </w:r>
      <w:r w:rsidRPr="00DD7AA1">
        <w:t xml:space="preserve">: eGFR (Berechnung nach CKD-EPI) 100 ml/min/1,73m², </w:t>
      </w:r>
    </w:p>
    <w:p w14:paraId="75E9FE00" w14:textId="77777777" w:rsidR="00DD7AA1" w:rsidRPr="00DD7AA1" w:rsidRDefault="00DD7AA1" w:rsidP="00DD7AA1">
      <w:r w:rsidRPr="00DD7AA1">
        <w:rPr>
          <w:b/>
          <w:bCs/>
          <w:u w:val="single"/>
        </w:rPr>
        <w:t>Immunologie</w:t>
      </w:r>
      <w:r w:rsidRPr="00DD7AA1">
        <w:t xml:space="preserve">: C-reaktives Protein &lt;5,2 mg/l (-&lt;5,2 mg/l), </w:t>
      </w:r>
    </w:p>
    <w:p w14:paraId="2CC22D07" w14:textId="77777777" w:rsidR="00DD7AA1" w:rsidRPr="00DD7AA1" w:rsidRDefault="00DD7AA1" w:rsidP="00DD7AA1">
      <w:r w:rsidRPr="00DD7AA1">
        <w:br/>
      </w:r>
      <w:r w:rsidRPr="00DD7AA1">
        <w:br/>
      </w:r>
      <w:r w:rsidRPr="00DD7AA1">
        <w:rPr>
          <w:b/>
          <w:bCs/>
        </w:rPr>
        <w:t>Befunde</w:t>
      </w:r>
      <w:r w:rsidRPr="00DD7AA1">
        <w:t xml:space="preserve"> </w:t>
      </w:r>
    </w:p>
    <w:p w14:paraId="30463618" w14:textId="77777777" w:rsidR="00DD7AA1" w:rsidRPr="00DD7AA1" w:rsidRDefault="001C5409" w:rsidP="00DD7AA1">
      <w:r>
        <w:rPr>
          <w:noProof/>
        </w:rPr>
      </w:r>
      <w:r>
        <w:pict w14:anchorId="6E9A5B73">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95F450" w14:textId="77777777" w:rsidR="00DD7AA1" w:rsidRPr="00DD7AA1" w:rsidRDefault="00DD7AA1" w:rsidP="00DD7AA1">
      <w:r w:rsidRPr="00DD7AA1">
        <w:rPr>
          <w:b/>
          <w:bCs/>
          <w:u w:val="single"/>
        </w:rPr>
        <w:t>FAPI PET/CT mit CT low dose vom 30.10.2020:</w:t>
      </w:r>
      <w:r w:rsidRPr="00DD7AA1">
        <w:t> </w:t>
      </w:r>
    </w:p>
    <w:p w14:paraId="63CA6060" w14:textId="77777777" w:rsidR="00DD7AA1" w:rsidRPr="00DD7AA1" w:rsidRDefault="00DD7AA1" w:rsidP="00DD7AA1">
      <w:r w:rsidRPr="00DD7AA1">
        <w:t xml:space="preserve">Befund: Zum Vergleich FAPI PET/CT vom 22.05.20. Schädelbasis/Hals: Nasennebenhöhlen und Mastoidzellen (soweit erfasst) frei pneumatisiert. Z.n. Strumektomie mit Rezidivstruma rechts. Keine suspekt vergrößerten Lymphknoten cervikal. Thorax: Keine suspekt vergrößerten oder pathologisch Radiopharmakon mehrspeichernde Lymphknoten periclaviculär, axillär, hilär oder mediastinal. Kein Perikard- oder Pleuraerguss. Koronarsklerose. Im Lungenfenster keine malignomsuspekten Rundherde, kein Infiltrat. Axiale Hiatushernie. Abdomen / Becken: Eingeschränkte Beurteilbarkeit in Nativ-Technik. Soweit beurteilbar unauffällige Darstellung der parenchymatösen abdominellen Organe, der Nebennieren, Nieren, Nierenbecken und ableitenden Harnwege. Leber mit deutlicher FAPI-Anreicherung SUV mean TOF 4,1. Kein Nachweis pathologisch konfigurierter, vergrößerter oder vermehrt Radiopharmakon aufnehmender Lymphknoten mesenterial, paraaortal, retroperitoneal iliacal oder inguinal. Keine freie Luft, keine freie Flüssigkeit. Fettig erweiterter Leisenkanal rechts. Axiale Magenhernie. Skelett: Unveränderte fokale Tracermehranreicherungen in Projektion auf einen Osteophyten ventral von Bodenplatte LWK 3 ausgehend SUV max. TOF 3,0, sowie in Projektion auf die Hinterkante der Bodenplatte von LWK 4 (SUV max. TOF 3,4). Bekannte Traceranreicherung in der 7. Rippe links lateral (IMA 71) mit CT-morphologischer irregulär konfigurierter Knochensubstanz DD Z.n. Fraktur. Fuß links: Im Vergleich zur VU von 05/20 weiterhin circuläre Mehrspeicherung des OSG (IMA 304) SUV max. TOF 3,0. Bekannte flächige Mehrspeicherung Tarsometartarsalgelenk 1 SUV max. TOF 4,1, sowie fokale Mehrspeicherung in der Grundgliedbasis der Großzehe links SUV max. TOF 3,7. Fuß rechts: Bekannte circuläre Mehrspeicherung im Subtalargelenk (SUV max. TOF 3,4) sowie flächige Mehrspeicherung Metatarsophalangealgelenk 1 (SUV max. TOF 2,5) angrenzend an das Osteosynthesematerial in der phalanx proximalis 1. Einzelaufnahme </w:t>
      </w:r>
      <w:r w:rsidRPr="00DD7AA1">
        <w:lastRenderedPageBreak/>
        <w:t xml:space="preserve">Hände: Unverändert gering degenerative Veränderungen. Kein Anhalt für eine über das physiologische Maß hinausgehende vermehrte FAPI-Anreicherung. </w:t>
      </w:r>
    </w:p>
    <w:p w14:paraId="65E02F5F" w14:textId="77777777" w:rsidR="00DD7AA1" w:rsidRPr="00DD7AA1" w:rsidRDefault="00DD7AA1" w:rsidP="00DD7AA1">
      <w:r w:rsidRPr="00DD7AA1">
        <w:t>Beurteilung: Fokale FAPI-Mehranreicherungen, im Sinne einer vermehrten Fibroblastenaktivität in den bekannten Läsionen in LWK 3 und LWK 4, im linken OSG und rechten USG, sowie einigen Zehengelenken mit im Vergleich zur VU gering rückläufig imponierender FAPI-Anreicherung. Keine neu aufgetretenen FAPI-positiven Läsionen.</w:t>
      </w:r>
    </w:p>
    <w:p w14:paraId="648629F3" w14:textId="77777777" w:rsidR="00DD7AA1" w:rsidRPr="00DD7AA1" w:rsidRDefault="00DD7AA1" w:rsidP="00DD7AA1">
      <w:r w:rsidRPr="00DD7AA1">
        <w:br/>
      </w:r>
      <w:r w:rsidRPr="00DD7AA1">
        <w:br/>
      </w:r>
      <w:r w:rsidRPr="00DD7AA1">
        <w:rPr>
          <w:b/>
          <w:bCs/>
        </w:rPr>
        <w:t>Weitere Befunde</w:t>
      </w:r>
      <w:r w:rsidRPr="00DD7AA1">
        <w:t xml:space="preserve"> </w:t>
      </w:r>
    </w:p>
    <w:p w14:paraId="0A043256" w14:textId="77777777" w:rsidR="00DD7AA1" w:rsidRPr="00DD7AA1" w:rsidRDefault="001C5409" w:rsidP="00DD7AA1">
      <w:r>
        <w:rPr>
          <w:noProof/>
        </w:rPr>
      </w:r>
      <w:r>
        <w:pict w14:anchorId="459B45B8">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0BC5A9" w14:textId="77777777" w:rsidR="00DD7AA1" w:rsidRPr="00DD7AA1" w:rsidRDefault="00DD7AA1" w:rsidP="00DD7AA1">
      <w:r w:rsidRPr="00DD7AA1">
        <w:rPr>
          <w:b/>
          <w:bCs/>
        </w:rPr>
        <w:t>BKS</w:t>
      </w:r>
      <w:r w:rsidRPr="00DD7AA1">
        <w:t xml:space="preserve"> 6/22 mm/h </w:t>
      </w:r>
      <w:r w:rsidRPr="00DD7AA1">
        <w:br/>
      </w:r>
      <w:r w:rsidRPr="00DD7AA1">
        <w:br/>
      </w:r>
      <w:r w:rsidRPr="00DD7AA1">
        <w:rPr>
          <w:b/>
          <w:bCs/>
        </w:rPr>
        <w:t>Verlauf und Beurteilung</w:t>
      </w:r>
      <w:r w:rsidRPr="00DD7AA1">
        <w:t xml:space="preserve"> </w:t>
      </w:r>
    </w:p>
    <w:p w14:paraId="04AADBFC" w14:textId="77777777" w:rsidR="00DD7AA1" w:rsidRPr="00DD7AA1" w:rsidRDefault="001C5409" w:rsidP="00DD7AA1">
      <w:r>
        <w:rPr>
          <w:noProof/>
        </w:rPr>
      </w:r>
      <w:r>
        <w:pict w14:anchorId="74DF43CF">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C60221" w14:textId="77777777" w:rsidR="00DD7AA1" w:rsidRPr="00DD7AA1" w:rsidRDefault="00DD7AA1" w:rsidP="00DD7AA1">
      <w:r w:rsidRPr="00DD7AA1">
        <w:t xml:space="preserve">Planmäßige WV bei PsA unter Adalimumab/ MTX - Anamnestisch und klinisch nur leichte Besserung 3-monatiger Einnahme der Kombinationstherapie feststellbar. </w:t>
      </w:r>
    </w:p>
    <w:p w14:paraId="2C4C6C94" w14:textId="77777777" w:rsidR="00DD7AA1" w:rsidRPr="00DD7AA1" w:rsidRDefault="00DD7AA1" w:rsidP="00DD7AA1">
      <w:r w:rsidRPr="00DD7AA1">
        <w:t xml:space="preserve">Diese Einschätzung stimmt mit dem aktuellen radiographischen FAPI-PET-CT -Befund überein, in dem sich weiterhin vermehrte mesenchymale Aktivität - im Vgl. zur Voruntersuchung gering rückläufig imponierend- im Bereich LWK 3/4, im li. OSG, im re. USG, sowie in einigen Zehengelenken zeigte. </w:t>
      </w:r>
    </w:p>
    <w:p w14:paraId="0AEE3346" w14:textId="77777777" w:rsidR="00DD7AA1" w:rsidRPr="00DD7AA1" w:rsidRDefault="00DD7AA1" w:rsidP="00DD7AA1">
      <w:r w:rsidRPr="00DD7AA1">
        <w:t> </w:t>
      </w:r>
    </w:p>
    <w:p w14:paraId="6F31BF2C" w14:textId="77777777" w:rsidR="00DD7AA1" w:rsidRPr="00DD7AA1" w:rsidRDefault="00DD7AA1" w:rsidP="00DD7AA1">
      <w:r w:rsidRPr="00DD7AA1">
        <w:t xml:space="preserve">Im Einverständnis des Pat. zogen wir bei nicht ausreichend kontrollierter Grunderkrankung die Kollegen der Studienambulanz hinzu, um die Möglichkeit einer Therapieumstellung im Rahmen einer Studie (z.B. PASTOR) zu überprüfen. Sollte dies nicht möglich sein, wäre eine zeitnaher Präparatwechsel auf ein anderes Biologikum z.B. auf den anti-IL 17-Ak Secukinumab, denkbar. </w:t>
      </w:r>
    </w:p>
    <w:p w14:paraId="627FE468" w14:textId="77777777" w:rsidR="00DD7AA1" w:rsidRPr="00DD7AA1" w:rsidRDefault="00DD7AA1" w:rsidP="00DD7AA1">
      <w:r w:rsidRPr="00DD7AA1">
        <w:t> </w:t>
      </w:r>
    </w:p>
    <w:p w14:paraId="5F6A597F" w14:textId="77777777" w:rsidR="00DD7AA1" w:rsidRPr="00DD7AA1" w:rsidRDefault="00DD7AA1" w:rsidP="00DD7AA1">
      <w:r w:rsidRPr="00DD7AA1">
        <w:t xml:space="preserve">In der Anamnese stellte sich heute heraus, dass Herr Geist das MTX fälschlicherweise seit Beginn des Adalimumabs nur 2-wöchentlich einnahm. </w:t>
      </w:r>
    </w:p>
    <w:p w14:paraId="0DF856AC" w14:textId="77777777" w:rsidR="00DD7AA1" w:rsidRPr="00DD7AA1" w:rsidRDefault="00DD7AA1" w:rsidP="00DD7AA1">
      <w:r w:rsidRPr="00DD7AA1">
        <w:t xml:space="preserve">Wir empfehlen eine </w:t>
      </w:r>
      <w:r w:rsidRPr="00DD7AA1">
        <w:rPr>
          <w:u w:val="single"/>
        </w:rPr>
        <w:t>wöchentliche</w:t>
      </w:r>
      <w:r w:rsidRPr="00DD7AA1">
        <w:t xml:space="preserve"> Einnahme von MTX 15 mg und die Einnahme von Folsäure 5 mg wöchentlich. </w:t>
      </w:r>
    </w:p>
    <w:p w14:paraId="0B21CFCA" w14:textId="77777777" w:rsidR="00DD7AA1" w:rsidRPr="00DD7AA1" w:rsidRDefault="00DD7AA1" w:rsidP="00DD7AA1">
      <w:r w:rsidRPr="00DD7AA1">
        <w:t xml:space="preserve">Bei schlechter Verträglichkeit (Unwohlsein, Übelkeit) stellten wir die heute das MTX auf Subkutangaben mittels Fertigspritzen um. </w:t>
      </w:r>
    </w:p>
    <w:p w14:paraId="2B2D40EA" w14:textId="77777777" w:rsidR="00DD7AA1" w:rsidRPr="00DD7AA1" w:rsidRDefault="00DD7AA1" w:rsidP="00DD7AA1">
      <w:r w:rsidRPr="00DD7AA1">
        <w:t xml:space="preserve">Klinische und laborchemische Kontrollen nach Maßgabe der DGRh mit großem BB, CRP/BSG, Leber- und Nierenfunktionswerten sollten bis WV alle 4 Wochen erfolgen. </w:t>
      </w:r>
    </w:p>
    <w:p w14:paraId="02202442" w14:textId="77777777" w:rsidR="00DD7AA1" w:rsidRPr="00DD7AA1" w:rsidRDefault="00DD7AA1" w:rsidP="00DD7AA1">
      <w:r w:rsidRPr="00DD7AA1">
        <w:lastRenderedPageBreak/>
        <w:t> </w:t>
      </w:r>
    </w:p>
    <w:p w14:paraId="261BA3E3" w14:textId="77777777" w:rsidR="00DD7AA1" w:rsidRPr="00DD7AA1" w:rsidRDefault="00DD7AA1" w:rsidP="00DD7AA1">
      <w:r w:rsidRPr="00DD7AA1">
        <w:t>Bei weiterhin erhöhter Harnsäure empfehlen wir Erhöhung der Allopurinol-Dosis auf 200 mg (=2 Tabletten) täglich.</w:t>
      </w:r>
    </w:p>
    <w:p w14:paraId="0D6AFFE1" w14:textId="77777777" w:rsidR="00DD7AA1" w:rsidRPr="00DD7AA1" w:rsidRDefault="00DD7AA1" w:rsidP="00DD7AA1">
      <w:r w:rsidRPr="00DD7AA1">
        <w:t> </w:t>
      </w:r>
    </w:p>
    <w:p w14:paraId="5CE71EFF" w14:textId="77777777" w:rsidR="00DD7AA1" w:rsidRPr="00DD7AA1" w:rsidRDefault="00DD7AA1" w:rsidP="00DD7AA1">
      <w:r w:rsidRPr="00DD7AA1">
        <w:t>Eine WV in der HSA zur erneuten Evaluation ist in 3 Monaten geplant. Sollte es zu einer Verschlechterung der Beschwerden kommen, ist eine kurzfristige Wiedervorstellung nach telefonischer Rücksprache (09131/85-34742) oder per Mail (m3hsa@uk-erlangen.de) möglich.</w:t>
      </w:r>
    </w:p>
    <w:p w14:paraId="299D08AF" w14:textId="77777777" w:rsidR="00DD7AA1" w:rsidRPr="00DD7AA1" w:rsidRDefault="00DD7AA1" w:rsidP="00DD7AA1">
      <w:r w:rsidRPr="00DD7AA1">
        <w:br/>
      </w:r>
      <w:r w:rsidRPr="00DD7AA1">
        <w:br/>
      </w:r>
      <w:r w:rsidRPr="00DD7AA1">
        <w:rPr>
          <w:b/>
          <w:bCs/>
        </w:rPr>
        <w:t>Therapieempfehlung</w:t>
      </w:r>
      <w:r w:rsidRPr="00DD7AA1">
        <w:t xml:space="preserve"> </w:t>
      </w:r>
    </w:p>
    <w:p w14:paraId="0862F892" w14:textId="77777777" w:rsidR="00DD7AA1" w:rsidRPr="00DD7AA1" w:rsidRDefault="001C5409" w:rsidP="00DD7AA1">
      <w:r>
        <w:rPr>
          <w:noProof/>
        </w:rPr>
      </w:r>
      <w:r>
        <w:pict w14:anchorId="42BC12F0">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E6A818" w14:textId="77777777" w:rsidR="00DD7AA1" w:rsidRPr="00DD7AA1" w:rsidRDefault="00DD7AA1" w:rsidP="00DD7AA1">
      <w:pPr>
        <w:numPr>
          <w:ilvl w:val="0"/>
          <w:numId w:val="2"/>
        </w:numPr>
      </w:pPr>
      <w:r w:rsidRPr="00DD7AA1">
        <w:t xml:space="preserve">Zunächst Fortführung der Therapie mit Adalimumab/ MTX, unter regelm. klinischen und laborchemischen nach Maßgabe der DGRh </w:t>
      </w:r>
    </w:p>
    <w:p w14:paraId="46CB7D41" w14:textId="77777777" w:rsidR="00DD7AA1" w:rsidRPr="00DD7AA1" w:rsidRDefault="00DD7AA1" w:rsidP="00DD7AA1">
      <w:pPr>
        <w:numPr>
          <w:ilvl w:val="1"/>
          <w:numId w:val="2"/>
        </w:numPr>
      </w:pPr>
      <w:r w:rsidRPr="00DD7AA1">
        <w:t xml:space="preserve">MTX: wöchentlich 15 mg s.c. (=1 Fertigspritze), Einnahme von Folsäure 5 mg 24 h nach MTX (ebenfalls wöchentlich) </w:t>
      </w:r>
    </w:p>
    <w:p w14:paraId="07910CF8" w14:textId="77777777" w:rsidR="00DD7AA1" w:rsidRPr="00DD7AA1" w:rsidRDefault="00DD7AA1" w:rsidP="00DD7AA1">
      <w:pPr>
        <w:numPr>
          <w:ilvl w:val="1"/>
          <w:numId w:val="2"/>
        </w:numPr>
      </w:pPr>
      <w:r w:rsidRPr="00DD7AA1">
        <w:t xml:space="preserve">Adalimumab 40 mg 2-wöchentlich (=1 Fertigspritze) </w:t>
      </w:r>
    </w:p>
    <w:p w14:paraId="62AB3E37" w14:textId="77777777" w:rsidR="00DD7AA1" w:rsidRPr="00DD7AA1" w:rsidRDefault="00DD7AA1" w:rsidP="00DD7AA1">
      <w:pPr>
        <w:numPr>
          <w:ilvl w:val="0"/>
          <w:numId w:val="2"/>
        </w:numPr>
      </w:pPr>
      <w:r w:rsidRPr="00DD7AA1">
        <w:t xml:space="preserve">KG für den Erhalt von Beweglichkeit und zur Muskelstabilisierung </w:t>
      </w:r>
    </w:p>
    <w:p w14:paraId="5E7E9FB1" w14:textId="77777777" w:rsidR="00DD7AA1" w:rsidRPr="00DD7AA1" w:rsidRDefault="00DD7AA1" w:rsidP="00DD7AA1">
      <w:pPr>
        <w:numPr>
          <w:ilvl w:val="0"/>
          <w:numId w:val="2"/>
        </w:numPr>
      </w:pPr>
      <w:r w:rsidRPr="00DD7AA1">
        <w:t xml:space="preserve">ggf. Therapieumstellung im Rahmen einer Studie i.d. hiesigen Studienambulanz geplant. </w:t>
      </w:r>
    </w:p>
    <w:p w14:paraId="3AC12FBA" w14:textId="77777777" w:rsidR="00DD7AA1" w:rsidRPr="00DD7AA1" w:rsidRDefault="00DD7AA1" w:rsidP="00DD7AA1">
      <w:r w:rsidRPr="00DD7AA1">
        <w:br/>
      </w:r>
      <w:r w:rsidRPr="00DD7AA1">
        <w:br/>
      </w:r>
      <w:r w:rsidRPr="00DD7AA1">
        <w:rPr>
          <w:b/>
          <w:bCs/>
        </w:rPr>
        <w:t>Schluss</w:t>
      </w:r>
      <w:r w:rsidRPr="00DD7AA1">
        <w:t xml:space="preserve"> </w:t>
      </w:r>
    </w:p>
    <w:p w14:paraId="2050D807" w14:textId="77777777" w:rsidR="00DD7AA1" w:rsidRPr="00DD7AA1" w:rsidRDefault="001C5409" w:rsidP="00DD7AA1">
      <w:r>
        <w:rPr>
          <w:noProof/>
        </w:rPr>
      </w:r>
      <w:r>
        <w:pict w14:anchorId="27F4C0E1">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7C35C5" w14:textId="77777777" w:rsidR="00DD7AA1" w:rsidRPr="00DD7AA1" w:rsidRDefault="00DD7AA1" w:rsidP="00DD7AA1">
      <w:r w:rsidRPr="00DD7AA1">
        <w:t>Mit freundlichen kollegialen Grüßen</w:t>
      </w:r>
    </w:p>
    <w:p w14:paraId="3027AD5F" w14:textId="77777777" w:rsidR="00DD7AA1" w:rsidRPr="00DD7AA1" w:rsidRDefault="00DD7AA1" w:rsidP="00DD7AA1">
      <w:r w:rsidRPr="00DD7AA1">
        <w:t> </w:t>
      </w:r>
    </w:p>
    <w:p w14:paraId="62B41579"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D04FC"/>
    <w:multiLevelType w:val="multilevel"/>
    <w:tmpl w:val="B3288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61128A"/>
    <w:multiLevelType w:val="multilevel"/>
    <w:tmpl w:val="BB7E7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67555">
    <w:abstractNumId w:val="0"/>
  </w:num>
  <w:num w:numId="2" w16cid:durableId="1741517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A1"/>
    <w:rsid w:val="001C5409"/>
    <w:rsid w:val="00453D1E"/>
    <w:rsid w:val="007A19BF"/>
    <w:rsid w:val="0092470E"/>
    <w:rsid w:val="00B761FA"/>
    <w:rsid w:val="00BA6539"/>
    <w:rsid w:val="00D93C9C"/>
    <w:rsid w:val="00DD7A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5A1FCE5"/>
  <w15:chartTrackingRefBased/>
  <w15:docId w15:val="{8C9C6536-1634-4930-AB4F-94E2551F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7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7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7AA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7AA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7AA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7AA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7AA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7AA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7AA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7AA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7AA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7AA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7AA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7AA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7AA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7AA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7AA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7AA1"/>
    <w:rPr>
      <w:rFonts w:eastAsiaTheme="majorEastAsia" w:cstheme="majorBidi"/>
      <w:color w:val="272727" w:themeColor="text1" w:themeTint="D8"/>
    </w:rPr>
  </w:style>
  <w:style w:type="paragraph" w:styleId="Titel">
    <w:name w:val="Title"/>
    <w:basedOn w:val="Standard"/>
    <w:next w:val="Standard"/>
    <w:link w:val="TitelZchn"/>
    <w:uiPriority w:val="10"/>
    <w:qFormat/>
    <w:rsid w:val="00DD7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7AA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7AA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7AA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7AA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7AA1"/>
    <w:rPr>
      <w:i/>
      <w:iCs/>
      <w:color w:val="404040" w:themeColor="text1" w:themeTint="BF"/>
    </w:rPr>
  </w:style>
  <w:style w:type="paragraph" w:styleId="Listenabsatz">
    <w:name w:val="List Paragraph"/>
    <w:basedOn w:val="Standard"/>
    <w:uiPriority w:val="34"/>
    <w:qFormat/>
    <w:rsid w:val="00DD7AA1"/>
    <w:pPr>
      <w:ind w:left="720"/>
      <w:contextualSpacing/>
    </w:pPr>
  </w:style>
  <w:style w:type="character" w:styleId="IntensiveHervorhebung">
    <w:name w:val="Intense Emphasis"/>
    <w:basedOn w:val="Absatz-Standardschriftart"/>
    <w:uiPriority w:val="21"/>
    <w:qFormat/>
    <w:rsid w:val="00DD7AA1"/>
    <w:rPr>
      <w:i/>
      <w:iCs/>
      <w:color w:val="0F4761" w:themeColor="accent1" w:themeShade="BF"/>
    </w:rPr>
  </w:style>
  <w:style w:type="paragraph" w:styleId="IntensivesZitat">
    <w:name w:val="Intense Quote"/>
    <w:basedOn w:val="Standard"/>
    <w:next w:val="Standard"/>
    <w:link w:val="IntensivesZitatZchn"/>
    <w:uiPriority w:val="30"/>
    <w:qFormat/>
    <w:rsid w:val="00DD7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7AA1"/>
    <w:rPr>
      <w:i/>
      <w:iCs/>
      <w:color w:val="0F4761" w:themeColor="accent1" w:themeShade="BF"/>
    </w:rPr>
  </w:style>
  <w:style w:type="character" w:styleId="IntensiverVerweis">
    <w:name w:val="Intense Reference"/>
    <w:basedOn w:val="Absatz-Standardschriftart"/>
    <w:uiPriority w:val="32"/>
    <w:qFormat/>
    <w:rsid w:val="00DD7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0722417">
      <w:bodyDiv w:val="1"/>
      <w:marLeft w:val="0"/>
      <w:marRight w:val="0"/>
      <w:marTop w:val="0"/>
      <w:marBottom w:val="0"/>
      <w:divBdr>
        <w:top w:val="none" w:sz="0" w:space="0" w:color="auto"/>
        <w:left w:val="none" w:sz="0" w:space="0" w:color="auto"/>
        <w:bottom w:val="none" w:sz="0" w:space="0" w:color="auto"/>
        <w:right w:val="none" w:sz="0" w:space="0" w:color="auto"/>
      </w:divBdr>
      <w:divsChild>
        <w:div w:id="758409043">
          <w:marLeft w:val="0"/>
          <w:marRight w:val="0"/>
          <w:marTop w:val="0"/>
          <w:marBottom w:val="0"/>
          <w:divBdr>
            <w:top w:val="none" w:sz="0" w:space="0" w:color="auto"/>
            <w:left w:val="none" w:sz="0" w:space="0" w:color="auto"/>
            <w:bottom w:val="none" w:sz="0" w:space="0" w:color="auto"/>
            <w:right w:val="none" w:sz="0" w:space="0" w:color="auto"/>
          </w:divBdr>
        </w:div>
      </w:divsChild>
    </w:div>
    <w:div w:id="1166214121">
      <w:bodyDiv w:val="1"/>
      <w:marLeft w:val="0"/>
      <w:marRight w:val="0"/>
      <w:marTop w:val="0"/>
      <w:marBottom w:val="0"/>
      <w:divBdr>
        <w:top w:val="none" w:sz="0" w:space="0" w:color="auto"/>
        <w:left w:val="none" w:sz="0" w:space="0" w:color="auto"/>
        <w:bottom w:val="none" w:sz="0" w:space="0" w:color="auto"/>
        <w:right w:val="none" w:sz="0" w:space="0" w:color="auto"/>
      </w:divBdr>
      <w:divsChild>
        <w:div w:id="1567184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1320</Words>
  <Characters>8319</Characters>
  <Application>Microsoft Office Word</Application>
  <DocSecurity>0</DocSecurity>
  <Lines>69</Lines>
  <Paragraphs>19</Paragraphs>
  <ScaleCrop>false</ScaleCrop>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2026-09-25T15:40:00Z</dcterms:created>
  <dcterms:modified xsi:type="dcterms:W3CDTF">2026-09-25T22:52:00Z</dcterms:modified>
</cp:coreProperties>
</file>