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CB01608" w14:textId="77777777" w:rsidR="000C6206" w:rsidRPr="000C6206" w:rsidRDefault="000C6206" w:rsidP="000C6206">
      <w:r w:rsidRPr="000C6206">
        <w:rPr>
          <w:b/>
          <w:bCs/>
        </w:rPr>
        <w:t>Kürzel</w:t>
      </w:r>
      <w:r w:rsidRPr="000C6206">
        <w:t xml:space="preserve"> </w:t>
      </w:r>
    </w:p>
    <w:p w14:paraId="5A49E534" w14:textId="77777777" w:rsidR="000C6206" w:rsidRPr="000C6206" w:rsidRDefault="006E58C1" w:rsidP="000C6206">
      <w:r>
        <w:rPr>
          <w:noProof/>
        </w:rPr>
      </w:r>
      <w:r>
        <w:pict w14:anchorId="701FB267">
          <v:rect id="Horizontal Line 1" o:spid="_x0000_s1035"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5FEAF3D9" w14:textId="77777777" w:rsidR="000C6206" w:rsidRPr="000C6206" w:rsidRDefault="000C6206" w:rsidP="000C6206">
      <w:r w:rsidRPr="000C6206">
        <w:t>ram/rei</w:t>
      </w:r>
      <w:r w:rsidRPr="000C6206">
        <w:br/>
      </w:r>
      <w:r w:rsidRPr="000C6206">
        <w:br/>
      </w:r>
      <w:r w:rsidRPr="000C6206">
        <w:rPr>
          <w:b/>
          <w:bCs/>
        </w:rPr>
        <w:t>Anrede</w:t>
      </w:r>
      <w:r w:rsidRPr="000C6206">
        <w:t xml:space="preserve"> </w:t>
      </w:r>
    </w:p>
    <w:p w14:paraId="5399C49E" w14:textId="77777777" w:rsidR="000C6206" w:rsidRPr="000C6206" w:rsidRDefault="006E58C1" w:rsidP="000C6206">
      <w:r>
        <w:rPr>
          <w:noProof/>
        </w:rPr>
      </w:r>
      <w:r>
        <w:pict w14:anchorId="39AD4BFE">
          <v:rect id="Horizontal Line 2" o:spid="_x0000_s1034"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4D18B3BF" w14:textId="77777777" w:rsidR="000C6206" w:rsidRPr="000C6206" w:rsidRDefault="000C6206" w:rsidP="000C6206">
      <w:r w:rsidRPr="000C6206">
        <w:t xml:space="preserve">Sehr geehrte Frau Kollegin, sehr geehrter Herr Kollege, </w:t>
      </w:r>
    </w:p>
    <w:p w14:paraId="47B471C4" w14:textId="77777777" w:rsidR="000C6206" w:rsidRPr="000C6206" w:rsidRDefault="000C6206" w:rsidP="000C6206">
      <w:r w:rsidRPr="000C6206">
        <w:t> </w:t>
      </w:r>
    </w:p>
    <w:p w14:paraId="707D3BB3" w14:textId="46BAACB3" w:rsidR="000C6206" w:rsidRPr="000C6206" w:rsidRDefault="000C6206" w:rsidP="000C6206">
      <w:r w:rsidRPr="000C6206">
        <w:t xml:space="preserve">wir berichten über unsere gemeinsame Patientin, </w:t>
      </w:r>
      <w:r w:rsidR="001C132F">
        <w:t>3</w:t>
      </w:r>
      <w:r w:rsidRPr="000C6206">
        <w:t>, die sich am 19.10.2020 ambulant vorstellte.</w:t>
      </w:r>
    </w:p>
    <w:p w14:paraId="0F683785" w14:textId="77777777" w:rsidR="000C6206" w:rsidRPr="000C6206" w:rsidRDefault="000C6206" w:rsidP="000C6206">
      <w:r w:rsidRPr="000C6206">
        <w:br/>
      </w:r>
      <w:r w:rsidRPr="000C6206">
        <w:br/>
      </w:r>
      <w:r w:rsidRPr="000C6206">
        <w:rPr>
          <w:b/>
          <w:bCs/>
        </w:rPr>
        <w:t>Diagnosen</w:t>
      </w:r>
      <w:r w:rsidRPr="000C6206">
        <w:t xml:space="preserve"> </w:t>
      </w:r>
    </w:p>
    <w:p w14:paraId="2C26959A" w14:textId="77777777" w:rsidR="000C6206" w:rsidRPr="000C6206" w:rsidRDefault="006E58C1" w:rsidP="000C6206">
      <w:r>
        <w:rPr>
          <w:noProof/>
        </w:rPr>
      </w:r>
      <w:r>
        <w:pict w14:anchorId="6E532A17">
          <v:rect id="Horizontal Line 3" o:spid="_x0000_s1033"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5F45F5D5" w14:textId="77777777" w:rsidR="000C6206" w:rsidRPr="000C6206" w:rsidRDefault="000C6206" w:rsidP="000C6206">
      <w:pPr>
        <w:numPr>
          <w:ilvl w:val="0"/>
          <w:numId w:val="1"/>
        </w:numPr>
      </w:pPr>
      <w:r w:rsidRPr="000C6206">
        <w:t xml:space="preserve">axiale Spondylarthropathie, SpA </w:t>
      </w:r>
    </w:p>
    <w:p w14:paraId="19F4D1C2" w14:textId="77777777" w:rsidR="000C6206" w:rsidRPr="000C6206" w:rsidRDefault="000C6206" w:rsidP="000C6206">
      <w:pPr>
        <w:numPr>
          <w:ilvl w:val="1"/>
          <w:numId w:val="1"/>
        </w:numPr>
      </w:pPr>
      <w:r w:rsidRPr="000C6206">
        <w:t xml:space="preserve">Entzündung Achillessehne </w:t>
      </w:r>
    </w:p>
    <w:p w14:paraId="601FD019" w14:textId="77777777" w:rsidR="000C6206" w:rsidRPr="000C6206" w:rsidRDefault="000C6206" w:rsidP="000C6206">
      <w:pPr>
        <w:numPr>
          <w:ilvl w:val="1"/>
          <w:numId w:val="1"/>
        </w:numPr>
      </w:pPr>
      <w:r w:rsidRPr="000C6206">
        <w:t xml:space="preserve">Nächtlicher Rückenschmerz </w:t>
      </w:r>
    </w:p>
    <w:p w14:paraId="3F7F3A01" w14:textId="77777777" w:rsidR="000C6206" w:rsidRPr="000C6206" w:rsidRDefault="000C6206" w:rsidP="000C6206">
      <w:pPr>
        <w:numPr>
          <w:ilvl w:val="1"/>
          <w:numId w:val="1"/>
        </w:numPr>
      </w:pPr>
      <w:r w:rsidRPr="000C6206">
        <w:t xml:space="preserve">Ansprechen auf Ibuprofen, Arcoxia </w:t>
      </w:r>
    </w:p>
    <w:p w14:paraId="0EE119EC" w14:textId="77777777" w:rsidR="000C6206" w:rsidRPr="000C6206" w:rsidRDefault="000C6206" w:rsidP="000C6206">
      <w:pPr>
        <w:numPr>
          <w:ilvl w:val="1"/>
          <w:numId w:val="1"/>
        </w:numPr>
      </w:pPr>
      <w:r w:rsidRPr="000C6206">
        <w:t xml:space="preserve">HLA B 27 extern negativ, IL-23-R. Polymorphismus negativ </w:t>
      </w:r>
    </w:p>
    <w:p w14:paraId="6CAC393D" w14:textId="77777777" w:rsidR="000C6206" w:rsidRPr="000C6206" w:rsidRDefault="000C6206" w:rsidP="000C6206">
      <w:pPr>
        <w:numPr>
          <w:ilvl w:val="1"/>
          <w:numId w:val="1"/>
        </w:numPr>
      </w:pPr>
      <w:r w:rsidRPr="000C6206">
        <w:t xml:space="preserve">MRT LWS-Sakrum extern: V.a. axiale Spondylarthritis mit zum Teil progredienter Spondylodiszitis besonders LW3/4. Rückbildung des links lateralen Bandscheibenvorfalls LW4/5 ohne derzeit relevante Bedrängung einer Nervenstruktur, ISG keine eindeutigen entzündlichen Veränderungen </w:t>
      </w:r>
    </w:p>
    <w:p w14:paraId="261CD671" w14:textId="77777777" w:rsidR="000C6206" w:rsidRPr="000C6206" w:rsidRDefault="000C6206" w:rsidP="000C6206">
      <w:pPr>
        <w:numPr>
          <w:ilvl w:val="1"/>
          <w:numId w:val="1"/>
        </w:numPr>
      </w:pPr>
      <w:r w:rsidRPr="000C6206">
        <w:t xml:space="preserve">Röntgen Thorax 04/2020: unauffällig </w:t>
      </w:r>
    </w:p>
    <w:p w14:paraId="3B5B7B80" w14:textId="77777777" w:rsidR="000C6206" w:rsidRPr="000C6206" w:rsidRDefault="000C6206" w:rsidP="000C6206">
      <w:pPr>
        <w:numPr>
          <w:ilvl w:val="1"/>
          <w:numId w:val="1"/>
        </w:numPr>
      </w:pPr>
      <w:r w:rsidRPr="000C6206">
        <w:t xml:space="preserve">Quantiferon/Hepatitis B/C Serologie negativ </w:t>
      </w:r>
    </w:p>
    <w:p w14:paraId="3F9DBE28" w14:textId="77777777" w:rsidR="000C6206" w:rsidRPr="000C6206" w:rsidRDefault="000C6206" w:rsidP="000C6206">
      <w:pPr>
        <w:numPr>
          <w:ilvl w:val="1"/>
          <w:numId w:val="1"/>
        </w:numPr>
      </w:pPr>
      <w:r w:rsidRPr="000C6206">
        <w:t xml:space="preserve">MRT Sakrum 06/2020: konstanter Befund, weiterhin entzündliche Veränderungen an LWS 3/4 </w:t>
      </w:r>
    </w:p>
    <w:p w14:paraId="2194EA83" w14:textId="77777777" w:rsidR="000C6206" w:rsidRPr="000C6206" w:rsidRDefault="000C6206" w:rsidP="000C6206">
      <w:pPr>
        <w:numPr>
          <w:ilvl w:val="1"/>
          <w:numId w:val="1"/>
        </w:numPr>
      </w:pPr>
      <w:r w:rsidRPr="000C6206">
        <w:t xml:space="preserve">Z.n. Adalimumab 03/2020-08/2020 (unzureichende Wirkung) </w:t>
      </w:r>
    </w:p>
    <w:p w14:paraId="68F55F3B" w14:textId="77777777" w:rsidR="000C6206" w:rsidRPr="000C6206" w:rsidRDefault="000C6206" w:rsidP="000C6206">
      <w:pPr>
        <w:numPr>
          <w:ilvl w:val="1"/>
          <w:numId w:val="1"/>
        </w:numPr>
      </w:pPr>
      <w:r w:rsidRPr="000C6206">
        <w:t xml:space="preserve">Aktuell: Secukinumab 150 mg (seit 08/20) </w:t>
      </w:r>
    </w:p>
    <w:p w14:paraId="28534AC1" w14:textId="77777777" w:rsidR="000C6206" w:rsidRPr="000C6206" w:rsidRDefault="000C6206" w:rsidP="000C6206">
      <w:pPr>
        <w:numPr>
          <w:ilvl w:val="0"/>
          <w:numId w:val="1"/>
        </w:numPr>
      </w:pPr>
      <w:r w:rsidRPr="000C6206">
        <w:t xml:space="preserve">Z.n. Borreliose vor 11 Jahren </w:t>
      </w:r>
    </w:p>
    <w:p w14:paraId="1E678C4E" w14:textId="77777777" w:rsidR="000C6206" w:rsidRPr="000C6206" w:rsidRDefault="000C6206" w:rsidP="000C6206">
      <w:pPr>
        <w:numPr>
          <w:ilvl w:val="1"/>
          <w:numId w:val="1"/>
        </w:numPr>
      </w:pPr>
      <w:r w:rsidRPr="000C6206">
        <w:t xml:space="preserve">Erythema migrans </w:t>
      </w:r>
    </w:p>
    <w:p w14:paraId="057E5D0A" w14:textId="77777777" w:rsidR="000C6206" w:rsidRPr="000C6206" w:rsidRDefault="000C6206" w:rsidP="000C6206">
      <w:pPr>
        <w:numPr>
          <w:ilvl w:val="1"/>
          <w:numId w:val="1"/>
        </w:numPr>
      </w:pPr>
      <w:r w:rsidRPr="000C6206">
        <w:lastRenderedPageBreak/>
        <w:t xml:space="preserve">Antibiotische Therapie über 2 Wochen </w:t>
      </w:r>
    </w:p>
    <w:p w14:paraId="5BC3EDCC" w14:textId="77777777" w:rsidR="000C6206" w:rsidRPr="000C6206" w:rsidRDefault="000C6206" w:rsidP="000C6206">
      <w:r w:rsidRPr="000C6206">
        <w:br/>
      </w:r>
      <w:r w:rsidRPr="000C6206">
        <w:br/>
      </w:r>
      <w:r w:rsidRPr="000C6206">
        <w:rPr>
          <w:b/>
          <w:bCs/>
        </w:rPr>
        <w:t>Anamnese</w:t>
      </w:r>
      <w:r w:rsidRPr="000C6206">
        <w:t xml:space="preserve"> </w:t>
      </w:r>
    </w:p>
    <w:p w14:paraId="0686888C" w14:textId="77777777" w:rsidR="000C6206" w:rsidRPr="000C6206" w:rsidRDefault="006E58C1" w:rsidP="000C6206">
      <w:r>
        <w:rPr>
          <w:noProof/>
        </w:rPr>
      </w:r>
      <w:r>
        <w:pict w14:anchorId="4DB4AD9E">
          <v:rect id="Horizontal Line 4" o:spid="_x0000_s1032"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723129BD" w14:textId="77777777" w:rsidR="000C6206" w:rsidRPr="000C6206" w:rsidRDefault="000C6206" w:rsidP="000C6206">
      <w:r w:rsidRPr="000C6206">
        <w:t>Die Pat. berichtet über eine persistierende Schmerzsymptomatik im Bereich der WS vor allem im Bereich der LWS, auch nach Umstellung auf Secukinumab.</w:t>
      </w:r>
    </w:p>
    <w:p w14:paraId="631B316B" w14:textId="77777777" w:rsidR="000C6206" w:rsidRPr="000C6206" w:rsidRDefault="000C6206" w:rsidP="000C6206">
      <w:r w:rsidRPr="000C6206">
        <w:br/>
      </w:r>
      <w:r w:rsidRPr="000C6206">
        <w:br/>
      </w:r>
      <w:r w:rsidRPr="000C6206">
        <w:rPr>
          <w:b/>
          <w:bCs/>
        </w:rPr>
        <w:t>Untersuchungsbefund</w:t>
      </w:r>
      <w:r w:rsidRPr="000C6206">
        <w:t xml:space="preserve"> </w:t>
      </w:r>
    </w:p>
    <w:p w14:paraId="2543B628" w14:textId="77777777" w:rsidR="000C6206" w:rsidRPr="000C6206" w:rsidRDefault="006E58C1" w:rsidP="000C6206">
      <w:r>
        <w:rPr>
          <w:noProof/>
        </w:rPr>
      </w:r>
      <w:r>
        <w:pict w14:anchorId="0BEDA0E0">
          <v:rect id="Horizontal Line 5" o:spid="_x0000_s1031"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31AFDFAB" w14:textId="77777777" w:rsidR="000C6206" w:rsidRPr="000C6206" w:rsidRDefault="000C6206" w:rsidP="000C6206">
      <w:r w:rsidRPr="000C6206">
        <w:t>53-jährige Pat., normaler AEZ</w:t>
      </w:r>
    </w:p>
    <w:p w14:paraId="4324735F" w14:textId="77777777" w:rsidR="000C6206" w:rsidRPr="000C6206" w:rsidRDefault="000C6206" w:rsidP="000C6206">
      <w:r w:rsidRPr="000C6206">
        <w:t> </w:t>
      </w:r>
    </w:p>
    <w:p w14:paraId="686ACB97" w14:textId="77777777" w:rsidR="000C6206" w:rsidRPr="000C6206" w:rsidRDefault="000C6206" w:rsidP="000C6206">
      <w:r w:rsidRPr="000C6206">
        <w:rPr>
          <w:b/>
          <w:bCs/>
        </w:rPr>
        <w:t xml:space="preserve">Gelenkstatus: </w:t>
      </w:r>
      <w:r w:rsidRPr="000C6206">
        <w:t>keine periph. synovitische Gelenkschwellung.</w:t>
      </w:r>
    </w:p>
    <w:p w14:paraId="64115604" w14:textId="77777777" w:rsidR="000C6206" w:rsidRPr="000C6206" w:rsidRDefault="000C6206" w:rsidP="000C6206">
      <w:r w:rsidRPr="000C6206">
        <w:br/>
      </w:r>
      <w:r w:rsidRPr="000C6206">
        <w:br/>
      </w:r>
      <w:r w:rsidRPr="000C6206">
        <w:rPr>
          <w:b/>
          <w:bCs/>
        </w:rPr>
        <w:t>Laborwerte</w:t>
      </w:r>
      <w:r w:rsidRPr="000C6206">
        <w:t xml:space="preserve"> </w:t>
      </w:r>
    </w:p>
    <w:p w14:paraId="081DC274" w14:textId="77777777" w:rsidR="000C6206" w:rsidRPr="000C6206" w:rsidRDefault="006E58C1" w:rsidP="000C6206">
      <w:r>
        <w:rPr>
          <w:noProof/>
        </w:rPr>
      </w:r>
      <w:r>
        <w:pict w14:anchorId="3EC73611">
          <v:rect id="Horizontal Line 6" o:spid="_x0000_s1030"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78B99E4D" w14:textId="77777777" w:rsidR="000C6206" w:rsidRPr="000C6206" w:rsidRDefault="000C6206" w:rsidP="000C6206">
      <w:r w:rsidRPr="000C6206">
        <w:rPr>
          <w:b/>
          <w:bCs/>
          <w:u w:val="single"/>
        </w:rPr>
        <w:t>Kleines BB</w:t>
      </w:r>
      <w:r w:rsidRPr="000C6206">
        <w:t>: Hämoglobin 13,6 g/dl (11,8 - 15,5 g/dl), Hämatokrit 39,6 % (35 - 46 %), Erythrozyten 4,40 x 10</w:t>
      </w:r>
      <w:r w:rsidRPr="000C6206">
        <w:rPr>
          <w:vertAlign w:val="superscript"/>
        </w:rPr>
        <w:t>6</w:t>
      </w:r>
      <w:r w:rsidRPr="000C6206">
        <w:t>/µl (3,9 - 5,2 x 10</w:t>
      </w:r>
      <w:r w:rsidRPr="000C6206">
        <w:rPr>
          <w:vertAlign w:val="superscript"/>
        </w:rPr>
        <w:t>6</w:t>
      </w:r>
      <w:r w:rsidRPr="000C6206">
        <w:t>/µl), Leukozyten 6,89 x 10</w:t>
      </w:r>
      <w:r w:rsidRPr="000C6206">
        <w:rPr>
          <w:vertAlign w:val="superscript"/>
        </w:rPr>
        <w:t>3</w:t>
      </w:r>
      <w:r w:rsidRPr="000C6206">
        <w:t>/µl (4 - 11 x 10</w:t>
      </w:r>
      <w:r w:rsidRPr="000C6206">
        <w:rPr>
          <w:vertAlign w:val="superscript"/>
        </w:rPr>
        <w:t>3</w:t>
      </w:r>
      <w:r w:rsidRPr="000C6206">
        <w:t>/µl), Thrombozyten 385 x 10</w:t>
      </w:r>
      <w:r w:rsidRPr="000C6206">
        <w:rPr>
          <w:vertAlign w:val="superscript"/>
        </w:rPr>
        <w:t>3</w:t>
      </w:r>
      <w:r w:rsidRPr="000C6206">
        <w:t>/µl (160 - 400 x 10</w:t>
      </w:r>
      <w:r w:rsidRPr="000C6206">
        <w:rPr>
          <w:vertAlign w:val="superscript"/>
        </w:rPr>
        <w:t>3</w:t>
      </w:r>
      <w:r w:rsidRPr="000C6206">
        <w:t xml:space="preserve">/µl), MCH 30,9 pg (26 - 33 pg), MCHC 34,3 g Hb/dl (32 - 36 g Hb/dl), MCV 90,0 fl (81 - 98 fl), MPV 10,8 fl (7,8 - 11 fl), RDW 12,7 % (11,6 - 16,2 %). </w:t>
      </w:r>
    </w:p>
    <w:p w14:paraId="03FAD8BA" w14:textId="77777777" w:rsidR="000C6206" w:rsidRPr="000C6206" w:rsidRDefault="000C6206" w:rsidP="000C6206">
      <w:r w:rsidRPr="000C6206">
        <w:rPr>
          <w:b/>
          <w:bCs/>
          <w:u w:val="single"/>
        </w:rPr>
        <w:t>Diff. BB</w:t>
      </w:r>
      <w:r w:rsidRPr="000C6206">
        <w:t>: Neutrophile (maschinell) 48,7 %, Eosinophile (maschinell) 3,6 %, Basophile (maschinell) 1,0 %, Lymphozyten (maschinell) 40,2 %, Monozyten (maschinell) 6,5 %, Neutrophile (maschinell) Absolut 3,4 x 10</w:t>
      </w:r>
      <w:r w:rsidRPr="000C6206">
        <w:rPr>
          <w:vertAlign w:val="superscript"/>
        </w:rPr>
        <w:t>3</w:t>
      </w:r>
      <w:r w:rsidRPr="000C6206">
        <w:t>/µl (1,6 - 7,8 x 10</w:t>
      </w:r>
      <w:r w:rsidRPr="000C6206">
        <w:rPr>
          <w:vertAlign w:val="superscript"/>
        </w:rPr>
        <w:t>3</w:t>
      </w:r>
      <w:r w:rsidRPr="000C6206">
        <w:t>/µl), Eosinophile (maschinell) Absolut 0,3 x 10</w:t>
      </w:r>
      <w:r w:rsidRPr="000C6206">
        <w:rPr>
          <w:vertAlign w:val="superscript"/>
        </w:rPr>
        <w:t>3</w:t>
      </w:r>
      <w:r w:rsidRPr="000C6206">
        <w:t>/µl (0 - 0,5 x 10</w:t>
      </w:r>
      <w:r w:rsidRPr="000C6206">
        <w:rPr>
          <w:vertAlign w:val="superscript"/>
        </w:rPr>
        <w:t>3</w:t>
      </w:r>
      <w:r w:rsidRPr="000C6206">
        <w:t>/µl), Basophile (maschinell) Absolut 0,1 x 10</w:t>
      </w:r>
      <w:r w:rsidRPr="000C6206">
        <w:rPr>
          <w:vertAlign w:val="superscript"/>
        </w:rPr>
        <w:t>3</w:t>
      </w:r>
      <w:r w:rsidRPr="000C6206">
        <w:t>/µl (0 - 0,1 x 10</w:t>
      </w:r>
      <w:r w:rsidRPr="000C6206">
        <w:rPr>
          <w:vertAlign w:val="superscript"/>
        </w:rPr>
        <w:t>3</w:t>
      </w:r>
      <w:r w:rsidRPr="000C6206">
        <w:t>/µl), Lymphozyten (maschinell) Absolut 2,8 x 10</w:t>
      </w:r>
      <w:r w:rsidRPr="000C6206">
        <w:rPr>
          <w:vertAlign w:val="superscript"/>
        </w:rPr>
        <w:t>3</w:t>
      </w:r>
      <w:r w:rsidRPr="000C6206">
        <w:t>/µl (1 - 3,5 x 10</w:t>
      </w:r>
      <w:r w:rsidRPr="000C6206">
        <w:rPr>
          <w:vertAlign w:val="superscript"/>
        </w:rPr>
        <w:t>3</w:t>
      </w:r>
      <w:r w:rsidRPr="000C6206">
        <w:t>/µl), Monozyten (maschinell) Absolut 0,5 x 10</w:t>
      </w:r>
      <w:r w:rsidRPr="000C6206">
        <w:rPr>
          <w:vertAlign w:val="superscript"/>
        </w:rPr>
        <w:t>3</w:t>
      </w:r>
      <w:r w:rsidRPr="000C6206">
        <w:t>/µl (0,1 - 0,9 x 10</w:t>
      </w:r>
      <w:r w:rsidRPr="000C6206">
        <w:rPr>
          <w:vertAlign w:val="superscript"/>
        </w:rPr>
        <w:t>3</w:t>
      </w:r>
      <w:r w:rsidRPr="000C6206">
        <w:t xml:space="preserve">/µl), </w:t>
      </w:r>
    </w:p>
    <w:p w14:paraId="495908A6" w14:textId="77777777" w:rsidR="000C6206" w:rsidRPr="000C6206" w:rsidRDefault="000C6206" w:rsidP="000C6206">
      <w:r w:rsidRPr="000C6206">
        <w:rPr>
          <w:b/>
          <w:bCs/>
          <w:u w:val="single"/>
        </w:rPr>
        <w:t>Serumchemie</w:t>
      </w:r>
      <w:r w:rsidRPr="000C6206">
        <w:t xml:space="preserve">: Kreatinin 0,92 mg/dl (0,51 - 0,95 mg/dl), eGFR (Berechnung nach CKD-EPI) 71 ml/min/1,73m², </w:t>
      </w:r>
      <w:r w:rsidRPr="000C6206">
        <w:rPr>
          <w:b/>
          <w:bCs/>
        </w:rPr>
        <w:t>AST / GOT 42 U/l</w:t>
      </w:r>
      <w:r w:rsidRPr="000C6206">
        <w:t xml:space="preserve"> (&lt; 35 U/l), ALT / GPT 29 U/l (&lt; 35 U/l). </w:t>
      </w:r>
    </w:p>
    <w:p w14:paraId="77ADA12B" w14:textId="77777777" w:rsidR="000C6206" w:rsidRPr="000C6206" w:rsidRDefault="000C6206" w:rsidP="000C6206">
      <w:r w:rsidRPr="000C6206">
        <w:rPr>
          <w:b/>
          <w:bCs/>
          <w:u w:val="single"/>
        </w:rPr>
        <w:t>Sonstige Serumchemie</w:t>
      </w:r>
      <w:r w:rsidRPr="000C6206">
        <w:t xml:space="preserve">: eGFR (Berechnung nach CKD-EPI) 71 ml/min/1,73m², </w:t>
      </w:r>
    </w:p>
    <w:p w14:paraId="5B0CD8CB" w14:textId="77777777" w:rsidR="000C6206" w:rsidRPr="000C6206" w:rsidRDefault="000C6206" w:rsidP="000C6206">
      <w:r w:rsidRPr="000C6206">
        <w:rPr>
          <w:b/>
          <w:bCs/>
          <w:u w:val="single"/>
        </w:rPr>
        <w:t>Immunologie</w:t>
      </w:r>
      <w:r w:rsidRPr="000C6206">
        <w:t xml:space="preserve">: ASL 54,6 IE/ml (0 - 200 IE/ml), C-reaktives Protein &lt;5,2 mg/l (-&lt;5,2 mg/l), </w:t>
      </w:r>
    </w:p>
    <w:p w14:paraId="16E5CC6C" w14:textId="77777777" w:rsidR="000C6206" w:rsidRPr="000C6206" w:rsidRDefault="000C6206" w:rsidP="000C6206">
      <w:r w:rsidRPr="000C6206">
        <w:rPr>
          <w:b/>
          <w:bCs/>
          <w:u w:val="single"/>
        </w:rPr>
        <w:lastRenderedPageBreak/>
        <w:t>Borrelien-Serologie</w:t>
      </w:r>
      <w:r w:rsidRPr="000C6206">
        <w:t xml:space="preserve">:  Spezifisches IgM-WB-Bandenmuster bei positivem Screening; IgG-ELISA negativ, Borrelien IgG ELISA i.S. 5,4 U/ml (Negativ &lt; 20 U/ml, Grenz. 20 - 24 U/ml, Positiv &gt; 24 U/ml), Borrelien IgM ELISA i.S. 55,9 U/ml (Negativ &lt; 20 U/ml, Grenz. 20 - 24 U/ml, Positiv &gt; 24 U/ml). </w:t>
      </w:r>
      <w:r w:rsidRPr="000C6206">
        <w:br/>
      </w:r>
      <w:r w:rsidRPr="000C6206">
        <w:rPr>
          <w:u w:val="single"/>
        </w:rPr>
        <w:t>IgM-Line</w:t>
      </w:r>
      <w:r w:rsidRPr="000C6206">
        <w:t xml:space="preserve">: p100 -, VlsE -, p58 -, p41 +++, p39 -, OspA -, OspC B. sensu stricto ++, OspC B. afzelii ++, OspC B. garinii ++, OspC B. spielmanii ++, P18 B.sensu stricto -, P18 B.afzelii -, P18 B.bavariensis -, P18 B.garinii -, P18 B.spielmanii -. </w:t>
      </w:r>
    </w:p>
    <w:p w14:paraId="08E01B90" w14:textId="77777777" w:rsidR="000C6206" w:rsidRPr="000C6206" w:rsidRDefault="000C6206" w:rsidP="000C6206">
      <w:r w:rsidRPr="000C6206">
        <w:br/>
      </w:r>
      <w:r w:rsidRPr="000C6206">
        <w:br/>
      </w:r>
      <w:r w:rsidRPr="000C6206">
        <w:rPr>
          <w:b/>
          <w:bCs/>
        </w:rPr>
        <w:t>Befunde</w:t>
      </w:r>
      <w:r w:rsidRPr="000C6206">
        <w:t xml:space="preserve"> </w:t>
      </w:r>
    </w:p>
    <w:p w14:paraId="188E0C00" w14:textId="77777777" w:rsidR="000C6206" w:rsidRPr="000C6206" w:rsidRDefault="006E58C1" w:rsidP="000C6206">
      <w:r>
        <w:rPr>
          <w:noProof/>
        </w:rPr>
      </w:r>
      <w:r>
        <w:pict w14:anchorId="5753E243">
          <v:rect id="Horizontal Line 7" o:spid="_x0000_s1029"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1C6F27AE" w14:textId="77777777" w:rsidR="000C6206" w:rsidRPr="000C6206" w:rsidRDefault="000C6206" w:rsidP="000C6206">
      <w:r w:rsidRPr="000C6206">
        <w:rPr>
          <w:b/>
          <w:bCs/>
          <w:u w:val="single"/>
        </w:rPr>
        <w:t>FAPI PET/CT mit CT low dose vom 19.10.2020:</w:t>
      </w:r>
      <w:r w:rsidRPr="000C6206">
        <w:t> </w:t>
      </w:r>
    </w:p>
    <w:p w14:paraId="6F520338" w14:textId="77777777" w:rsidR="000C6206" w:rsidRPr="000C6206" w:rsidRDefault="000C6206" w:rsidP="000C6206">
      <w:r w:rsidRPr="000C6206">
        <w:t xml:space="preserve">Befund: Es liegen mehrere Vor MRT Aufnahmen, zuletzt vom 24.06.2020 zum Vergleich vor. Halsweichteile: Symmetrische Darstellung der zervikalen Weichteile. Kein Nachweis suspekt vergrößerter oder Radiopharmakon mehrspeichernder Lymphknoten. Thorax: Keine suspekt vergrößerten oder pathologisch Radiopharmakon mehrspeichernde Lymphknoten periclaviculär, axillär, hilär oder mediastinal. Kein Perikard- oder Pleuraerguss. Im Lungenfenster keine malignomsuspekten Rundherde, kein Infiltrat. Abdomen / Becken: Leber normgroß und homogen nuklidspeichernd ( SUV mean TOF 0,6). In nativer Untersuchungstechnik unauffällige Darstellung der Milz, des Pankreas, der Nebennieren, der Nieren, des Nierenbeckens und der ableitenden Harnwege. Kein Nachweis pathologisch konfigurierter, vergrößerter oder vermehrt Radiopharmakon aufnehmender Lymphknoten mesenterial, paraaortal, retroperitoneal iliacal oder inguinal. Keine freie Luft, keine freie Flüssigkeit. Kolonkoprostase. Skelett: Radionuklidanreicherung in Projektion auf den Ansatz der hamstring Muskulatur (links &gt;rechts; SUV max TOF 4,1 links). Leicht rechtskonvexe LWS-Skoliose. Irregulär konfigurierte Grund- bzw. Deckplatte von LWK 3 bzw. LWK 4 mit fokaler Radionuklidanreicherung (SUV max in der Grundplatte von LWK 3 TOF 3,5) sowie in LWK 4/5 linksbetont (SUV max TOF 5,2). Fokale Radionuklidanreicherung in Projektion auf das linke Facettengelenk LWK 4/5. </w:t>
      </w:r>
    </w:p>
    <w:p w14:paraId="38526059" w14:textId="77777777" w:rsidR="000C6206" w:rsidRPr="000C6206" w:rsidRDefault="000C6206" w:rsidP="000C6206">
      <w:r w:rsidRPr="000C6206">
        <w:t xml:space="preserve">Beurteilung: Irregulär konfigurierte Grund- bzw. Deckplatten von LWK 3/LWK 4 und LWK 4/LWK 5 mit jeweils erhöhter FAP-Expression, in Zusammenschau mit der MRT-Voruntersuchung hinweisend auf erhöhte Fibroblastenaktivität z.B. bei Entzündung ebenda. Zudem FAPI Anreicherung im Facettengelenk LWK 4/LWK 5 links. Nuklid Mehrbelegung auch in Projektion auf den Ansatz der hamstring Muskulatur beidseits, am ehesten im Sinne einer Insertionstendinopathie. </w:t>
      </w:r>
    </w:p>
    <w:p w14:paraId="4B470A7A" w14:textId="77777777" w:rsidR="000C6206" w:rsidRPr="000C6206" w:rsidRDefault="000C6206" w:rsidP="000C6206">
      <w:r w:rsidRPr="000C6206">
        <w:br/>
      </w:r>
      <w:r w:rsidRPr="000C6206">
        <w:br/>
      </w:r>
      <w:r w:rsidRPr="000C6206">
        <w:rPr>
          <w:b/>
          <w:bCs/>
        </w:rPr>
        <w:t>Weitere Befunde</w:t>
      </w:r>
      <w:r w:rsidRPr="000C6206">
        <w:t xml:space="preserve"> </w:t>
      </w:r>
    </w:p>
    <w:p w14:paraId="7F69C37B" w14:textId="77777777" w:rsidR="000C6206" w:rsidRPr="000C6206" w:rsidRDefault="006E58C1" w:rsidP="000C6206">
      <w:r>
        <w:rPr>
          <w:noProof/>
        </w:rPr>
      </w:r>
      <w:r>
        <w:pict w14:anchorId="5ACE4275">
          <v:rect id="Horizontal Line 8" o:spid="_x0000_s1028"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177D4BBC" w14:textId="77777777" w:rsidR="000C6206" w:rsidRPr="000C6206" w:rsidRDefault="000C6206" w:rsidP="000C6206">
      <w:r w:rsidRPr="000C6206">
        <w:rPr>
          <w:b/>
          <w:bCs/>
        </w:rPr>
        <w:t xml:space="preserve">BKS 12/21 </w:t>
      </w:r>
      <w:r w:rsidRPr="000C6206">
        <w:t>mm/h</w:t>
      </w:r>
      <w:r w:rsidRPr="000C6206">
        <w:br/>
      </w:r>
      <w:r w:rsidRPr="000C6206">
        <w:br/>
      </w:r>
      <w:r w:rsidRPr="000C6206">
        <w:rPr>
          <w:b/>
          <w:bCs/>
        </w:rPr>
        <w:t>Verlauf und Beurteilung</w:t>
      </w:r>
      <w:r w:rsidRPr="000C6206">
        <w:t xml:space="preserve"> </w:t>
      </w:r>
    </w:p>
    <w:p w14:paraId="3CCF1D20" w14:textId="77777777" w:rsidR="000C6206" w:rsidRPr="000C6206" w:rsidRDefault="006E58C1" w:rsidP="000C6206">
      <w:r>
        <w:rPr>
          <w:noProof/>
        </w:rPr>
      </w:r>
      <w:r>
        <w:pict w14:anchorId="5BAB7D54">
          <v:rect id="Horizontal Line 9" o:spid="_x0000_s1027"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709D2672" w14:textId="77777777" w:rsidR="000C6206" w:rsidRPr="000C6206" w:rsidRDefault="000C6206" w:rsidP="000C6206">
      <w:r w:rsidRPr="000C6206">
        <w:t xml:space="preserve">Die Patientin stellte sich zur Verlaufskontrolle bei SpA ambulant vor. </w:t>
      </w:r>
    </w:p>
    <w:p w14:paraId="57D8CABD" w14:textId="77777777" w:rsidR="000C6206" w:rsidRPr="000C6206" w:rsidRDefault="000C6206" w:rsidP="000C6206">
      <w:r w:rsidRPr="000C6206">
        <w:t>Klinisch zeigt sich auch unter Secukinumab 150mg/Monat eine persistierende Erkrankungsaktivität. Wir besprachen daher mit der Pat. die verschiedenen diagnostischen u. therapeutischen Möglichkeiten. Die Pat. entschied sich für ein FAPI-PET-CT, das heute direkt durchgeführt werden konnte. Hierbei zeigte sich  irregulär konfigurierte Grund- bzw. Deckplatten von LWK 3/LWK 4 und LWK 4/LWK 5 mit jeweils erhöhter FAP-Expression, in Zusammenschau mit der MRT-Voruntersuchung hinweisend auf erhöhte Fibroblastenaktivität z.B. bei Entzündung ebenda. Zudem FAPI Anreicherung im Facettengelenk LWK 4/LWK 5 links. Nuklid Mehrbelegung auch in Projektion auf den Ansatz der hamstring Muskulatur beidseits, am ehesten im Sinne einer Insertionstendinopathie. Insgesamt ist daher auch bildmorphologisch von einer persistierenden entzündlich-knöchernen Aktivität auszugehen. Der erosive Verlauf im Bereich L3/4 ist allerdings nicht typisch für eine Spondylarthropathie. Hier würden eher osteoproliferative Prozesse erwartet werden. Daher erfolgte differentialdiagnostisch die erneute Bestimmung der Borrelienserologie und des ASL-Titers. ASL-Titer zeigte sich unauffällig. Die Borrelienserologie zeigte einen positiver IgM-ELISA bei passendem IgM-Bandenmuster und unauffälligem IgG-ELISA. Nachdem die Borrelieninfektion lange zurückliegt, kann argumentiert werden, dass die Serokonversion nach der damaligen Antibiotika-Therapie ausgeblieben ist und die Borrelieninfektion weiterhin aktiv ist. In diesem Falle wäre eine erneute Antibiotika-Therapie mit Doxycyclin 100mg 1-0-1 (Vermeidung gleichzeitiger Einnahme von Milchprodukten und UV-Exposition) für 3 Wochen probatorisch sinnvoll. Danach sollte eine erneute Borrelienserologie hinsichtlich Serokonversion erfolgen. In Abhängigkeit der laborchemischen Diagnostik und der klinischen Symptomatik sollte dann das weitere therapeutische Vorgehen eruiert werden. Sollte sich hierbei kein Hinweis auf eine persistierende Borrelieninfektion ergeben, muss davon ausgegangen werden, dass die serologischen Parameter unspezifisch sind. In diesem Fall sollte die Dosis des Secukinumab auf 300mg/Monat unter Kontrolle nach Maßgabe der DGRh erhöht werden. Sollte sich hierbei auch keine Befundbesserung einstellen, empfehlen wir eine Therapieumstellung auf JAK-Inhibition im Rahmen einer klinischen Studie im Haus. Dies wurde mit der Patienten bereits besprochen. Eine Wiedervorstellung ist in 3 Monaten geplant, bei Bedarf auch früher nach tel. RS.</w:t>
      </w:r>
    </w:p>
    <w:p w14:paraId="32E6A115" w14:textId="77777777" w:rsidR="000C6206" w:rsidRPr="000C6206" w:rsidRDefault="000C6206" w:rsidP="000C6206">
      <w:r w:rsidRPr="000C6206">
        <w:lastRenderedPageBreak/>
        <w:br/>
      </w:r>
      <w:r w:rsidRPr="000C6206">
        <w:br/>
      </w:r>
      <w:r w:rsidRPr="000C6206">
        <w:rPr>
          <w:b/>
          <w:bCs/>
        </w:rPr>
        <w:t>Schluss</w:t>
      </w:r>
      <w:r w:rsidRPr="000C6206">
        <w:t xml:space="preserve"> </w:t>
      </w:r>
    </w:p>
    <w:p w14:paraId="54BE7619" w14:textId="77777777" w:rsidR="000C6206" w:rsidRPr="000C6206" w:rsidRDefault="006E58C1" w:rsidP="000C6206">
      <w:r>
        <w:rPr>
          <w:noProof/>
        </w:rPr>
      </w:r>
      <w:r>
        <w:pict w14:anchorId="5DC2863B">
          <v:rect id="Horizontal Line 10" o:spid="_x0000_s1026"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29C58443" w14:textId="77777777" w:rsidR="000C6206" w:rsidRPr="000C6206" w:rsidRDefault="000C6206" w:rsidP="000C6206">
      <w:r w:rsidRPr="000C6206">
        <w:t>Mit freundlichen kollegialen Grüßen</w:t>
      </w:r>
    </w:p>
    <w:p w14:paraId="1D85E934" w14:textId="77777777" w:rsidR="000C6206" w:rsidRDefault="000C6206"/>
    <w:sectPr w:rsidR="000C6206">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6A0103AD"/>
    <w:multiLevelType w:val="multilevel"/>
    <w:tmpl w:val="43D222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6443488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7"/>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6206"/>
    <w:rsid w:val="000C6206"/>
    <w:rsid w:val="001C132F"/>
    <w:rsid w:val="006E58C1"/>
    <w:rsid w:val="0092470E"/>
    <w:rsid w:val="00B761FA"/>
    <w:rsid w:val="00D93C9C"/>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36"/>
    <o:shapelayout v:ext="edit">
      <o:idmap v:ext="edit" data="1"/>
    </o:shapelayout>
  </w:shapeDefaults>
  <w:decimalSymbol w:val=","/>
  <w:listSeparator w:val=";"/>
  <w14:docId w14:val="2C6CF9FB"/>
  <w15:chartTrackingRefBased/>
  <w15:docId w15:val="{145608B5-EDF5-4CFE-9EE1-09D2170D48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0C62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0C62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0C6206"/>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0C6206"/>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0C6206"/>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0C6206"/>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0C6206"/>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0C6206"/>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0C6206"/>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0C6206"/>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0C6206"/>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0C6206"/>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0C6206"/>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0C6206"/>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0C6206"/>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0C6206"/>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0C6206"/>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0C6206"/>
    <w:rPr>
      <w:rFonts w:eastAsiaTheme="majorEastAsia" w:cstheme="majorBidi"/>
      <w:color w:val="272727" w:themeColor="text1" w:themeTint="D8"/>
    </w:rPr>
  </w:style>
  <w:style w:type="paragraph" w:styleId="Titel">
    <w:name w:val="Title"/>
    <w:basedOn w:val="Standard"/>
    <w:next w:val="Standard"/>
    <w:link w:val="TitelZchn"/>
    <w:uiPriority w:val="10"/>
    <w:qFormat/>
    <w:rsid w:val="000C62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0C6206"/>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0C6206"/>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0C6206"/>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0C6206"/>
    <w:pPr>
      <w:spacing w:before="160"/>
      <w:jc w:val="center"/>
    </w:pPr>
    <w:rPr>
      <w:i/>
      <w:iCs/>
      <w:color w:val="404040" w:themeColor="text1" w:themeTint="BF"/>
    </w:rPr>
  </w:style>
  <w:style w:type="character" w:customStyle="1" w:styleId="ZitatZchn">
    <w:name w:val="Zitat Zchn"/>
    <w:basedOn w:val="Absatz-Standardschriftart"/>
    <w:link w:val="Zitat"/>
    <w:uiPriority w:val="29"/>
    <w:rsid w:val="000C6206"/>
    <w:rPr>
      <w:i/>
      <w:iCs/>
      <w:color w:val="404040" w:themeColor="text1" w:themeTint="BF"/>
    </w:rPr>
  </w:style>
  <w:style w:type="paragraph" w:styleId="Listenabsatz">
    <w:name w:val="List Paragraph"/>
    <w:basedOn w:val="Standard"/>
    <w:uiPriority w:val="34"/>
    <w:qFormat/>
    <w:rsid w:val="000C6206"/>
    <w:pPr>
      <w:ind w:left="720"/>
      <w:contextualSpacing/>
    </w:pPr>
  </w:style>
  <w:style w:type="character" w:styleId="IntensiveHervorhebung">
    <w:name w:val="Intense Emphasis"/>
    <w:basedOn w:val="Absatz-Standardschriftart"/>
    <w:uiPriority w:val="21"/>
    <w:qFormat/>
    <w:rsid w:val="000C6206"/>
    <w:rPr>
      <w:i/>
      <w:iCs/>
      <w:color w:val="0F4761" w:themeColor="accent1" w:themeShade="BF"/>
    </w:rPr>
  </w:style>
  <w:style w:type="paragraph" w:styleId="IntensivesZitat">
    <w:name w:val="Intense Quote"/>
    <w:basedOn w:val="Standard"/>
    <w:next w:val="Standard"/>
    <w:link w:val="IntensivesZitatZchn"/>
    <w:uiPriority w:val="30"/>
    <w:qFormat/>
    <w:rsid w:val="000C62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0C6206"/>
    <w:rPr>
      <w:i/>
      <w:iCs/>
      <w:color w:val="0F4761" w:themeColor="accent1" w:themeShade="BF"/>
    </w:rPr>
  </w:style>
  <w:style w:type="character" w:styleId="IntensiverVerweis">
    <w:name w:val="Intense Reference"/>
    <w:basedOn w:val="Absatz-Standardschriftart"/>
    <w:uiPriority w:val="32"/>
    <w:qFormat/>
    <w:rsid w:val="000C620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795416332">
      <w:bodyDiv w:val="1"/>
      <w:marLeft w:val="0"/>
      <w:marRight w:val="0"/>
      <w:marTop w:val="0"/>
      <w:marBottom w:val="0"/>
      <w:divBdr>
        <w:top w:val="none" w:sz="0" w:space="0" w:color="auto"/>
        <w:left w:val="none" w:sz="0" w:space="0" w:color="auto"/>
        <w:bottom w:val="none" w:sz="0" w:space="0" w:color="auto"/>
        <w:right w:val="none" w:sz="0" w:space="0" w:color="auto"/>
      </w:divBdr>
      <w:divsChild>
        <w:div w:id="1279025160">
          <w:marLeft w:val="0"/>
          <w:marRight w:val="0"/>
          <w:marTop w:val="0"/>
          <w:marBottom w:val="0"/>
          <w:divBdr>
            <w:top w:val="none" w:sz="0" w:space="0" w:color="auto"/>
            <w:left w:val="none" w:sz="0" w:space="0" w:color="auto"/>
            <w:bottom w:val="none" w:sz="0" w:space="0" w:color="auto"/>
            <w:right w:val="none" w:sz="0" w:space="0" w:color="auto"/>
          </w:divBdr>
        </w:div>
      </w:divsChild>
    </w:div>
    <w:div w:id="1157112636">
      <w:bodyDiv w:val="1"/>
      <w:marLeft w:val="0"/>
      <w:marRight w:val="0"/>
      <w:marTop w:val="0"/>
      <w:marBottom w:val="0"/>
      <w:divBdr>
        <w:top w:val="none" w:sz="0" w:space="0" w:color="auto"/>
        <w:left w:val="none" w:sz="0" w:space="0" w:color="auto"/>
        <w:bottom w:val="none" w:sz="0" w:space="0" w:color="auto"/>
        <w:right w:val="none" w:sz="0" w:space="0" w:color="auto"/>
      </w:divBdr>
      <w:divsChild>
        <w:div w:id="85754462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1080</Words>
  <Characters>6805</Characters>
  <Application>Microsoft Office Word</Application>
  <DocSecurity>0</DocSecurity>
  <Lines>56</Lines>
  <Paragraphs>15</Paragraphs>
  <ScaleCrop>false</ScaleCrop>
  <Company/>
  <LinksUpToDate>false</LinksUpToDate>
  <CharactersWithSpaces>7870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Atzinger, Armin</dc:creator>
  <cp:keywords/>
  <dc:description/>
  <cp:lastModifiedBy>Gutsche, Robin</cp:lastModifiedBy>
  <cp:revision>2</cp:revision>
  <dcterms:created xsi:type="dcterms:W3CDTF">2026-09-24T16:05:00Z</dcterms:created>
  <dcterms:modified xsi:type="dcterms:W3CDTF">2026-09-25T22:10:00Z</dcterms:modified>
</cp:coreProperties>
</file>