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B7721" w14:textId="77777777" w:rsidR="006B43CE" w:rsidRPr="006B43CE" w:rsidRDefault="006B43CE" w:rsidP="006B43CE">
      <w:r w:rsidRPr="006B43CE">
        <w:rPr>
          <w:b/>
          <w:bCs/>
        </w:rPr>
        <w:t>Kürzel</w:t>
      </w:r>
      <w:r w:rsidRPr="006B43CE">
        <w:t xml:space="preserve"> </w:t>
      </w:r>
    </w:p>
    <w:p w14:paraId="7785EFF9" w14:textId="77777777" w:rsidR="006B43CE" w:rsidRPr="006B43CE" w:rsidRDefault="00E704AE" w:rsidP="006B43CE">
      <w:r>
        <w:rPr>
          <w:noProof/>
        </w:rPr>
      </w:r>
      <w:r>
        <w:pict w14:anchorId="5D115A5B">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8540C21" w14:textId="77777777" w:rsidR="006B43CE" w:rsidRPr="006B43CE" w:rsidRDefault="006B43CE" w:rsidP="006B43CE">
      <w:r w:rsidRPr="006B43CE">
        <w:t>ram/rei</w:t>
      </w:r>
      <w:r w:rsidRPr="006B43CE">
        <w:br/>
      </w:r>
      <w:r w:rsidRPr="006B43CE">
        <w:br/>
      </w:r>
      <w:r w:rsidRPr="006B43CE">
        <w:rPr>
          <w:b/>
          <w:bCs/>
        </w:rPr>
        <w:t>Anrede</w:t>
      </w:r>
      <w:r w:rsidRPr="006B43CE">
        <w:t xml:space="preserve"> </w:t>
      </w:r>
    </w:p>
    <w:p w14:paraId="7B6244BF" w14:textId="77777777" w:rsidR="006B43CE" w:rsidRPr="006B43CE" w:rsidRDefault="00E704AE" w:rsidP="006B43CE">
      <w:r>
        <w:rPr>
          <w:noProof/>
        </w:rPr>
      </w:r>
      <w:r>
        <w:pict w14:anchorId="3ACBB7B2">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3F44FC6" w14:textId="77777777" w:rsidR="006B43CE" w:rsidRPr="006B43CE" w:rsidRDefault="006B43CE" w:rsidP="006B43CE">
      <w:r w:rsidRPr="006B43CE">
        <w:t xml:space="preserve">Sehr geehrte Frau Kollegin, sehr geehrter Herr Kollege, </w:t>
      </w:r>
    </w:p>
    <w:p w14:paraId="4EA5001F" w14:textId="77777777" w:rsidR="006B43CE" w:rsidRPr="006B43CE" w:rsidRDefault="006B43CE" w:rsidP="006B43CE">
      <w:r w:rsidRPr="006B43CE">
        <w:t> </w:t>
      </w:r>
    </w:p>
    <w:p w14:paraId="2B029103" w14:textId="347D5DE6" w:rsidR="006B43CE" w:rsidRPr="006B43CE" w:rsidRDefault="006B43CE" w:rsidP="006B43CE">
      <w:r w:rsidRPr="006B43CE">
        <w:t xml:space="preserve">wir berichten über unsere gemeinsame Patientin, </w:t>
      </w:r>
      <w:r w:rsidR="002A0591">
        <w:t>3,</w:t>
      </w:r>
      <w:r w:rsidRPr="006B43CE">
        <w:t xml:space="preserve"> die sich am 18.01.2021 ambulant vorstellte.</w:t>
      </w:r>
    </w:p>
    <w:p w14:paraId="1C81DB36" w14:textId="77777777" w:rsidR="006B43CE" w:rsidRPr="006B43CE" w:rsidRDefault="006B43CE" w:rsidP="006B43CE">
      <w:r w:rsidRPr="006B43CE">
        <w:br/>
      </w:r>
      <w:r w:rsidRPr="006B43CE">
        <w:br/>
      </w:r>
      <w:r w:rsidRPr="006B43CE">
        <w:rPr>
          <w:b/>
          <w:bCs/>
        </w:rPr>
        <w:t>Diagnosen</w:t>
      </w:r>
      <w:r w:rsidRPr="006B43CE">
        <w:t xml:space="preserve"> </w:t>
      </w:r>
    </w:p>
    <w:p w14:paraId="3CC36628" w14:textId="77777777" w:rsidR="006B43CE" w:rsidRPr="006B43CE" w:rsidRDefault="00E704AE" w:rsidP="006B43CE">
      <w:r>
        <w:rPr>
          <w:noProof/>
        </w:rPr>
      </w:r>
      <w:r>
        <w:pict w14:anchorId="3DFF11A3">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F32E792" w14:textId="77777777" w:rsidR="006B43CE" w:rsidRPr="006B43CE" w:rsidRDefault="006B43CE" w:rsidP="006B43CE">
      <w:pPr>
        <w:numPr>
          <w:ilvl w:val="0"/>
          <w:numId w:val="1"/>
        </w:numPr>
      </w:pPr>
      <w:r w:rsidRPr="006B43CE">
        <w:t xml:space="preserve">Axiale Spondylarthropathie, SpA, </w:t>
      </w:r>
      <w:r w:rsidRPr="006B43CE">
        <w:rPr>
          <w:b/>
          <w:bCs/>
        </w:rPr>
        <w:t>DD erosive Osteochondrosis intervertebralis</w:t>
      </w:r>
      <w:r w:rsidRPr="006B43CE">
        <w:t xml:space="preserve"> </w:t>
      </w:r>
    </w:p>
    <w:p w14:paraId="4EEA9A1D" w14:textId="77777777" w:rsidR="006B43CE" w:rsidRPr="006B43CE" w:rsidRDefault="006B43CE" w:rsidP="006B43CE">
      <w:pPr>
        <w:numPr>
          <w:ilvl w:val="1"/>
          <w:numId w:val="1"/>
        </w:numPr>
      </w:pPr>
      <w:r w:rsidRPr="006B43CE">
        <w:t xml:space="preserve">ankylosierende WS-Veränderungen im Bereich der LWS </w:t>
      </w:r>
    </w:p>
    <w:p w14:paraId="19272EB8" w14:textId="77777777" w:rsidR="006B43CE" w:rsidRPr="006B43CE" w:rsidRDefault="006B43CE" w:rsidP="006B43CE">
      <w:pPr>
        <w:numPr>
          <w:ilvl w:val="1"/>
          <w:numId w:val="1"/>
        </w:numPr>
      </w:pPr>
      <w:r w:rsidRPr="006B43CE">
        <w:t xml:space="preserve">Z.n. Entzündung Achillessehne </w:t>
      </w:r>
    </w:p>
    <w:p w14:paraId="0F37F6B4" w14:textId="77777777" w:rsidR="006B43CE" w:rsidRPr="006B43CE" w:rsidRDefault="006B43CE" w:rsidP="006B43CE">
      <w:pPr>
        <w:numPr>
          <w:ilvl w:val="1"/>
          <w:numId w:val="1"/>
        </w:numPr>
      </w:pPr>
      <w:r w:rsidRPr="006B43CE">
        <w:t xml:space="preserve">Nächtlicher Rückenschmerz </w:t>
      </w:r>
    </w:p>
    <w:p w14:paraId="71001128" w14:textId="77777777" w:rsidR="006B43CE" w:rsidRPr="006B43CE" w:rsidRDefault="006B43CE" w:rsidP="006B43CE">
      <w:pPr>
        <w:numPr>
          <w:ilvl w:val="1"/>
          <w:numId w:val="1"/>
        </w:numPr>
      </w:pPr>
      <w:r w:rsidRPr="006B43CE">
        <w:t xml:space="preserve">Ansprechen auf Ibuprofen, Arcoxia </w:t>
      </w:r>
    </w:p>
    <w:p w14:paraId="2A9F2D75" w14:textId="77777777" w:rsidR="006B43CE" w:rsidRPr="006B43CE" w:rsidRDefault="006B43CE" w:rsidP="006B43CE">
      <w:pPr>
        <w:numPr>
          <w:ilvl w:val="1"/>
          <w:numId w:val="1"/>
        </w:numPr>
      </w:pPr>
      <w:r w:rsidRPr="006B43CE">
        <w:t xml:space="preserve">HLA B 27 extern negativ, IL-23-R. Polymorphismus negativ </w:t>
      </w:r>
    </w:p>
    <w:p w14:paraId="379FBA25" w14:textId="77777777" w:rsidR="006B43CE" w:rsidRPr="006B43CE" w:rsidRDefault="006B43CE" w:rsidP="006B43CE">
      <w:pPr>
        <w:numPr>
          <w:ilvl w:val="1"/>
          <w:numId w:val="1"/>
        </w:numPr>
      </w:pPr>
      <w:r w:rsidRPr="006B43CE">
        <w:t xml:space="preserve">MRT LWS-Sakrum extern: V.a. axiale Spondylarthritis mit progredienter </w:t>
      </w:r>
      <w:r w:rsidRPr="006B43CE">
        <w:rPr>
          <w:b/>
          <w:bCs/>
        </w:rPr>
        <w:t>abakterielle Spondylodiszitis (Andersson-Läsion)</w:t>
      </w:r>
      <w:r w:rsidRPr="006B43CE">
        <w:t xml:space="preserve"> besonders LW3/4. Rückbildung des links lateralen Bandscheibenvorfalls LW4/5 ohne derzeit relevante Bedrängung einer Nervenstruktur, ISG keine eindeutigen entzündlichen Veränderungen </w:t>
      </w:r>
    </w:p>
    <w:p w14:paraId="05B4F2B7" w14:textId="77777777" w:rsidR="006B43CE" w:rsidRPr="006B43CE" w:rsidRDefault="006B43CE" w:rsidP="006B43CE">
      <w:pPr>
        <w:numPr>
          <w:ilvl w:val="1"/>
          <w:numId w:val="1"/>
        </w:numPr>
      </w:pPr>
      <w:r w:rsidRPr="006B43CE">
        <w:t xml:space="preserve">Röntgen Thorax 04/2020: unauffällig </w:t>
      </w:r>
    </w:p>
    <w:p w14:paraId="09CFFEB8" w14:textId="77777777" w:rsidR="006B43CE" w:rsidRPr="006B43CE" w:rsidRDefault="006B43CE" w:rsidP="006B43CE">
      <w:pPr>
        <w:numPr>
          <w:ilvl w:val="1"/>
          <w:numId w:val="1"/>
        </w:numPr>
      </w:pPr>
      <w:r w:rsidRPr="006B43CE">
        <w:t xml:space="preserve">Quantiferon/Hepatitis B/C Serologie negativ </w:t>
      </w:r>
    </w:p>
    <w:p w14:paraId="0B6BA114" w14:textId="77777777" w:rsidR="006B43CE" w:rsidRPr="006B43CE" w:rsidRDefault="006B43CE" w:rsidP="006B43CE">
      <w:pPr>
        <w:numPr>
          <w:ilvl w:val="1"/>
          <w:numId w:val="1"/>
        </w:numPr>
      </w:pPr>
      <w:r w:rsidRPr="006B43CE">
        <w:t xml:space="preserve">MRT LWS/Sakrum 06/2020: konstanter Befund, weiterhin entzündliche Veränderungen an LWS 3/4 </w:t>
      </w:r>
    </w:p>
    <w:p w14:paraId="3B0F33A3" w14:textId="77777777" w:rsidR="006B43CE" w:rsidRPr="006B43CE" w:rsidRDefault="006B43CE" w:rsidP="006B43CE">
      <w:pPr>
        <w:numPr>
          <w:ilvl w:val="1"/>
          <w:numId w:val="1"/>
        </w:numPr>
      </w:pPr>
      <w:r w:rsidRPr="006B43CE">
        <w:t xml:space="preserve">FAPI PET/CT 02/21: Im Vergleich zur Voruntersuchung rückläufige Nuklidspeicherung LWK3/4 bei bekannt irregulär konfigurierten Grund- bzw. Deckplatten sowie konstant erhöhte FAP-Expression in LWK 4/LWK 5. Zudem von der Speicherintensität her gering rückläufige </w:t>
      </w:r>
      <w:r w:rsidRPr="006B43CE">
        <w:lastRenderedPageBreak/>
        <w:t xml:space="preserve">Nuklidspeicherung im Facettengelenk LWK 4/LWK 5 links. Unveränderte Nuklidmehrbelegung in Projektion auf den Ansatz der hamstring Muskulatur beidseits, am ehesten im Sinne einer Insertionstendinopathie. </w:t>
      </w:r>
    </w:p>
    <w:p w14:paraId="513CD6F8" w14:textId="77777777" w:rsidR="006B43CE" w:rsidRPr="006B43CE" w:rsidRDefault="006B43CE" w:rsidP="006B43CE">
      <w:pPr>
        <w:numPr>
          <w:ilvl w:val="1"/>
          <w:numId w:val="1"/>
        </w:numPr>
      </w:pPr>
      <w:r w:rsidRPr="006B43CE">
        <w:t xml:space="preserve">MRT LWS/ISG 03/21: Befund in erster Linie passend zu mehrsegmentalen lumbalen Anderson-Läsionen, Aktivierungszeichen führend in Höhe LWK 4/5. </w:t>
      </w:r>
      <w:r w:rsidRPr="006B43CE">
        <w:rPr>
          <w:b/>
          <w:bCs/>
        </w:rPr>
        <w:t>Keine typischen Zeichen eine Spondylodiszitis (infektiös)</w:t>
      </w:r>
      <w:r w:rsidRPr="006B43CE">
        <w:t xml:space="preserve">. Reizzustand der Ligamenta interspinalia LWK 4/5 und der Facettengelenke LWK 4/5 und LWK 5/SWK 1 beidseits. Vorbestehende intraossäre Zysten am rechten Iliosakralgelenk im ventrokranialen Os sacrum, bei fehlender FAPI-Anreicherung in der Vor-PET in erster Linie degenerativ.  </w:t>
      </w:r>
    </w:p>
    <w:p w14:paraId="260FD15F" w14:textId="77777777" w:rsidR="006B43CE" w:rsidRPr="006B43CE" w:rsidRDefault="006B43CE" w:rsidP="006B43CE">
      <w:pPr>
        <w:numPr>
          <w:ilvl w:val="1"/>
          <w:numId w:val="1"/>
        </w:numPr>
      </w:pPr>
      <w:r w:rsidRPr="006B43CE">
        <w:t xml:space="preserve">bisherige Therapie: Adalimumab 03/2020-08/2020 (unzureichende Wirkung), Secukinumab 150 mg (seit 08/20), Dosiserhöhung auf 300mg alle 4 Wo. (11/20-03/21 mit teilweise Ansprechen) </w:t>
      </w:r>
    </w:p>
    <w:p w14:paraId="47DFE4DB" w14:textId="77777777" w:rsidR="006B43CE" w:rsidRPr="006B43CE" w:rsidRDefault="006B43CE" w:rsidP="006B43CE">
      <w:pPr>
        <w:numPr>
          <w:ilvl w:val="1"/>
          <w:numId w:val="1"/>
        </w:numPr>
      </w:pPr>
      <w:r w:rsidRPr="006B43CE">
        <w:t xml:space="preserve">aktuelle Therapie: Umstellung auf Upadacitinib 15mg 0-0-1 bei klinisch und radiographisch persistierender Aktivität 03/21 </w:t>
      </w:r>
    </w:p>
    <w:p w14:paraId="735B7A00" w14:textId="77777777" w:rsidR="006B43CE" w:rsidRPr="006B43CE" w:rsidRDefault="006B43CE" w:rsidP="006B43CE">
      <w:pPr>
        <w:numPr>
          <w:ilvl w:val="0"/>
          <w:numId w:val="1"/>
        </w:numPr>
      </w:pPr>
      <w:r w:rsidRPr="006B43CE">
        <w:t xml:space="preserve">Z.n. Borreliose vor 11 Jahren </w:t>
      </w:r>
    </w:p>
    <w:p w14:paraId="1764470A" w14:textId="77777777" w:rsidR="006B43CE" w:rsidRPr="006B43CE" w:rsidRDefault="006B43CE" w:rsidP="006B43CE">
      <w:pPr>
        <w:numPr>
          <w:ilvl w:val="1"/>
          <w:numId w:val="1"/>
        </w:numPr>
      </w:pPr>
      <w:r w:rsidRPr="006B43CE">
        <w:t xml:space="preserve">Erythema migrans </w:t>
      </w:r>
    </w:p>
    <w:p w14:paraId="7D0619FA" w14:textId="77777777" w:rsidR="006B43CE" w:rsidRPr="006B43CE" w:rsidRDefault="006B43CE" w:rsidP="006B43CE">
      <w:pPr>
        <w:numPr>
          <w:ilvl w:val="1"/>
          <w:numId w:val="1"/>
        </w:numPr>
      </w:pPr>
      <w:r w:rsidRPr="006B43CE">
        <w:t xml:space="preserve">Antibiotische Therapie über 2 Wochen </w:t>
      </w:r>
    </w:p>
    <w:p w14:paraId="6E1F99BB" w14:textId="77777777" w:rsidR="006B43CE" w:rsidRPr="006B43CE" w:rsidRDefault="006B43CE" w:rsidP="006B43CE">
      <w:r w:rsidRPr="006B43CE">
        <w:br/>
      </w:r>
      <w:r w:rsidRPr="006B43CE">
        <w:br/>
      </w:r>
      <w:r w:rsidRPr="006B43CE">
        <w:rPr>
          <w:b/>
          <w:bCs/>
        </w:rPr>
        <w:t>Anamnese</w:t>
      </w:r>
      <w:r w:rsidRPr="006B43CE">
        <w:t xml:space="preserve"> </w:t>
      </w:r>
    </w:p>
    <w:p w14:paraId="4D599C56" w14:textId="77777777" w:rsidR="006B43CE" w:rsidRPr="006B43CE" w:rsidRDefault="00E704AE" w:rsidP="006B43CE">
      <w:r>
        <w:rPr>
          <w:noProof/>
        </w:rPr>
      </w:r>
      <w:r>
        <w:pict w14:anchorId="0B237C94">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1CF5D66" w14:textId="77777777" w:rsidR="006B43CE" w:rsidRPr="006B43CE" w:rsidRDefault="006B43CE" w:rsidP="006B43CE">
      <w:r w:rsidRPr="006B43CE">
        <w:t>Die Pat. berichtet weiterhin über eine persistierende Schmerzsymptomatik im Bereich der WS vor allem im Bereich der LWS, auch nach Dosiserhöhung von Secukinumab auf 300mg alle 4 Wo. seit 11/20.</w:t>
      </w:r>
    </w:p>
    <w:p w14:paraId="0B3EB07B" w14:textId="77777777" w:rsidR="006B43CE" w:rsidRPr="006B43CE" w:rsidRDefault="006B43CE" w:rsidP="006B43CE">
      <w:r w:rsidRPr="006B43CE">
        <w:br/>
      </w:r>
      <w:r w:rsidRPr="006B43CE">
        <w:br/>
      </w:r>
      <w:r w:rsidRPr="006B43CE">
        <w:rPr>
          <w:b/>
          <w:bCs/>
        </w:rPr>
        <w:t>Untersuchungsbefund</w:t>
      </w:r>
      <w:r w:rsidRPr="006B43CE">
        <w:t xml:space="preserve"> </w:t>
      </w:r>
    </w:p>
    <w:p w14:paraId="7F05086B" w14:textId="77777777" w:rsidR="006B43CE" w:rsidRPr="006B43CE" w:rsidRDefault="00E704AE" w:rsidP="006B43CE">
      <w:r>
        <w:rPr>
          <w:noProof/>
        </w:rPr>
      </w:r>
      <w:r>
        <w:pict w14:anchorId="392A2257">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20E85E" w14:textId="77777777" w:rsidR="006B43CE" w:rsidRPr="006B43CE" w:rsidRDefault="006B43CE" w:rsidP="006B43CE">
      <w:r w:rsidRPr="006B43CE">
        <w:t>54-jährige Pat., normaler EZ, normaler AZ.</w:t>
      </w:r>
    </w:p>
    <w:p w14:paraId="2C7F6AA4" w14:textId="77777777" w:rsidR="006B43CE" w:rsidRPr="006B43CE" w:rsidRDefault="006B43CE" w:rsidP="006B43CE">
      <w:r w:rsidRPr="006B43CE">
        <w:t> </w:t>
      </w:r>
    </w:p>
    <w:p w14:paraId="2F2ADF3C" w14:textId="77777777" w:rsidR="006B43CE" w:rsidRPr="006B43CE" w:rsidRDefault="006B43CE" w:rsidP="006B43CE">
      <w:r w:rsidRPr="006B43CE">
        <w:rPr>
          <w:b/>
          <w:bCs/>
        </w:rPr>
        <w:t xml:space="preserve">Gelenkstatus: </w:t>
      </w:r>
      <w:r w:rsidRPr="006B43CE">
        <w:t>keine periph. synovitische Gelenkschwellung, weiterhin aggravierte axiale Bewegungseinschränkung.</w:t>
      </w:r>
    </w:p>
    <w:p w14:paraId="1AC2C97B" w14:textId="77777777" w:rsidR="006B43CE" w:rsidRPr="006B43CE" w:rsidRDefault="006B43CE" w:rsidP="006B43CE">
      <w:r w:rsidRPr="006B43CE">
        <w:lastRenderedPageBreak/>
        <w:br/>
      </w:r>
      <w:r w:rsidRPr="006B43CE">
        <w:br/>
      </w:r>
      <w:r w:rsidRPr="006B43CE">
        <w:rPr>
          <w:b/>
          <w:bCs/>
        </w:rPr>
        <w:t>Laborwerte</w:t>
      </w:r>
      <w:r w:rsidRPr="006B43CE">
        <w:t xml:space="preserve"> </w:t>
      </w:r>
    </w:p>
    <w:p w14:paraId="3DB82E81" w14:textId="77777777" w:rsidR="006B43CE" w:rsidRPr="006B43CE" w:rsidRDefault="00E704AE" w:rsidP="006B43CE">
      <w:r>
        <w:rPr>
          <w:noProof/>
        </w:rPr>
      </w:r>
      <w:r>
        <w:pict w14:anchorId="4A6A039E">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DCD4E4" w14:textId="77777777" w:rsidR="006B43CE" w:rsidRPr="006B43CE" w:rsidRDefault="006B43CE" w:rsidP="006B43CE">
      <w:r w:rsidRPr="006B43CE">
        <w:rPr>
          <w:b/>
          <w:bCs/>
          <w:i/>
          <w:iCs/>
        </w:rPr>
        <w:t>Laborwerte vom 21.04.2020:</w:t>
      </w:r>
      <w:r w:rsidRPr="006B43CE">
        <w:t> </w:t>
      </w:r>
    </w:p>
    <w:p w14:paraId="7BE01A59" w14:textId="77777777" w:rsidR="006B43CE" w:rsidRPr="006B43CE" w:rsidRDefault="006B43CE" w:rsidP="006B43CE">
      <w:r w:rsidRPr="006B43CE">
        <w:rPr>
          <w:b/>
          <w:bCs/>
          <w:u w:val="single"/>
        </w:rPr>
        <w:t>IGRA (Interferon-Gamma-Release-Assays)</w:t>
      </w:r>
      <w:r w:rsidRPr="006B43CE">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0,04 IE/ml, TB1 CD4+ Zellen 0,05 IE/ml, TB2 CD4+/CD8+ Zellen 0,03 IE/ml, MIT &gt;10 IE/ml. </w:t>
      </w:r>
    </w:p>
    <w:p w14:paraId="5F5FBB45" w14:textId="77777777" w:rsidR="006B43CE" w:rsidRPr="006B43CE" w:rsidRDefault="006B43CE" w:rsidP="006B43CE">
      <w:r w:rsidRPr="006B43CE">
        <w:t> </w:t>
      </w:r>
    </w:p>
    <w:p w14:paraId="76A0387B" w14:textId="77777777" w:rsidR="006B43CE" w:rsidRPr="006B43CE" w:rsidRDefault="006B43CE" w:rsidP="006B43CE">
      <w:r w:rsidRPr="006B43CE">
        <w:rPr>
          <w:b/>
          <w:bCs/>
          <w:i/>
          <w:iCs/>
        </w:rPr>
        <w:t>Laborwerte vom 18.01.2021:</w:t>
      </w:r>
      <w:r w:rsidRPr="006B43CE">
        <w:t> </w:t>
      </w:r>
    </w:p>
    <w:p w14:paraId="7BA3AE88" w14:textId="77777777" w:rsidR="006B43CE" w:rsidRPr="006B43CE" w:rsidRDefault="006B43CE" w:rsidP="006B43CE">
      <w:r w:rsidRPr="006B43CE">
        <w:rPr>
          <w:b/>
          <w:bCs/>
          <w:u w:val="single"/>
        </w:rPr>
        <w:t>Kleines BB</w:t>
      </w:r>
      <w:r w:rsidRPr="006B43CE">
        <w:t>: Hämoglobin 12,9 g/dl (11,8 - 15,5 g/dl), Hämatokrit 39,4 % (35 - 46 %), Erythrozyten 4,26 x 10</w:t>
      </w:r>
      <w:r w:rsidRPr="006B43CE">
        <w:rPr>
          <w:vertAlign w:val="superscript"/>
        </w:rPr>
        <w:t>6</w:t>
      </w:r>
      <w:r w:rsidRPr="006B43CE">
        <w:t>/µl (3,9 - 5,2 x 10</w:t>
      </w:r>
      <w:r w:rsidRPr="006B43CE">
        <w:rPr>
          <w:vertAlign w:val="superscript"/>
        </w:rPr>
        <w:t>6</w:t>
      </w:r>
      <w:r w:rsidRPr="006B43CE">
        <w:t>/µl), Leukozyten 5,42 x 10</w:t>
      </w:r>
      <w:r w:rsidRPr="006B43CE">
        <w:rPr>
          <w:vertAlign w:val="superscript"/>
        </w:rPr>
        <w:t>3</w:t>
      </w:r>
      <w:r w:rsidRPr="006B43CE">
        <w:t>/µl (4 - 11 x 10</w:t>
      </w:r>
      <w:r w:rsidRPr="006B43CE">
        <w:rPr>
          <w:vertAlign w:val="superscript"/>
        </w:rPr>
        <w:t>3</w:t>
      </w:r>
      <w:r w:rsidRPr="006B43CE">
        <w:t>/µl), Thrombozyten 388 x 10</w:t>
      </w:r>
      <w:r w:rsidRPr="006B43CE">
        <w:rPr>
          <w:vertAlign w:val="superscript"/>
        </w:rPr>
        <w:t>3</w:t>
      </w:r>
      <w:r w:rsidRPr="006B43CE">
        <w:t>/µl (160 - 400 x 10</w:t>
      </w:r>
      <w:r w:rsidRPr="006B43CE">
        <w:rPr>
          <w:vertAlign w:val="superscript"/>
        </w:rPr>
        <w:t>3</w:t>
      </w:r>
      <w:r w:rsidRPr="006B43CE">
        <w:t xml:space="preserve">/µl), MCH 30,3 pg (26 - 33 pg), MCHC 32,7 g Hb/dl (32 - 36 g Hb/dl), MCV 92,5 fl (81 - 98 fl), MPV 10,3 fl (7,8 - 11 fl), RDW 12,8 % (11,6 - 16,2 %). </w:t>
      </w:r>
    </w:p>
    <w:p w14:paraId="516B8E51" w14:textId="77777777" w:rsidR="006B43CE" w:rsidRPr="006B43CE" w:rsidRDefault="006B43CE" w:rsidP="006B43CE">
      <w:r w:rsidRPr="006B43CE">
        <w:rPr>
          <w:b/>
          <w:bCs/>
          <w:u w:val="single"/>
        </w:rPr>
        <w:t>Diff. BB</w:t>
      </w:r>
      <w:r w:rsidRPr="006B43CE">
        <w:t>: Neutrophile (maschinell) 44,7 %, Eosinophile (maschinell) 3,9 %, Basophile (maschinell) 1,3 %, Lymphozyten (maschinell) 42,4 %, Monozyten (maschinell) 7,7 %, Neutrophile (maschinell) Absolut 2,4 x 10</w:t>
      </w:r>
      <w:r w:rsidRPr="006B43CE">
        <w:rPr>
          <w:vertAlign w:val="superscript"/>
        </w:rPr>
        <w:t>3</w:t>
      </w:r>
      <w:r w:rsidRPr="006B43CE">
        <w:t>/µl (1,6 - 7,8 x 10</w:t>
      </w:r>
      <w:r w:rsidRPr="006B43CE">
        <w:rPr>
          <w:vertAlign w:val="superscript"/>
        </w:rPr>
        <w:t>3</w:t>
      </w:r>
      <w:r w:rsidRPr="006B43CE">
        <w:t>/µl), Eosinophile (maschinell) Absolut 0,2 x 10</w:t>
      </w:r>
      <w:r w:rsidRPr="006B43CE">
        <w:rPr>
          <w:vertAlign w:val="superscript"/>
        </w:rPr>
        <w:t>3</w:t>
      </w:r>
      <w:r w:rsidRPr="006B43CE">
        <w:t>/µl (0 - 0,5 x 10</w:t>
      </w:r>
      <w:r w:rsidRPr="006B43CE">
        <w:rPr>
          <w:vertAlign w:val="superscript"/>
        </w:rPr>
        <w:t>3</w:t>
      </w:r>
      <w:r w:rsidRPr="006B43CE">
        <w:t>/µl), Basophile (maschinell) Absolut 0,1 x 10</w:t>
      </w:r>
      <w:r w:rsidRPr="006B43CE">
        <w:rPr>
          <w:vertAlign w:val="superscript"/>
        </w:rPr>
        <w:t>3</w:t>
      </w:r>
      <w:r w:rsidRPr="006B43CE">
        <w:t>/µl (0 - 0,1 x 10</w:t>
      </w:r>
      <w:r w:rsidRPr="006B43CE">
        <w:rPr>
          <w:vertAlign w:val="superscript"/>
        </w:rPr>
        <w:t>3</w:t>
      </w:r>
      <w:r w:rsidRPr="006B43CE">
        <w:t>/µl), Lymphozyten (maschinell) Absolut 2,3 x 10</w:t>
      </w:r>
      <w:r w:rsidRPr="006B43CE">
        <w:rPr>
          <w:vertAlign w:val="superscript"/>
        </w:rPr>
        <w:t>3</w:t>
      </w:r>
      <w:r w:rsidRPr="006B43CE">
        <w:t>/µl (1 - 3,5 x 10</w:t>
      </w:r>
      <w:r w:rsidRPr="006B43CE">
        <w:rPr>
          <w:vertAlign w:val="superscript"/>
        </w:rPr>
        <w:t>3</w:t>
      </w:r>
      <w:r w:rsidRPr="006B43CE">
        <w:t>/µl), Monozyten (maschinell) Absolut 0,4 x 10</w:t>
      </w:r>
      <w:r w:rsidRPr="006B43CE">
        <w:rPr>
          <w:vertAlign w:val="superscript"/>
        </w:rPr>
        <w:t>3</w:t>
      </w:r>
      <w:r w:rsidRPr="006B43CE">
        <w:t>/µl (0,1 - 0,9 x 10</w:t>
      </w:r>
      <w:r w:rsidRPr="006B43CE">
        <w:rPr>
          <w:vertAlign w:val="superscript"/>
        </w:rPr>
        <w:t>3</w:t>
      </w:r>
      <w:r w:rsidRPr="006B43CE">
        <w:t xml:space="preserve">/µl), </w:t>
      </w:r>
    </w:p>
    <w:p w14:paraId="263F9D75" w14:textId="77777777" w:rsidR="006B43CE" w:rsidRPr="006B43CE" w:rsidRDefault="006B43CE" w:rsidP="006B43CE">
      <w:r w:rsidRPr="006B43CE">
        <w:rPr>
          <w:b/>
          <w:bCs/>
          <w:u w:val="single"/>
        </w:rPr>
        <w:t>Serumchemie</w:t>
      </w:r>
      <w:r w:rsidRPr="006B43CE">
        <w:t xml:space="preserve">: Kreatinin 0,91 mg/dl (0,51 - 0,95 mg/dl), eGFR (Berechnung nach CKD-EPI) 72 ml/min/1,73m², </w:t>
      </w:r>
      <w:r w:rsidRPr="006B43CE">
        <w:rPr>
          <w:b/>
          <w:bCs/>
        </w:rPr>
        <w:t>AST / GOT 35 U/l</w:t>
      </w:r>
      <w:r w:rsidRPr="006B43CE">
        <w:t xml:space="preserve"> (&lt; 35 U/l), ALT / GPT 28 U/l (&lt; 35 U/l). </w:t>
      </w:r>
    </w:p>
    <w:p w14:paraId="718857C9" w14:textId="77777777" w:rsidR="006B43CE" w:rsidRPr="006B43CE" w:rsidRDefault="006B43CE" w:rsidP="006B43CE">
      <w:r w:rsidRPr="006B43CE">
        <w:rPr>
          <w:b/>
          <w:bCs/>
          <w:u w:val="single"/>
        </w:rPr>
        <w:t>Sonstige Serumchemie</w:t>
      </w:r>
      <w:r w:rsidRPr="006B43CE">
        <w:t xml:space="preserve">: eGFR (Berechnung nach CKD-EPI) 72 ml/min/1,73m², </w:t>
      </w:r>
    </w:p>
    <w:p w14:paraId="169CA266" w14:textId="77777777" w:rsidR="006B43CE" w:rsidRPr="006B43CE" w:rsidRDefault="006B43CE" w:rsidP="006B43CE">
      <w:r w:rsidRPr="006B43CE">
        <w:rPr>
          <w:b/>
          <w:bCs/>
          <w:u w:val="single"/>
        </w:rPr>
        <w:t>Immunologie</w:t>
      </w:r>
      <w:r w:rsidRPr="006B43CE">
        <w:t xml:space="preserve">: C-reaktives Protein &lt;5,1 mg/l (-&lt;5,2 mg/l), </w:t>
      </w:r>
    </w:p>
    <w:p w14:paraId="120ED795" w14:textId="77777777" w:rsidR="006B43CE" w:rsidRPr="006B43CE" w:rsidRDefault="006B43CE" w:rsidP="006B43CE">
      <w:r w:rsidRPr="006B43CE">
        <w:rPr>
          <w:b/>
          <w:bCs/>
          <w:u w:val="single"/>
        </w:rPr>
        <w:t>Borrelien-Serologie</w:t>
      </w:r>
      <w:r w:rsidRPr="006B43CE">
        <w:t xml:space="preserve">:  Spezifisches IgM-WB-Bandenmuster bei positivem Screening; IgG-ELISA negativ, Borrelien IgG ELISA i.S. 5,7 U/ml (Negativ &lt; 20 U/ml, Grenz. 20 - 24 U/ml, Positiv &gt; 24 U/ml), Borrelien IgM ELISA i.S. 61,1 U/ml (Negativ &lt; 20 U/ml, Grenz. 20 - 24 U/ml, Positiv &gt; 24 U/ml). </w:t>
      </w:r>
      <w:r w:rsidRPr="006B43CE">
        <w:br/>
      </w:r>
      <w:r w:rsidRPr="006B43CE">
        <w:rPr>
          <w:u w:val="single"/>
        </w:rPr>
        <w:t>IgM-Line</w:t>
      </w:r>
      <w:r w:rsidRPr="006B43CE">
        <w:t xml:space="preserve">: p100 -, VlsE -, p58 -, p41 +++, p39 -, OspA -, OspC B. sensu stricto ++, OspC B. afzelii ++, OspC B. garinii ++, OspC B. spielmanii ++, P18 B.sensu stricto -, P18 B.afzelii -, P18 B.bavariensis -, P18 B.garinii -, P18 B.spielmanii -. </w:t>
      </w:r>
    </w:p>
    <w:p w14:paraId="5E712F44" w14:textId="77777777" w:rsidR="006B43CE" w:rsidRPr="006B43CE" w:rsidRDefault="006B43CE" w:rsidP="006B43CE">
      <w:r w:rsidRPr="006B43CE">
        <w:lastRenderedPageBreak/>
        <w:t> </w:t>
      </w:r>
    </w:p>
    <w:p w14:paraId="372F3020" w14:textId="77777777" w:rsidR="006B43CE" w:rsidRPr="006B43CE" w:rsidRDefault="006B43CE" w:rsidP="006B43CE">
      <w:r w:rsidRPr="006B43CE">
        <w:rPr>
          <w:b/>
          <w:bCs/>
          <w:i/>
          <w:iCs/>
        </w:rPr>
        <w:t>Laborwerte vom 19.01.2021:</w:t>
      </w:r>
      <w:r w:rsidRPr="006B43CE">
        <w:t> </w:t>
      </w:r>
    </w:p>
    <w:p w14:paraId="28560F19" w14:textId="77777777" w:rsidR="006B43CE" w:rsidRPr="006B43CE" w:rsidRDefault="006B43CE" w:rsidP="006B43CE">
      <w:r w:rsidRPr="006B43CE">
        <w:rPr>
          <w:b/>
          <w:bCs/>
          <w:u w:val="single"/>
        </w:rPr>
        <w:t>Virologie</w:t>
      </w:r>
      <w:r w:rsidRPr="006B43CE">
        <w:t xml:space="preserve">: Anti-SARS-CoV-2 0,124 (Ratio &lt; 0,8 negativ Ratio &gt;= 0,8 &lt; 1,1 grenzwertig Ratio &gt;= 1,1 positiv), </w:t>
      </w:r>
    </w:p>
    <w:p w14:paraId="088DF2E6" w14:textId="77777777" w:rsidR="006B43CE" w:rsidRPr="006B43CE" w:rsidRDefault="006B43CE" w:rsidP="006B43CE">
      <w:r w:rsidRPr="006B43CE">
        <w:br/>
      </w:r>
      <w:r w:rsidRPr="006B43CE">
        <w:br/>
      </w:r>
      <w:r w:rsidRPr="006B43CE">
        <w:rPr>
          <w:b/>
          <w:bCs/>
        </w:rPr>
        <w:t>Befunde</w:t>
      </w:r>
      <w:r w:rsidRPr="006B43CE">
        <w:t xml:space="preserve"> </w:t>
      </w:r>
    </w:p>
    <w:p w14:paraId="48AC199A" w14:textId="77777777" w:rsidR="006B43CE" w:rsidRPr="006B43CE" w:rsidRDefault="00E704AE" w:rsidP="006B43CE">
      <w:r>
        <w:rPr>
          <w:noProof/>
        </w:rPr>
      </w:r>
      <w:r>
        <w:pict w14:anchorId="6F87FFEB">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D5EFDB1" w14:textId="77777777" w:rsidR="006B43CE" w:rsidRPr="006B43CE" w:rsidRDefault="006B43CE" w:rsidP="006B43CE">
      <w:r w:rsidRPr="006B43CE">
        <w:rPr>
          <w:b/>
          <w:bCs/>
          <w:u w:val="single"/>
        </w:rPr>
        <w:t>FAPI PET/CT mit CT low dose vom 15.02.2021:</w:t>
      </w:r>
      <w:r w:rsidRPr="006B43CE">
        <w:t> </w:t>
      </w:r>
    </w:p>
    <w:p w14:paraId="1037337D" w14:textId="77777777" w:rsidR="006B43CE" w:rsidRPr="006B43CE" w:rsidRDefault="006B43CE" w:rsidP="006B43CE">
      <w:r w:rsidRPr="006B43CE">
        <w:t xml:space="preserve">Befund: Zum Vergleich FAPI-PET/CT vom 19.10.20. Halsweichteile: Symmetrische Darstellung der zervikalen Weichteile. Kein Nachweis suspekt vergrößerter oder Radiopharmakon mehrspeichernder Lymphknoten. Thorax: Keine suspekt vergrößerten oder pathologisch Radiopharmakon mehrspeichernde Lymphknoten periclaviculär, axillär, hilär oder mediastinal. Kein Perikard- oder Pleuraerguss. Im Lungenfenster keine malignomsuspekten Rundherde, kein Infiltrat. Abdomen / Becken: Leber normgroß und homogen nuklidspeichernd ( SUV mean TOF 0,7). In nativer Untersuchungstechnik unauffällige Darstellung der Milz, des Pankreas, der Nebennieren, der Nieren, des Nierenbeckens und der ableitenden Harnwege. Kein Nachweis pathologisch konfigurierter, vergrößerter oder vermehrt Radiopharmakon aufnehmender Lymphknoten mesenterial, paraaortal, retroperitoneal iliacal oder inguinal. Keine freie Luft, keine freie Flüssigkeit. Skelett: Bekannte geringe Radionuklidanreicherung in Projektion auf den Ansatz der hamstring Muskulatur und um den Trochanter major bds.. Leicht rechtskonvexe LWS-Skoliose. Irregulär konfigurierte Grundplatte von LWK3 bzw. Deckplatte von LWK 4 im Vergleich zur VU mit rückläufiger Nuklidanreicherung. Weiterhin fokale Radionuklidanreicherung in Grund-bzw. Deckplatte von LWK 4/5 linksbetont (SUV max in der Deckplatte von LWK 5 TOF 5,7, VU SUV max TOF 5,2). Die bekannte fokale Radionuklidanreicherung in Projektion auf das linke Facettengelenk LWK 4/5 findet sich von der Speicherintensität gering rückläufig zur VU (SUVmax TOF 3,1// VU 4,1). </w:t>
      </w:r>
    </w:p>
    <w:p w14:paraId="30BF0120" w14:textId="77777777" w:rsidR="006B43CE" w:rsidRPr="006B43CE" w:rsidRDefault="006B43CE" w:rsidP="006B43CE">
      <w:r w:rsidRPr="006B43CE">
        <w:t xml:space="preserve">Beurteilung: Im Vergleich zur Voruntersuchung rückläufige Nuklidspeicherung LWK3/4 bei bekannt irregulär konfigurierten Grund- bzw. Deckplatten sowie konstant erhöhte FAP-Expression in LWK 4/LWK 5. Zudem von der Speicherintensität her gering rückläufige Nuklidspeicherung im Facettengelenk LWK 4/LWK 5 links. Unveränderte Nuklidmehrbelegung in Projektion auf den Ansatz der hamstring Muskulatur beidseits, am ehesten im Sinne einer Insertionstendinopathie. </w:t>
      </w:r>
    </w:p>
    <w:p w14:paraId="2A9B03BD" w14:textId="77777777" w:rsidR="006B43CE" w:rsidRPr="006B43CE" w:rsidRDefault="006B43CE" w:rsidP="006B43CE"/>
    <w:p w14:paraId="17EB3EB5" w14:textId="77777777" w:rsidR="006B43CE" w:rsidRPr="006B43CE" w:rsidRDefault="006B43CE" w:rsidP="006B43CE">
      <w:r w:rsidRPr="006B43CE">
        <w:rPr>
          <w:b/>
          <w:bCs/>
          <w:u w:val="single"/>
        </w:rPr>
        <w:t>LWS-Sacrum-MRT nativ und mit KM vom 16.03.2021:</w:t>
      </w:r>
      <w:r w:rsidRPr="006B43CE">
        <w:t> </w:t>
      </w:r>
    </w:p>
    <w:p w14:paraId="36D15F73" w14:textId="77777777" w:rsidR="006B43CE" w:rsidRPr="006B43CE" w:rsidRDefault="006B43CE" w:rsidP="006B43CE">
      <w:r w:rsidRPr="006B43CE">
        <w:lastRenderedPageBreak/>
        <w:t xml:space="preserve">Befund: Zum Vergleich PET-CT vom 15.02.2021 und auswärtige LWS-MRT vom 24.06.2020. Lendenwirbelsäule mit Kontrastmittel intravenös: Dargestellt wurden im sagittalen Bildfenster Mitte BWK 11 bis Oberkante SWK 4, im axialen Bildfenster Unterkante LWK 3 bis Mitte SWK 1. Regelrechte Form und Höhe der Wirbelkörper. Regelrechtes Wirbelkörperalignement. Vorbestehend erster Linie Wirbelkörperhämangiome in LWK 2 rechts (sagittal Bild 6). Vorbestehend zentrale Irregularitäten der Deck- und Grundplatten von LWK 3 und LWK 4, sowie der Deckplatte von LWK 5 (sagittal Bild 8), bei jedoch in T1w nativ durchgehend abgrenzbaren Endplatten und in T2w signalarmen Bandscheiben. Vermehrte Kontrastmittelaufnahme im Nucleus pulposus und subchondralen Knochenmarks um das Bandscheibenfach LWK 4/5 (T1w FS sagittal Bild 10); deutlich geringer ausgeprägt um die Bandscheibenfächer LWK 3/4 und LWK 4/5 (T1w FS sagittal Bild 8). Signalminderung in T2w und geringe Höhenminderung der Bandscheiben LWK 1/2 bis LWK 4/5 (T2w sagittal Bild 8). Diffuses Bulging der Bandscheiben LWK 2/3 bis LWK 4/5 mit foraminaler Enge in Höhe LWK 3/4 beidseits (T2w axial Bild 6) und LWK 4/5 beidseits (T2w axial Bild 15). Hypertrophe Facettengelenksarthrosen LWK 4/5 und LWK 5/SWK 1 beidseits. Keine höhergradige neuroforaminale Enge. Konusstand in Höhe BWK 2/LWK 1. Conus medullaris und Cauda equina unauffällig. Keine lumbale Spinalkanalstenose. Vermehrte Kontrastmittelaufnahme im Ligamentum interspinale LWK 4/5 (T1w FS sagittal Bild 9). Vermehrte Kontrastmittelaufnahme um die Facettengelenke LWK 4/5 und LWK 5/LWK 1 beidseits (z.B. T1w FS axial Bild 25). Iliosakralgelenke beidseits mit Kontrastmittel intravenös: Seitensymmetrisch normal weite Iliosakralgelenke. Keine bandförmige subchondrale Sklerosierung oder Verfettung. Subchondrales Knochenmarködemsignal in drei konsekutiven Schichten ventrokranial an der rechten Iliosakralfuge im Os sacrum (z.B. TIRM koronar Bild 23). </w:t>
      </w:r>
    </w:p>
    <w:p w14:paraId="19479360" w14:textId="77777777" w:rsidR="006B43CE" w:rsidRPr="006B43CE" w:rsidRDefault="006B43CE" w:rsidP="006B43CE">
      <w:r w:rsidRPr="006B43CE">
        <w:t>Beurteilung: Befund in erster Linie passend zu mehrsegmentalen lumbalen Anderson-Läsionen, Aktivierungszeichen führend in Höhe LWK 4/5. Keine typischen Zeichen eine Spondylodiszitis. Reizzustand der Ligamenta interspinalia LWK 4/5 und der Facettengelenke LWK 4/5 und LWK 5/SWK 1 beidseits. Vorbestehende intraossäre Zysten am rechten Iliosakralgelenk im ventrokranialen Os sacrum, bei fehlender FAPI-Anreicherung in der Vor-PET in erster Linie degenerativ.</w:t>
      </w:r>
    </w:p>
    <w:p w14:paraId="69ED801F" w14:textId="77777777" w:rsidR="006B43CE" w:rsidRPr="006B43CE" w:rsidRDefault="006B43CE" w:rsidP="006B43CE">
      <w:r w:rsidRPr="006B43CE">
        <w:br/>
      </w:r>
      <w:r w:rsidRPr="006B43CE">
        <w:br/>
      </w:r>
      <w:r w:rsidRPr="006B43CE">
        <w:rPr>
          <w:b/>
          <w:bCs/>
        </w:rPr>
        <w:t>Verlauf und Beurteilung</w:t>
      </w:r>
      <w:r w:rsidRPr="006B43CE">
        <w:t xml:space="preserve"> </w:t>
      </w:r>
    </w:p>
    <w:p w14:paraId="57591295" w14:textId="77777777" w:rsidR="006B43CE" w:rsidRPr="006B43CE" w:rsidRDefault="00E704AE" w:rsidP="006B43CE">
      <w:r>
        <w:rPr>
          <w:noProof/>
        </w:rPr>
      </w:r>
      <w:r>
        <w:pict w14:anchorId="4E114D01">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2AB87F" w14:textId="77777777" w:rsidR="006B43CE" w:rsidRPr="006B43CE" w:rsidRDefault="006B43CE" w:rsidP="006B43CE">
      <w:r w:rsidRPr="006B43CE">
        <w:t xml:space="preserve">Die Patientin stellte sich zur Verlaufskontrolle bei SpA ambulant vor. </w:t>
      </w:r>
    </w:p>
    <w:p w14:paraId="74F495DB" w14:textId="77777777" w:rsidR="006B43CE" w:rsidRPr="006B43CE" w:rsidRDefault="006B43CE" w:rsidP="006B43CE">
      <w:r w:rsidRPr="006B43CE">
        <w:t>Klinisch und radiographisch zeigt sich eine persistierende Aktivität unter 300mg Secukinumab pro Monat, auch wenn das FAPI PET/CT 02/21 ein partielles Ansprechen auf die bisherige immunsuppressive Therapie zeigt.</w:t>
      </w:r>
    </w:p>
    <w:p w14:paraId="6625FBD3" w14:textId="77777777" w:rsidR="006B43CE" w:rsidRPr="006B43CE" w:rsidRDefault="006B43CE" w:rsidP="006B43CE">
      <w:r w:rsidRPr="006B43CE">
        <w:lastRenderedPageBreak/>
        <w:t xml:space="preserve">Aufgrund der persistierenden massiven klinischen Symptomatik und der signifikanten Restaktivität (MRT-morphologisch und im FAPI PET/CT) empfehlen wir eine Therapieumstellung auf Upadacitinib 15mg 1x/Tag, unter Kontrolle nach Maßgabe der DGRh. Die Infobroschüre der DGRh wurde der Pat. mitgegeben. Notwendigkeit regelmäßiger klinischer und serologischer Kontrollen unter Upadacitinib nach Maßgabe der DGRH wurden explizit besprochen (insbesondere Leberfunktion, Nierenfunktion, Blutbild). </w:t>
      </w:r>
    </w:p>
    <w:p w14:paraId="5A3AC4DD" w14:textId="77777777" w:rsidR="006B43CE" w:rsidRPr="006B43CE" w:rsidRDefault="006B43CE" w:rsidP="006B43CE">
      <w:r w:rsidRPr="006B43CE">
        <w:t>Differentialdiagnostisch wurde infektiologische Genese ausführlich mit den Kollegen der Radiologie und Orthopädie diskutiert. Quantiferon zeigt sich negativ, Antibiotikatherapie über Wochen ohne Besserung der Beschwerden. Anamnestisch, bildmorphologisch und in Anbetracht fehlender Vorerkrankungen ergeben sich aktuell keine ausreichenden Hinweise, die auf eine infektiologische Genese schließen lassen können. Eine erweiterte invasive Diagnostik i.S. Biopsie an der LWS erscheint daher aktuell nicht weiter zielführend unter Beachtung der Risikofaktoren, die eine solche Biopsie mit sich bringen würde. Weiterhin sollte eine erosive Osteochondrosis intervertebralis differentialdiagnostisch als nicht-entzündliche Ursache der Beschwerden berücksichtigt werden. Sollte auch die dritte immunsuppressive Basistherapie keine signifikante Verbesserung der Beschwerden bewirken, sollte eine erosive Osteochondrosis intervertebralis von orthopädischer Seite weiter diagnostisch und therapeutisch adressiert werden.  </w:t>
      </w:r>
    </w:p>
    <w:p w14:paraId="1B9F2BC1" w14:textId="77777777" w:rsidR="006B43CE" w:rsidRPr="006B43CE" w:rsidRDefault="006B43CE" w:rsidP="006B43CE">
      <w:r w:rsidRPr="006B43CE">
        <w:t>Eine Wiedervorstellung ist in 3 Monaten geplant, bei Bedarf auch früher nach tel. RS.</w:t>
      </w:r>
    </w:p>
    <w:p w14:paraId="445E39F2" w14:textId="77777777" w:rsidR="006B43CE" w:rsidRPr="006B43CE" w:rsidRDefault="006B43CE" w:rsidP="006B43CE">
      <w:r w:rsidRPr="006B43CE">
        <w:t>Wir danken für die Vorstellung der Pat., für Rückfragen stehen wir gerne zur Verfügung.</w:t>
      </w:r>
    </w:p>
    <w:p w14:paraId="6DE1C08B" w14:textId="77777777" w:rsidR="006B43CE" w:rsidRPr="006B43CE" w:rsidRDefault="006B43CE" w:rsidP="006B43CE">
      <w:r w:rsidRPr="006B43CE">
        <w:br/>
      </w:r>
      <w:r w:rsidRPr="006B43CE">
        <w:br/>
      </w:r>
      <w:r w:rsidRPr="006B43CE">
        <w:rPr>
          <w:b/>
          <w:bCs/>
        </w:rPr>
        <w:t>Therapieempfehlung</w:t>
      </w:r>
      <w:r w:rsidRPr="006B43CE">
        <w:t xml:space="preserve"> </w:t>
      </w:r>
    </w:p>
    <w:p w14:paraId="08A48737" w14:textId="77777777" w:rsidR="006B43CE" w:rsidRPr="006B43CE" w:rsidRDefault="00E704AE" w:rsidP="006B43CE">
      <w:r>
        <w:rPr>
          <w:noProof/>
        </w:rPr>
      </w:r>
      <w:r>
        <w:pict w14:anchorId="1CDA7B40">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AE4000E" w14:textId="77777777" w:rsidR="006B43CE" w:rsidRPr="006B43CE" w:rsidRDefault="006B43CE" w:rsidP="006B43CE">
      <w:r w:rsidRPr="006B43CE">
        <w:rPr>
          <w:b/>
          <w:bCs/>
          <w:u w:val="single"/>
        </w:rPr>
        <w:t xml:space="preserve">Empfehlung zur Impfung gegen SARS-CoV-2 bei entzündlich-rheumatischen Erkrankungen </w:t>
      </w:r>
    </w:p>
    <w:p w14:paraId="07E2DFF9" w14:textId="77777777" w:rsidR="006B43CE" w:rsidRPr="006B43CE" w:rsidRDefault="006B43CE" w:rsidP="006B43CE">
      <w:r w:rsidRPr="006B43CE">
        <w:t> </w:t>
      </w:r>
    </w:p>
    <w:p w14:paraId="25B7007E" w14:textId="77777777" w:rsidR="006B43CE" w:rsidRPr="006B43CE" w:rsidRDefault="006B43CE" w:rsidP="006B43CE">
      <w:r w:rsidRPr="006B43CE">
        <w:t>Totimpfstoffe sind bei Patienten mit entzündlich-rheumatischen Erkrankungen und bei Patienten unter immunsuppressiver/immunmodulierender Therapie uneingeschränkt einsetzbar. Klassische Totimpfstoffe, die sich in der Entwicklung für eine Impfung gegen SARS-CoV-2 befinden, sind Vakzine auf der Grundlage adjuvantierter Proteine. Auch Vakzine auf der Grundlage nicht-replizierbarer Vektoren und Vakzine auf der Grundlage von mRNA („mRNA-Vakzine“) sind als Totimpfstoffe anzusehen und dürften daher für Patienten mit entzündlich-rheumatischen Erkrankungen und unter immunsuppressiver/immunmodulierender Therapie keine Gefahr darstellen.</w:t>
      </w:r>
    </w:p>
    <w:p w14:paraId="789A9B9D" w14:textId="77777777" w:rsidR="006B43CE" w:rsidRPr="006B43CE" w:rsidRDefault="006B43CE" w:rsidP="006B43CE">
      <w:r w:rsidRPr="006B43CE">
        <w:lastRenderedPageBreak/>
        <w:t> </w:t>
      </w:r>
    </w:p>
    <w:p w14:paraId="5E50DEED" w14:textId="77777777" w:rsidR="006B43CE" w:rsidRPr="006B43CE" w:rsidRDefault="006B43CE" w:rsidP="006B43CE">
      <w:r w:rsidRPr="006B43CE">
        <w:t>Weitere Informationen siehe auch: www.dgrh.de - Wissenschaft - Forschung - COVID-19</w:t>
      </w:r>
    </w:p>
    <w:p w14:paraId="5F8524E7" w14:textId="77777777" w:rsidR="006B43CE" w:rsidRPr="006B43CE" w:rsidRDefault="006B43CE" w:rsidP="006B43CE">
      <w:r w:rsidRPr="006B43CE">
        <w:t> </w:t>
      </w:r>
    </w:p>
    <w:p w14:paraId="11E5A6F6" w14:textId="77777777" w:rsidR="006B43CE" w:rsidRPr="006B43CE" w:rsidRDefault="006B43CE" w:rsidP="006B43CE">
      <w:r w:rsidRPr="006B43CE">
        <w:t>Die Pat. gehört zur Risikogruppe 3.</w:t>
      </w:r>
    </w:p>
    <w:p w14:paraId="3242D434" w14:textId="77777777" w:rsidR="006B43CE" w:rsidRPr="006B43CE" w:rsidRDefault="006B43CE" w:rsidP="006B43CE">
      <w:r w:rsidRPr="006B43CE">
        <w:br/>
      </w:r>
      <w:r w:rsidRPr="006B43CE">
        <w:br/>
      </w:r>
      <w:r w:rsidRPr="006B43CE">
        <w:rPr>
          <w:b/>
          <w:bCs/>
        </w:rPr>
        <w:t>Schluss</w:t>
      </w:r>
      <w:r w:rsidRPr="006B43CE">
        <w:t xml:space="preserve"> </w:t>
      </w:r>
    </w:p>
    <w:p w14:paraId="48D3A881" w14:textId="77777777" w:rsidR="006B43CE" w:rsidRPr="006B43CE" w:rsidRDefault="00E704AE" w:rsidP="006B43CE">
      <w:r>
        <w:rPr>
          <w:noProof/>
        </w:rPr>
      </w:r>
      <w:r>
        <w:pict w14:anchorId="58BB08C6">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AF43FFD" w14:textId="77777777" w:rsidR="006B43CE" w:rsidRPr="006B43CE" w:rsidRDefault="006B43CE" w:rsidP="006B43CE">
      <w:r w:rsidRPr="006B43CE">
        <w:t>Mit freundlichen kollegialen Grüßen</w:t>
      </w:r>
    </w:p>
    <w:p w14:paraId="4A50DCA5" w14:textId="77777777" w:rsidR="006B43CE" w:rsidRDefault="006B43CE"/>
    <w:sectPr w:rsidR="006B43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7F540B"/>
    <w:multiLevelType w:val="multilevel"/>
    <w:tmpl w:val="EF58C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9625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CE"/>
    <w:rsid w:val="002A0591"/>
    <w:rsid w:val="006B43CE"/>
    <w:rsid w:val="0092470E"/>
    <w:rsid w:val="00B761FA"/>
    <w:rsid w:val="00D93C9C"/>
    <w:rsid w:val="00E704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61A5A67"/>
  <w15:chartTrackingRefBased/>
  <w15:docId w15:val="{22EF3A27-36BF-4307-BDF3-E4A984EC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4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B4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B43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B43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B43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B43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43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43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43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43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B43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B43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B43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B43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B43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43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43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43CE"/>
    <w:rPr>
      <w:rFonts w:eastAsiaTheme="majorEastAsia" w:cstheme="majorBidi"/>
      <w:color w:val="272727" w:themeColor="text1" w:themeTint="D8"/>
    </w:rPr>
  </w:style>
  <w:style w:type="paragraph" w:styleId="Titel">
    <w:name w:val="Title"/>
    <w:basedOn w:val="Standard"/>
    <w:next w:val="Standard"/>
    <w:link w:val="TitelZchn"/>
    <w:uiPriority w:val="10"/>
    <w:qFormat/>
    <w:rsid w:val="006B4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43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43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43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43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43CE"/>
    <w:rPr>
      <w:i/>
      <w:iCs/>
      <w:color w:val="404040" w:themeColor="text1" w:themeTint="BF"/>
    </w:rPr>
  </w:style>
  <w:style w:type="paragraph" w:styleId="Listenabsatz">
    <w:name w:val="List Paragraph"/>
    <w:basedOn w:val="Standard"/>
    <w:uiPriority w:val="34"/>
    <w:qFormat/>
    <w:rsid w:val="006B43CE"/>
    <w:pPr>
      <w:ind w:left="720"/>
      <w:contextualSpacing/>
    </w:pPr>
  </w:style>
  <w:style w:type="character" w:styleId="IntensiveHervorhebung">
    <w:name w:val="Intense Emphasis"/>
    <w:basedOn w:val="Absatz-Standardschriftart"/>
    <w:uiPriority w:val="21"/>
    <w:qFormat/>
    <w:rsid w:val="006B43CE"/>
    <w:rPr>
      <w:i/>
      <w:iCs/>
      <w:color w:val="0F4761" w:themeColor="accent1" w:themeShade="BF"/>
    </w:rPr>
  </w:style>
  <w:style w:type="paragraph" w:styleId="IntensivesZitat">
    <w:name w:val="Intense Quote"/>
    <w:basedOn w:val="Standard"/>
    <w:next w:val="Standard"/>
    <w:link w:val="IntensivesZitatZchn"/>
    <w:uiPriority w:val="30"/>
    <w:qFormat/>
    <w:rsid w:val="006B4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B43CE"/>
    <w:rPr>
      <w:i/>
      <w:iCs/>
      <w:color w:val="0F4761" w:themeColor="accent1" w:themeShade="BF"/>
    </w:rPr>
  </w:style>
  <w:style w:type="character" w:styleId="IntensiverVerweis">
    <w:name w:val="Intense Reference"/>
    <w:basedOn w:val="Absatz-Standardschriftart"/>
    <w:uiPriority w:val="32"/>
    <w:qFormat/>
    <w:rsid w:val="006B4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90005631">
      <w:bodyDiv w:val="1"/>
      <w:marLeft w:val="0"/>
      <w:marRight w:val="0"/>
      <w:marTop w:val="0"/>
      <w:marBottom w:val="0"/>
      <w:divBdr>
        <w:top w:val="none" w:sz="0" w:space="0" w:color="auto"/>
        <w:left w:val="none" w:sz="0" w:space="0" w:color="auto"/>
        <w:bottom w:val="none" w:sz="0" w:space="0" w:color="auto"/>
        <w:right w:val="none" w:sz="0" w:space="0" w:color="auto"/>
      </w:divBdr>
      <w:divsChild>
        <w:div w:id="1948350117">
          <w:marLeft w:val="0"/>
          <w:marRight w:val="0"/>
          <w:marTop w:val="0"/>
          <w:marBottom w:val="0"/>
          <w:divBdr>
            <w:top w:val="none" w:sz="0" w:space="0" w:color="auto"/>
            <w:left w:val="none" w:sz="0" w:space="0" w:color="auto"/>
            <w:bottom w:val="none" w:sz="0" w:space="0" w:color="auto"/>
            <w:right w:val="none" w:sz="0" w:space="0" w:color="auto"/>
          </w:divBdr>
        </w:div>
      </w:divsChild>
    </w:div>
    <w:div w:id="1340741513">
      <w:bodyDiv w:val="1"/>
      <w:marLeft w:val="0"/>
      <w:marRight w:val="0"/>
      <w:marTop w:val="0"/>
      <w:marBottom w:val="0"/>
      <w:divBdr>
        <w:top w:val="none" w:sz="0" w:space="0" w:color="auto"/>
        <w:left w:val="none" w:sz="0" w:space="0" w:color="auto"/>
        <w:bottom w:val="none" w:sz="0" w:space="0" w:color="auto"/>
        <w:right w:val="none" w:sz="0" w:space="0" w:color="auto"/>
      </w:divBdr>
      <w:divsChild>
        <w:div w:id="2118519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1751</Words>
  <Characters>11033</Characters>
  <Application>Microsoft Office Word</Application>
  <DocSecurity>0</DocSecurity>
  <Lines>91</Lines>
  <Paragraphs>25</Paragraphs>
  <ScaleCrop>false</ScaleCrop>
  <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2026-09-24T16:07:00Z</dcterms:created>
  <dcterms:modified xsi:type="dcterms:W3CDTF">2026-09-25T22:11:00Z</dcterms:modified>
</cp:coreProperties>
</file>