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D41AC1" w14:textId="77777777" w:rsidR="00002F90" w:rsidRPr="00002F90" w:rsidRDefault="00002F90" w:rsidP="00002F90">
      <w:r w:rsidRPr="00002F90">
        <w:rPr>
          <w:b/>
          <w:bCs/>
        </w:rPr>
        <w:t>Kürzel</w:t>
      </w:r>
      <w:r w:rsidRPr="00002F90">
        <w:t xml:space="preserve"> </w:t>
      </w:r>
    </w:p>
    <w:p w14:paraId="41130FCA" w14:textId="77777777" w:rsidR="00002F90" w:rsidRPr="00002F90" w:rsidRDefault="00823CCC" w:rsidP="00002F90">
      <w:r>
        <w:rPr>
          <w:noProof/>
        </w:rPr>
      </w:r>
      <w:r>
        <w:pict w14:anchorId="3F112209">
          <v:rect id="Horizontal Line 1" o:spid="_x0000_s1035"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1351A2A3" w14:textId="77777777" w:rsidR="00002F90" w:rsidRPr="00002F90" w:rsidRDefault="00002F90" w:rsidP="00002F90">
      <w:r w:rsidRPr="00002F90">
        <w:t>ram/mie</w:t>
      </w:r>
      <w:r w:rsidRPr="00002F90">
        <w:br/>
      </w:r>
      <w:r w:rsidRPr="00002F90">
        <w:br/>
      </w:r>
      <w:r w:rsidRPr="00002F90">
        <w:rPr>
          <w:b/>
          <w:bCs/>
        </w:rPr>
        <w:t>Anrede</w:t>
      </w:r>
      <w:r w:rsidRPr="00002F90">
        <w:t xml:space="preserve"> </w:t>
      </w:r>
    </w:p>
    <w:p w14:paraId="3DD9010F" w14:textId="77777777" w:rsidR="00002F90" w:rsidRPr="00002F90" w:rsidRDefault="00823CCC" w:rsidP="00002F90">
      <w:r>
        <w:rPr>
          <w:noProof/>
        </w:rPr>
      </w:r>
      <w:r>
        <w:pict w14:anchorId="66278ABD">
          <v:rect id="Horizontal Line 2" o:spid="_x0000_s1034"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490A7EFB" w14:textId="77777777" w:rsidR="00002F90" w:rsidRPr="00002F90" w:rsidRDefault="00002F90" w:rsidP="00002F90">
      <w:r w:rsidRPr="00002F90">
        <w:t xml:space="preserve">Sehr geehrte Frau Kollegin, </w:t>
      </w:r>
    </w:p>
    <w:p w14:paraId="32B6378E" w14:textId="77777777" w:rsidR="00002F90" w:rsidRPr="00002F90" w:rsidRDefault="00002F90" w:rsidP="00002F90">
      <w:r w:rsidRPr="00002F90">
        <w:t> </w:t>
      </w:r>
    </w:p>
    <w:p w14:paraId="137E0A4C" w14:textId="30FEAA17" w:rsidR="00002F90" w:rsidRPr="00002F90" w:rsidRDefault="00002F90" w:rsidP="00002F90">
      <w:r w:rsidRPr="00002F90">
        <w:t xml:space="preserve">wir berichten über unseren gemeinsamen Patienten, </w:t>
      </w:r>
      <w:r w:rsidR="00296657">
        <w:t>43</w:t>
      </w:r>
      <w:r w:rsidRPr="00002F90">
        <w:t>, der sich am 11.11.2019 ambulant vorstellte.</w:t>
      </w:r>
    </w:p>
    <w:p w14:paraId="655DB290" w14:textId="77777777" w:rsidR="00002F90" w:rsidRPr="00002F90" w:rsidRDefault="00002F90" w:rsidP="00002F90">
      <w:r w:rsidRPr="00002F90">
        <w:br/>
      </w:r>
      <w:r w:rsidRPr="00002F90">
        <w:br/>
      </w:r>
      <w:r w:rsidRPr="00002F90">
        <w:rPr>
          <w:b/>
          <w:bCs/>
        </w:rPr>
        <w:t>Diagnosen</w:t>
      </w:r>
      <w:r w:rsidRPr="00002F90">
        <w:t xml:space="preserve"> </w:t>
      </w:r>
    </w:p>
    <w:p w14:paraId="56983DEA" w14:textId="77777777" w:rsidR="00002F90" w:rsidRPr="00002F90" w:rsidRDefault="00823CCC" w:rsidP="00002F90">
      <w:r>
        <w:rPr>
          <w:noProof/>
        </w:rPr>
      </w:r>
      <w:r>
        <w:pict w14:anchorId="0A50C7BF">
          <v:rect id="Horizontal Line 3" o:spid="_x0000_s1033"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98C20A9" w14:textId="77777777" w:rsidR="00002F90" w:rsidRPr="00002F90" w:rsidRDefault="00002F90" w:rsidP="00002F90">
      <w:pPr>
        <w:numPr>
          <w:ilvl w:val="0"/>
          <w:numId w:val="1"/>
        </w:numPr>
      </w:pPr>
      <w:r w:rsidRPr="00002F90">
        <w:t xml:space="preserve">Psoriasisarthritis, ED 11/2019, EM 08/2018 </w:t>
      </w:r>
    </w:p>
    <w:p w14:paraId="7FCDC763" w14:textId="77777777" w:rsidR="00002F90" w:rsidRPr="00002F90" w:rsidRDefault="00002F90" w:rsidP="00002F90">
      <w:pPr>
        <w:numPr>
          <w:ilvl w:val="1"/>
          <w:numId w:val="1"/>
        </w:numPr>
      </w:pPr>
      <w:r w:rsidRPr="00002F90">
        <w:t xml:space="preserve">langjährig bekannte Psoriasis, vor allem am Kapillitium  </w:t>
      </w:r>
    </w:p>
    <w:p w14:paraId="1467128F" w14:textId="77777777" w:rsidR="00002F90" w:rsidRPr="00002F90" w:rsidRDefault="00002F90" w:rsidP="00002F90">
      <w:pPr>
        <w:numPr>
          <w:ilvl w:val="1"/>
          <w:numId w:val="1"/>
        </w:numPr>
      </w:pPr>
      <w:r w:rsidRPr="00002F90">
        <w:t xml:space="preserve">rezidivierende Arthralgien, Arthritiden im Bereich der MCP-Gelenke beidseits </w:t>
      </w:r>
    </w:p>
    <w:p w14:paraId="513FB983" w14:textId="77777777" w:rsidR="00002F90" w:rsidRPr="00002F90" w:rsidRDefault="00002F90" w:rsidP="00002F90">
      <w:pPr>
        <w:numPr>
          <w:ilvl w:val="1"/>
          <w:numId w:val="1"/>
        </w:numPr>
      </w:pPr>
      <w:r w:rsidRPr="00002F90">
        <w:t xml:space="preserve">rezidivierende Enthesitiden im Bereich der Plantarfaszie, der Achillessehne und der Ellbogen beidseits </w:t>
      </w:r>
    </w:p>
    <w:p w14:paraId="14BCADF6" w14:textId="77777777" w:rsidR="00002F90" w:rsidRPr="00002F90" w:rsidRDefault="00002F90" w:rsidP="00002F90">
      <w:pPr>
        <w:numPr>
          <w:ilvl w:val="1"/>
          <w:numId w:val="1"/>
        </w:numPr>
      </w:pPr>
      <w:r w:rsidRPr="00002F90">
        <w:t xml:space="preserve">langjährige Rückenschmerzen </w:t>
      </w:r>
    </w:p>
    <w:p w14:paraId="256A61E7" w14:textId="77777777" w:rsidR="00002F90" w:rsidRPr="00002F90" w:rsidRDefault="00002F90" w:rsidP="00002F90">
      <w:pPr>
        <w:numPr>
          <w:ilvl w:val="1"/>
          <w:numId w:val="1"/>
        </w:numPr>
      </w:pPr>
      <w:r w:rsidRPr="00002F90">
        <w:t xml:space="preserve">FAPI-PET/CT ausstehend, MRT-LWS/ISG ausstehend, MRT-Hand rechts ausstehend </w:t>
      </w:r>
    </w:p>
    <w:p w14:paraId="7D3AA2D9" w14:textId="77777777" w:rsidR="00002F90" w:rsidRPr="00002F90" w:rsidRDefault="00002F90" w:rsidP="00002F90">
      <w:pPr>
        <w:numPr>
          <w:ilvl w:val="1"/>
          <w:numId w:val="1"/>
        </w:numPr>
      </w:pPr>
      <w:r w:rsidRPr="00002F90">
        <w:t xml:space="preserve">bisherige Therapie: Prednisolon-Stoß ohne ausreichende Wirkung, Methotrexat seit 10/2019 bisher ohne ausreichende Wirkung </w:t>
      </w:r>
    </w:p>
    <w:p w14:paraId="4D86470F" w14:textId="77777777" w:rsidR="00002F90" w:rsidRPr="00002F90" w:rsidRDefault="00002F90" w:rsidP="00002F90">
      <w:pPr>
        <w:numPr>
          <w:ilvl w:val="1"/>
          <w:numId w:val="1"/>
        </w:numPr>
      </w:pPr>
      <w:r w:rsidRPr="00002F90">
        <w:t xml:space="preserve">aktuelle Therapie: zusätzlich Secukinumab (seit 12/19) </w:t>
      </w:r>
    </w:p>
    <w:p w14:paraId="3360D767" w14:textId="77777777" w:rsidR="00002F90" w:rsidRPr="00002F90" w:rsidRDefault="00002F90" w:rsidP="00002F90">
      <w:r w:rsidRPr="00002F90">
        <w:br/>
      </w:r>
      <w:r w:rsidRPr="00002F90">
        <w:br/>
      </w:r>
      <w:r w:rsidRPr="00002F90">
        <w:rPr>
          <w:b/>
          <w:bCs/>
        </w:rPr>
        <w:t>Therapiehistorie</w:t>
      </w:r>
      <w:r w:rsidRPr="00002F90">
        <w:t xml:space="preserve"> </w:t>
      </w:r>
    </w:p>
    <w:p w14:paraId="253452CD" w14:textId="77777777" w:rsidR="00002F90" w:rsidRPr="00002F90" w:rsidRDefault="00823CCC" w:rsidP="00002F90">
      <w:r>
        <w:rPr>
          <w:noProof/>
        </w:rPr>
      </w:r>
      <w:r>
        <w:pict w14:anchorId="06E47255">
          <v:rect id="Horizontal Line 4" o:spid="_x0000_s1032"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35947C8" w14:textId="77777777" w:rsidR="00002F90" w:rsidRPr="00002F90" w:rsidRDefault="00002F90" w:rsidP="00002F90">
      <w:r w:rsidRPr="00002F90">
        <w:rPr>
          <w:u w:val="single"/>
        </w:rPr>
        <w:t>Dauermedikation:</w:t>
      </w:r>
    </w:p>
    <w:p w14:paraId="73239E2B" w14:textId="77777777" w:rsidR="00002F90" w:rsidRPr="00002F90" w:rsidRDefault="00002F90" w:rsidP="00002F90">
      <w:r w:rsidRPr="00002F90">
        <w:t>Pantoprazol 20 mg 1-0-0</w:t>
      </w:r>
    </w:p>
    <w:p w14:paraId="3877C1A5" w14:textId="77777777" w:rsidR="00002F90" w:rsidRPr="00002F90" w:rsidRDefault="00002F90" w:rsidP="00002F90">
      <w:r w:rsidRPr="00002F90">
        <w:lastRenderedPageBreak/>
        <w:t xml:space="preserve">Lantarel 10 mg einmal die Woche </w:t>
      </w:r>
    </w:p>
    <w:p w14:paraId="654CB1AD" w14:textId="77777777" w:rsidR="00002F90" w:rsidRPr="00002F90" w:rsidRDefault="00002F90" w:rsidP="00002F90">
      <w:r w:rsidRPr="00002F90">
        <w:t>Folsan 5 mg im Anschluss nach Methotrexat-Gabe</w:t>
      </w:r>
    </w:p>
    <w:p w14:paraId="4A4938C7" w14:textId="77777777" w:rsidR="00002F90" w:rsidRPr="00002F90" w:rsidRDefault="00002F90" w:rsidP="00002F90">
      <w:r w:rsidRPr="00002F90">
        <w:br/>
      </w:r>
      <w:r w:rsidRPr="00002F90">
        <w:br/>
      </w:r>
      <w:r w:rsidRPr="00002F90">
        <w:rPr>
          <w:b/>
          <w:bCs/>
        </w:rPr>
        <w:t>Anamnese</w:t>
      </w:r>
      <w:r w:rsidRPr="00002F90">
        <w:t xml:space="preserve"> </w:t>
      </w:r>
    </w:p>
    <w:p w14:paraId="7613F897" w14:textId="77777777" w:rsidR="00002F90" w:rsidRPr="00002F90" w:rsidRDefault="00823CCC" w:rsidP="00002F90">
      <w:r>
        <w:rPr>
          <w:noProof/>
        </w:rPr>
      </w:r>
      <w:r>
        <w:pict w14:anchorId="04B29A4E">
          <v:rect id="Horizontal Line 5" o:spid="_x0000_s1031"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734B1F0" w14:textId="77777777" w:rsidR="00002F90" w:rsidRPr="00002F90" w:rsidRDefault="00002F90" w:rsidP="00002F90">
      <w:r w:rsidRPr="00002F90">
        <w:t>Der Patient stellt sich erstmalig zur Abklärung einer rheumatologischen Grunderkrankung vor. Er berichtet seit 08/2018 über rezidivierende Arthralgien/Arthritiden im Bereich der MCP-Gelenke beidseits mit einer deutlichen Morgensteifigkeit und einer Einschränkung der Beweglichkeit der Finger. Zusätzlich bestünden seit dieser Zeit Schmerzen im Bereich des gesamten Körpers, vor allem im Bereich der Plantarfaszie, der Achillessehnen, der Kniegelenke und der Ellbogen beidseits. Zusätzlich auch im Bereich der Schultern und Hüften. Ebenso bestünden langjährige Beschwerden im Bereich der unteren LWS, auch in Ruhe. Bisher wurde eine Hochdosis Prednisolon-Therapie vom Hausarzt, beziehungsweise Dr. Tiroch Nürnberg, initiiert. Diese habe jedoch nur eine sehr begrenzte Wirkung gezeigt. Daher wurde im Verlauf zusätzlich Methotrexat (Lantarel) vor etwa fünf Wochen verabreicht. Auch dieses Medikament hat bisher nur eine eingeschränkte Wirkung gezeigt. Aktuell bestünde eine Therapie mit Prednisolon 10 mg. Zusätzlich ist bei dem Patienten seit Jahren eine Psoriasis, vor allem im Bereich des Kopfes und an den Ellbogen, bekannt. Uveitis wird verneint, kein Hinweis auf chronisch entzündliche Darmerkrankung. Die übrige internistische und fachspezifische Anamnese ist unauffällig.</w:t>
      </w:r>
    </w:p>
    <w:p w14:paraId="3B9B3268" w14:textId="77777777" w:rsidR="00002F90" w:rsidRPr="00002F90" w:rsidRDefault="00002F90" w:rsidP="00002F90">
      <w:r w:rsidRPr="00002F90">
        <w:br/>
      </w:r>
      <w:r w:rsidRPr="00002F90">
        <w:br/>
      </w:r>
      <w:r w:rsidRPr="00002F90">
        <w:rPr>
          <w:b/>
          <w:bCs/>
        </w:rPr>
        <w:t>Untersuchungsbefund</w:t>
      </w:r>
      <w:r w:rsidRPr="00002F90">
        <w:t xml:space="preserve"> </w:t>
      </w:r>
    </w:p>
    <w:p w14:paraId="4BE9A11D" w14:textId="77777777" w:rsidR="00002F90" w:rsidRPr="00002F90" w:rsidRDefault="00823CCC" w:rsidP="00002F90">
      <w:r>
        <w:rPr>
          <w:noProof/>
        </w:rPr>
      </w:r>
      <w:r>
        <w:pict w14:anchorId="32D1B103">
          <v:rect id="Horizontal Line 6" o:spid="_x0000_s103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5CD6AD80" w14:textId="77777777" w:rsidR="00002F90" w:rsidRPr="00002F90" w:rsidRDefault="00002F90" w:rsidP="00002F90">
      <w:r w:rsidRPr="00002F90">
        <w:t>60-jähriger Patient in reduziertem AZ und normalem, leicht adipösen EZ.</w:t>
      </w:r>
    </w:p>
    <w:p w14:paraId="32CAEAC8" w14:textId="77777777" w:rsidR="00002F90" w:rsidRPr="00002F90" w:rsidRDefault="00002F90" w:rsidP="00002F90">
      <w:pPr>
        <w:numPr>
          <w:ilvl w:val="0"/>
          <w:numId w:val="2"/>
        </w:numPr>
      </w:pPr>
      <w:r w:rsidRPr="00002F90">
        <w:rPr>
          <w:b/>
          <w:bCs/>
        </w:rPr>
        <w:t xml:space="preserve">LK-Status: </w:t>
      </w:r>
      <w:r w:rsidRPr="00002F90">
        <w:t xml:space="preserve">keine Schwellungen. </w:t>
      </w:r>
    </w:p>
    <w:p w14:paraId="2D9DC7FC" w14:textId="77777777" w:rsidR="00002F90" w:rsidRPr="00002F90" w:rsidRDefault="00002F90" w:rsidP="00002F90">
      <w:pPr>
        <w:numPr>
          <w:ilvl w:val="0"/>
          <w:numId w:val="2"/>
        </w:numPr>
      </w:pPr>
      <w:r w:rsidRPr="00002F90">
        <w:rPr>
          <w:b/>
          <w:bCs/>
        </w:rPr>
        <w:t xml:space="preserve">Gelenke: </w:t>
      </w:r>
      <w:r w:rsidRPr="00002F90">
        <w:t xml:space="preserve">diskrete Schwellung im Bereich MCP-2/3 beidseits, kein direkter Druckschmerz über den Gelenken, Druckschmerz über Plantarfaszie beidseits und leichter Druckschmerz Achillessehnen beidseits. </w:t>
      </w:r>
    </w:p>
    <w:p w14:paraId="190DD369" w14:textId="77777777" w:rsidR="00002F90" w:rsidRPr="00002F90" w:rsidRDefault="00002F90" w:rsidP="00002F90">
      <w:pPr>
        <w:numPr>
          <w:ilvl w:val="0"/>
          <w:numId w:val="2"/>
        </w:numPr>
      </w:pPr>
      <w:r w:rsidRPr="00002F90">
        <w:rPr>
          <w:b/>
          <w:bCs/>
        </w:rPr>
        <w:t xml:space="preserve">Haut: </w:t>
      </w:r>
      <w:r w:rsidRPr="00002F90">
        <w:t xml:space="preserve">psoriasiforme Läsionen am gesamten Kapillitium und diskret an beiden Ellbogen, übriges Integument unauffällig. </w:t>
      </w:r>
    </w:p>
    <w:p w14:paraId="427413D9" w14:textId="77777777" w:rsidR="00002F90" w:rsidRPr="00002F90" w:rsidRDefault="00002F90" w:rsidP="00002F90">
      <w:pPr>
        <w:numPr>
          <w:ilvl w:val="0"/>
          <w:numId w:val="2"/>
        </w:numPr>
      </w:pPr>
      <w:r w:rsidRPr="00002F90">
        <w:rPr>
          <w:b/>
          <w:bCs/>
        </w:rPr>
        <w:t>Neurologie:</w:t>
      </w:r>
      <w:r w:rsidRPr="00002F90">
        <w:t xml:space="preserve"> orientierend unauffällig. </w:t>
      </w:r>
    </w:p>
    <w:p w14:paraId="7A2A4837" w14:textId="77777777" w:rsidR="00002F90" w:rsidRPr="00002F90" w:rsidRDefault="00002F90" w:rsidP="00002F90">
      <w:r w:rsidRPr="00002F90">
        <w:lastRenderedPageBreak/>
        <w:br/>
      </w:r>
      <w:r w:rsidRPr="00002F90">
        <w:br/>
      </w:r>
      <w:r w:rsidRPr="00002F90">
        <w:rPr>
          <w:b/>
          <w:bCs/>
        </w:rPr>
        <w:t>Laborwerte</w:t>
      </w:r>
      <w:r w:rsidRPr="00002F90">
        <w:t xml:space="preserve"> </w:t>
      </w:r>
    </w:p>
    <w:p w14:paraId="432164C2" w14:textId="77777777" w:rsidR="00002F90" w:rsidRPr="00002F90" w:rsidRDefault="00823CCC" w:rsidP="00002F90">
      <w:r>
        <w:rPr>
          <w:noProof/>
        </w:rPr>
      </w:r>
      <w:r>
        <w:pict w14:anchorId="25F2A88E">
          <v:rect id="Horizontal Line 7" o:spid="_x0000_s1029"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73234D33" w14:textId="77777777" w:rsidR="00002F90" w:rsidRPr="00002F90" w:rsidRDefault="00002F90" w:rsidP="00002F90">
      <w:r w:rsidRPr="00002F90">
        <w:rPr>
          <w:b/>
          <w:bCs/>
          <w:u w:val="single"/>
        </w:rPr>
        <w:t>Kleines BB</w:t>
      </w:r>
      <w:r w:rsidRPr="00002F90">
        <w:t>: Hämoglobin 15,9 g/dl (13,5 - 17,5 g/dl), Hämatokrit 46,0 % (39 - 51 %), Erythrozyten 4,96 x 10</w:t>
      </w:r>
      <w:r w:rsidRPr="00002F90">
        <w:rPr>
          <w:vertAlign w:val="superscript"/>
        </w:rPr>
        <w:t>6</w:t>
      </w:r>
      <w:r w:rsidRPr="00002F90">
        <w:t>/µl (4,4 - 5,8 x 10</w:t>
      </w:r>
      <w:r w:rsidRPr="00002F90">
        <w:rPr>
          <w:vertAlign w:val="superscript"/>
        </w:rPr>
        <w:t>6</w:t>
      </w:r>
      <w:r w:rsidRPr="00002F90">
        <w:t>/µl), Leukozyten 8,71 x 10</w:t>
      </w:r>
      <w:r w:rsidRPr="00002F90">
        <w:rPr>
          <w:vertAlign w:val="superscript"/>
        </w:rPr>
        <w:t>3</w:t>
      </w:r>
      <w:r w:rsidRPr="00002F90">
        <w:t>/µl (4 - 10 x 10</w:t>
      </w:r>
      <w:r w:rsidRPr="00002F90">
        <w:rPr>
          <w:vertAlign w:val="superscript"/>
        </w:rPr>
        <w:t>3</w:t>
      </w:r>
      <w:r w:rsidRPr="00002F90">
        <w:t>/µl), Thrombozyten 147 x 10</w:t>
      </w:r>
      <w:r w:rsidRPr="00002F90">
        <w:rPr>
          <w:vertAlign w:val="superscript"/>
        </w:rPr>
        <w:t>3</w:t>
      </w:r>
      <w:r w:rsidRPr="00002F90">
        <w:t>/µl (140 - 350 x 10</w:t>
      </w:r>
      <w:r w:rsidRPr="00002F90">
        <w:rPr>
          <w:vertAlign w:val="superscript"/>
        </w:rPr>
        <w:t>3</w:t>
      </w:r>
      <w:r w:rsidRPr="00002F90">
        <w:t xml:space="preserve">/µl), MCH 32,1 pg (27 - 33 pg), MCHC 34,6 g Hb/dl (32 - 36 g Hb/dl), MCV 92,7 fl (81 - 98 fl), </w:t>
      </w:r>
      <w:r w:rsidRPr="00002F90">
        <w:rPr>
          <w:b/>
          <w:bCs/>
        </w:rPr>
        <w:t>MPV 13,6 fl</w:t>
      </w:r>
      <w:r w:rsidRPr="00002F90">
        <w:t xml:space="preserve"> (7,8 - 11 fl), RDW 13,2 % (11,6 - 16,2 %). </w:t>
      </w:r>
    </w:p>
    <w:p w14:paraId="2C559EDB" w14:textId="77777777" w:rsidR="00002F90" w:rsidRPr="00002F90" w:rsidRDefault="00002F90" w:rsidP="00002F90">
      <w:r w:rsidRPr="00002F90">
        <w:rPr>
          <w:b/>
          <w:bCs/>
          <w:u w:val="single"/>
        </w:rPr>
        <w:t>Diff. BB</w:t>
      </w:r>
      <w:r w:rsidRPr="00002F90">
        <w:t>: Neutrophile (maschinell) 80,2 %, Eosinophile (maschinell) 0,9 %, Basophile (maschinell) 0,7 %, Lymphozyten (maschinell) 11,7 %, Monozyten (maschinell) 6,5 %, Neutrophile (maschinell) Absolut 7,0 x 10</w:t>
      </w:r>
      <w:r w:rsidRPr="00002F90">
        <w:rPr>
          <w:vertAlign w:val="superscript"/>
        </w:rPr>
        <w:t>3</w:t>
      </w:r>
      <w:r w:rsidRPr="00002F90">
        <w:t>/µl (1,6 - 7,8 x 10</w:t>
      </w:r>
      <w:r w:rsidRPr="00002F90">
        <w:rPr>
          <w:vertAlign w:val="superscript"/>
        </w:rPr>
        <w:t>3</w:t>
      </w:r>
      <w:r w:rsidRPr="00002F90">
        <w:t>/µl), Eosinophile (maschinell) Absolut 0,1 x 10</w:t>
      </w:r>
      <w:r w:rsidRPr="00002F90">
        <w:rPr>
          <w:vertAlign w:val="superscript"/>
        </w:rPr>
        <w:t>3</w:t>
      </w:r>
      <w:r w:rsidRPr="00002F90">
        <w:t>/µl (0 - 0,5 x 10</w:t>
      </w:r>
      <w:r w:rsidRPr="00002F90">
        <w:rPr>
          <w:vertAlign w:val="superscript"/>
        </w:rPr>
        <w:t>3</w:t>
      </w:r>
      <w:r w:rsidRPr="00002F90">
        <w:t>/µl), Basophile (maschinell) Absolut 0,1 x 10</w:t>
      </w:r>
      <w:r w:rsidRPr="00002F90">
        <w:rPr>
          <w:vertAlign w:val="superscript"/>
        </w:rPr>
        <w:t>3</w:t>
      </w:r>
      <w:r w:rsidRPr="00002F90">
        <w:t>/µl (0 - 0,1 x 10</w:t>
      </w:r>
      <w:r w:rsidRPr="00002F90">
        <w:rPr>
          <w:vertAlign w:val="superscript"/>
        </w:rPr>
        <w:t>3</w:t>
      </w:r>
      <w:r w:rsidRPr="00002F90">
        <w:t>/µl), Lymphozyten (maschinell) Absolut 1,0 x 10</w:t>
      </w:r>
      <w:r w:rsidRPr="00002F90">
        <w:rPr>
          <w:vertAlign w:val="superscript"/>
        </w:rPr>
        <w:t>3</w:t>
      </w:r>
      <w:r w:rsidRPr="00002F90">
        <w:t>/µl (1 - 3,5 x 10</w:t>
      </w:r>
      <w:r w:rsidRPr="00002F90">
        <w:rPr>
          <w:vertAlign w:val="superscript"/>
        </w:rPr>
        <w:t>3</w:t>
      </w:r>
      <w:r w:rsidRPr="00002F90">
        <w:t>/µl), Monozyten (maschinell) Absolut 0,6 x 10</w:t>
      </w:r>
      <w:r w:rsidRPr="00002F90">
        <w:rPr>
          <w:vertAlign w:val="superscript"/>
        </w:rPr>
        <w:t>3</w:t>
      </w:r>
      <w:r w:rsidRPr="00002F90">
        <w:t>/µl (0,1 - 0,9 x 10</w:t>
      </w:r>
      <w:r w:rsidRPr="00002F90">
        <w:rPr>
          <w:vertAlign w:val="superscript"/>
        </w:rPr>
        <w:t>3</w:t>
      </w:r>
      <w:r w:rsidRPr="00002F90">
        <w:t xml:space="preserve">/µl), </w:t>
      </w:r>
    </w:p>
    <w:p w14:paraId="6BBBFED0" w14:textId="77777777" w:rsidR="00002F90" w:rsidRPr="00002F90" w:rsidRDefault="00002F90" w:rsidP="00002F90">
      <w:r w:rsidRPr="00002F90">
        <w:rPr>
          <w:b/>
          <w:bCs/>
          <w:u w:val="single"/>
        </w:rPr>
        <w:t>Serumchemie</w:t>
      </w:r>
      <w:r w:rsidRPr="00002F90">
        <w:t xml:space="preserve">: Kreatinin 1,03 mg/dl (0,67 - 1,17 mg/dl), eGFR (Berechnung nach CKD-EPI) 79 ml/min, Harnsäure 5,1 mg/dl (3,4 - 7,0 mg/dl), Bilirubin gesamt 0,6 mg/dl (&lt; 1,1 mg/dl), AST / GOT 25 U/l (&lt; 50 U/l), ALT / GPT 27 U/l (&lt; 50 U/l), Gamma-GT 33 U/l (&lt; 60 U/l), </w:t>
      </w:r>
      <w:r w:rsidRPr="00002F90">
        <w:rPr>
          <w:b/>
          <w:bCs/>
        </w:rPr>
        <w:t>LDH 389 U/l</w:t>
      </w:r>
      <w:r w:rsidRPr="00002F90">
        <w:t xml:space="preserve"> (&lt; 250 U/l). </w:t>
      </w:r>
    </w:p>
    <w:p w14:paraId="262B67CD" w14:textId="77777777" w:rsidR="00002F90" w:rsidRPr="00002F90" w:rsidRDefault="00002F90" w:rsidP="00002F90">
      <w:r w:rsidRPr="00002F90">
        <w:rPr>
          <w:b/>
          <w:bCs/>
          <w:u w:val="single"/>
        </w:rPr>
        <w:t>Sonstige Serumchemie</w:t>
      </w:r>
      <w:r w:rsidRPr="00002F90">
        <w:t xml:space="preserve">: Creatin-Kinase (MB) i. P. nicht möglich, Creatin-Kinase 64 U/l (&lt; 190 U/l), Harnstoff 39 mg/dl (17 - 43 mg/dl), Homocystein 11,3 umol/l (5 - 15 umol/l). hämolytisch schwach hämolytisch, </w:t>
      </w:r>
    </w:p>
    <w:p w14:paraId="6A39EF39" w14:textId="77777777" w:rsidR="00002F90" w:rsidRPr="00002F90" w:rsidRDefault="00002F90" w:rsidP="00002F90">
      <w:r w:rsidRPr="00002F90">
        <w:rPr>
          <w:b/>
          <w:bCs/>
          <w:u w:val="single"/>
        </w:rPr>
        <w:t>Urin</w:t>
      </w:r>
      <w:r w:rsidRPr="00002F90">
        <w:t xml:space="preserve">: U-spezifisches Gewicht 1,014 g/ml, U-PH-Wert 5,0 (4,8 - 7,4), U-Eiweiß qual. - (neg), U-Nitrit qual. - (neg), U-Leukozyten qual. - (neg), U-Glucose qual. - (neg), U-Ketone qual. - (neg), U-Bilirubin qual. - (neg), U-Blut qual. - (neg). </w:t>
      </w:r>
    </w:p>
    <w:p w14:paraId="4B9B500C" w14:textId="77777777" w:rsidR="00002F90" w:rsidRPr="00002F90" w:rsidRDefault="00002F90" w:rsidP="00002F90">
      <w:r w:rsidRPr="00002F90">
        <w:rPr>
          <w:b/>
          <w:bCs/>
          <w:u w:val="single"/>
        </w:rPr>
        <w:t>Schilddrüsenwerte</w:t>
      </w:r>
      <w:r w:rsidRPr="00002F90">
        <w:t xml:space="preserve">: TSH-basal 1,05 mlU/l (0,20 - 4,00 mlU/l). </w:t>
      </w:r>
    </w:p>
    <w:p w14:paraId="205ABD3E" w14:textId="77777777" w:rsidR="00002F90" w:rsidRPr="00002F90" w:rsidRDefault="00002F90" w:rsidP="00002F90">
      <w:r w:rsidRPr="00002F90">
        <w:rPr>
          <w:b/>
          <w:bCs/>
          <w:u w:val="single"/>
        </w:rPr>
        <w:t>Immunologie</w:t>
      </w:r>
      <w:r w:rsidRPr="00002F90">
        <w:t xml:space="preserve">: Ak gegen AMA-M2 o, Ak gegen Ribosomales-P-Protein o, Ak gegen Histone o, Ak gegen Nukleosomen o, Ak gegen PCNA o, Ak gegen Centromer B o, Ak gegen Jo-1 o, Ak gegen PM-Scl o, Ak gegen Scl-70 o, Ak gegen SS-B o, Ak gegen Ro-52 (52 kDa) o, Ak gegen SS-A nativ (60 kDa) o, Ak gegen Sm o, Ak gegen DFS70 o, AK gegen Mi-2 o, AK gegen Ku o, Ak gegen RNP/Sm o, Quantiferon-TB negativ (negativ = M. tuberculosis-Infektion NICHT wahrscheinlich (falsch negativ möglich z.B. bei Immunsuppression, Lymphopenie oder frischer Infektion) positiv = M. tuberculosis-Infektion wahrscheinlich (positive Reaktion auch möglich bei Infektion mit M. kansasii, M. szulgai, M. marinum) unschlüssig = Ergebnis für Tb-Antigenreaktion unschlüssig), NIL 0,03 IE/ml, TB1 CD4+ Zellen 0,03 IE/ml, TB2 CD4+/CD8+ Zellen 0,02 IE/ml, MIT &gt;10 IE/ml, Rheumafaktor IgG &lt;10,00 IE/ml (0 - &lt;15 IE/ml), CCP zykl. zitrul. Peptide 1,68 RE/ml (&lt; 5 RE/ml), Anti-MCV 1,9 U/ml (&lt; 20 U/ml), ANA auf Hep2 negativ, </w:t>
      </w:r>
      <w:r w:rsidRPr="00002F90">
        <w:lastRenderedPageBreak/>
        <w:t xml:space="preserve">Komplement C3 92,1 mg/dl (81,1 - 157 mg/dl), Komplement C4 17,5 mg/dl (12,9 - 39,2 mg/dl), Neutroph.cytopl. AK c - Suchtest negativ (negativ), Neutroph.cytopl. AK p - Suchtest negativ (negativ), ACE 9,0 U/l (8,3 - 21,4 U/l), C-reaktives Protein &lt;5,2 mg/l (-&lt;5,2 mg/l), Ferritin 205,4 ng/ml, TNF alpha 6,1 pg/ml (0,1 - 8,1 pg/ml), Interleukin 6 &lt;2,0 pg/ml (0,1 - 15,0 pg/ml), </w:t>
      </w:r>
    </w:p>
    <w:p w14:paraId="541AC80B" w14:textId="77777777" w:rsidR="00002F90" w:rsidRPr="00002F90" w:rsidRDefault="00002F90" w:rsidP="00002F90">
      <w:r w:rsidRPr="00002F90">
        <w:rPr>
          <w:b/>
          <w:bCs/>
          <w:u w:val="single"/>
        </w:rPr>
        <w:t>Borrelien-Serologie</w:t>
      </w:r>
      <w:r w:rsidRPr="00002F90">
        <w:t xml:space="preserve">:  Unspezifisches IgG-WB-Bandenmuster bei positivem Screening, Formell negativ aber auffällige spezifische Bande, Unspezifisches IgM-WB-Bandenmuster bei grenzwertigem Screening,, Borrelien IgG ELISA i.S. 31,6 U/ml (Negativ &lt; 20 U/ml, Grenz. 20 - 24 U/ml, Positiv &gt; 24 U/ml), Borrelien IgM ELISA i.S. 23,1 U/ml (Negativ &lt; 20 U/ml, Grenz. 20 - 24 U/ml, Positiv &gt; 24 U/ml). </w:t>
      </w:r>
      <w:r w:rsidRPr="00002F90">
        <w:br/>
      </w:r>
      <w:r w:rsidRPr="00002F90">
        <w:rPr>
          <w:u w:val="single"/>
        </w:rPr>
        <w:t>IgG-Line</w:t>
      </w:r>
      <w:r w:rsidRPr="00002F90">
        <w:t xml:space="preserve">: p100 +++, VlsE -, p58 -, p41 -, p39 -, OspA -, OspC B. sensu stricto -, OspC B. afzelii -, OspC B. garinii -, OspC B. spielmanii -, P18 B.sensu stricto -, P18 B.afzelii -, P18 B.bavariensis -, P18 B.garinii -, P18 B.spielmanii -. </w:t>
      </w:r>
      <w:r w:rsidRPr="00002F90">
        <w:br/>
      </w:r>
      <w:r w:rsidRPr="00002F90">
        <w:rPr>
          <w:u w:val="single"/>
        </w:rPr>
        <w:t>IgM-Line</w:t>
      </w:r>
      <w:r w:rsidRPr="00002F90">
        <w:t xml:space="preserve">: p100 -, VlsE -, p58 -, p41 -, p39 +/-, OspA -, OspC B. sensu stricto -, OspC B. afzelii -, OspC B. garinii -, OspC B. spielmanii -, P18 B.sensu stricto -, P18 B.afzelii -, P18 B.bavariensis -, P18 B.garinii -, P18 B.spielmanii -. </w:t>
      </w:r>
    </w:p>
    <w:p w14:paraId="227923A4" w14:textId="77777777" w:rsidR="00002F90" w:rsidRPr="00002F90" w:rsidRDefault="00002F90" w:rsidP="00002F90">
      <w:r w:rsidRPr="00002F90">
        <w:rPr>
          <w:b/>
          <w:bCs/>
          <w:u w:val="single"/>
        </w:rPr>
        <w:t>Virologie</w:t>
      </w:r>
      <w:r w:rsidRPr="00002F90">
        <w:t xml:space="preserve">: HBs-Antigen negativ, Hepatitis B-anti HBs 14,5 IE/l, Hepatitis B-anti HBc negativ, Hepatitis B-anti HBc-IgM negativ, HCV-Antikörper negativ, </w:t>
      </w:r>
    </w:p>
    <w:p w14:paraId="1C5915A9" w14:textId="77777777" w:rsidR="00002F90" w:rsidRPr="00002F90" w:rsidRDefault="00002F90" w:rsidP="00002F90">
      <w:r w:rsidRPr="00002F90">
        <w:rPr>
          <w:b/>
          <w:bCs/>
          <w:u w:val="single"/>
        </w:rPr>
        <w:t>Sonstige Hämatologie</w:t>
      </w:r>
      <w:r w:rsidRPr="00002F90">
        <w:t xml:space="preserve">: Diff.-Bemerkung Verdacht auf Linksverschiebung, </w:t>
      </w:r>
    </w:p>
    <w:p w14:paraId="20A0A806" w14:textId="77777777" w:rsidR="00002F90" w:rsidRPr="00002F90" w:rsidRDefault="00002F90" w:rsidP="00002F90">
      <w:r w:rsidRPr="00002F90">
        <w:br/>
      </w:r>
      <w:r w:rsidRPr="00002F90">
        <w:br/>
      </w:r>
      <w:r w:rsidRPr="00002F90">
        <w:rPr>
          <w:b/>
          <w:bCs/>
        </w:rPr>
        <w:t>Befunde</w:t>
      </w:r>
      <w:r w:rsidRPr="00002F90">
        <w:t xml:space="preserve"> </w:t>
      </w:r>
    </w:p>
    <w:p w14:paraId="4E5AA76D" w14:textId="77777777" w:rsidR="00002F90" w:rsidRPr="00002F90" w:rsidRDefault="00823CCC" w:rsidP="00002F90">
      <w:r>
        <w:rPr>
          <w:noProof/>
        </w:rPr>
      </w:r>
      <w:r>
        <w:pict w14:anchorId="634BDBA7">
          <v:rect id="Horizontal Line 8" o:spid="_x0000_s1028"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06D5D1C0" w14:textId="77777777" w:rsidR="00002F90" w:rsidRPr="00002F90" w:rsidRDefault="00002F90" w:rsidP="00002F90">
      <w:r w:rsidRPr="00002F90">
        <w:rPr>
          <w:b/>
          <w:bCs/>
          <w:u w:val="single"/>
        </w:rPr>
        <w:t>FAPI PET/CT mit CT low dose vom 26.11.2019:</w:t>
      </w:r>
      <w:r w:rsidRPr="00002F90">
        <w:t> </w:t>
      </w:r>
    </w:p>
    <w:p w14:paraId="53DC5B5C" w14:textId="77777777" w:rsidR="00002F90" w:rsidRPr="00002F90" w:rsidRDefault="00002F90" w:rsidP="00002F90">
      <w:r w:rsidRPr="00002F90">
        <w:t>Befund: Es liegen keine Voruntersuchungen zum Vergleich vor. Schädel: Symmetrisches nicht erweitertes Ventrikelsystem, keine Mittellinienverlagerung, keine soweit mit dieser Technik beurteilbare Raumforderung. Physiologische Verteilung des Radiopharmakons. Nasennebenhöhlen und Mastoidzellen frei pneumatisiert. Halsweichteile: Symmetrische Darstellung der zervikalen Weichteile. Kein Nachweis suspekt vergrößerter oder Radiopharmakon mehrspeichernder Lymphknoten. Unauffällige Darstellung der Schilddrüse. Thorax: Keine suspekt vergrößerten oder pathologisch Radiopharmakon mehrspeichernde Lymphknoten periclaviculär, axillär und hilär. Im oberen Mediastinum rechttseitig paratracheal Läsion von ca. 2,3x2,4cm (Bild 64) ohne Nuklidmehranreicherung mit wasseräquivalenten Dichtewerten DD Perikardzyste DD Perikardduplikatur. Kein Perikard- oder Pleuraerguss. Langstreckige Dilatation des Oesophagus. Im Lungenfenster kleinere noduläre, intrapulmonale Verdichtungen im rechten Unterlappen (Bild 82 0,4 cm) und punktförmig im linken Unterlappen (Bild 83). Keine malignomsuspekten Rundherde, kein Infiltrat. Abdomen / Becken: Soweit in low-</w:t>
      </w:r>
      <w:r w:rsidRPr="00002F90">
        <w:lastRenderedPageBreak/>
        <w:t xml:space="preserve">dose und Nativtechnik beurteilbar unauffällige Darstellung der parenchymatösen abdominellen Organe, der Nebennieren, Nieren, Nierenbecken und ableitenden Harnwege. Kein Nachweis pathologisch konfigurierter, vergrößerter oder vermehrt Radiopharmakon aufnehmender Lymphknoten mesenterial, paraaortal, retroperitoneal iliacal oder inguinal. Keine freie Luft, keine freie Flüssigkeit. Ossäres System+ Beine/Arme: Hypodense Läsion im Vastus medialis des M. quadriceps femoris rechts mit fettäquivalenten Dichtewerten mit ca. 2,3x2,4cm (Bild 214), DD Lipom. Wirbelsäule/Becken: Flau akzentuierte Anreicherung des Radiopharmakons in den linksseitigen Facettengelenken der LWS betont auf Höhe LWK 3/4/5. Ct-morphologisch primär osteochondrotische Veränderungen dieser Wirbelsäulenabschnitte. Keine relevante Mehranreicherung im ISG bds.. Einzelne Bandscheibenherniationen in der mittleren BWS. Synoviale Mehrspeicherung des Radiopharmakons in beiden Kniegelenken. Geringer Erguss bds. im Kniegelenk, rechtsbetont. Medial betonte Gelenkspaltverschmälerung. Dezente Verkalkungen der Menisci bds.. Zeichen einer Ansatztendinopathie patellar. Fuß rechts: Krallenzehendeformität. Ringförmige Nuklidmehrspeicherung um das distale Os metatarsale D1 bei ct-morphologisch kleineren Geröllzysten, angrenzendes Sesambein im Verlauf der Großzehenflexorensehne. Fuß links: Krallenzehendeformität. Kleinere erosive/degenerative Veränderungen an der distalen Fibula Malleolus lateralis gelenkassoziiert. Bandförmige Nuklidmehrspeicherung im Art. fibotalare sowie Art. subtalaris lateralseitig betont. Keine Mehrspeicherung im Verlauf der Achillessehne. Zirkuläre Mehranreicherung des Radiopharmakons um das distale Os metatarsale 1 mit ct-morphologisch gelenkassoziierten erosiven/degenerativen Veränderungen sowie im Metotarsalphalangealgelenk D2, hier ohne eindeutige ct-morphologische Veränderungen. Hand rechts: Regelrechte Stellung des erfassten Skelettsystem. Geringe degenerative Veränderungen in den distalen Os metacarpale D1-D4. Flaue Mehranreicherung des Radiopharmakons im Radiocarpalgelenk dorsalseitig. Verkalkung der Daumenextensorensehne. Zusätzlich geringe Mehrspeicherung im Verlauf der Flexorensehnen D3 auf Höhe des proximalen Os phalangeale. Geringe a.e. degenerativ bedingte Mehranreicherungen im Daumensattelgelenk sowie im MCP D1. Hand links: Regelrechte Stellung des erfassten Skelettsystem. Kräftige zirkulär gesteigerte Nuklidspeicherung im Radiocarpal- und Radiolulnargelenk bzw. am proc. styloideus der Ulna, ct-morphologisch zystische Veränderung in der distalen Ulna sowie im proximalen Os capitatum. Dehiszenz Os scaphoideum zu Os lunatum, mögliche SL-Bandverletzung. Mehrspeicherung in den Carpocarpalgelenken betont zwischen Scaphoid und Lunatum sowie zwischen Triquetrum und Hamatum. Geringe ringförmige Mehrspeicherung im PIP D2. </w:t>
      </w:r>
    </w:p>
    <w:p w14:paraId="47A9C37F" w14:textId="77777777" w:rsidR="00002F90" w:rsidRPr="00002F90" w:rsidRDefault="00002F90" w:rsidP="00002F90">
      <w:r w:rsidRPr="00002F90">
        <w:t xml:space="preserve">Beurteilung: Primär degenerative imponierende Veränderungen mit flauer Tracerspeicherung in der LWS, Kniegelenken bds., Daumensattelgelenk bzw. MCP D1 rechts, Radiocarpal-, Radioulnar- und Carpocarpalgelenke Hand links (V.a. SL-Band-Verletzung), sowie in OSG/USG Fuß links. Zusätzlich geringe Mehrspeicherung im </w:t>
      </w:r>
      <w:r w:rsidRPr="00002F90">
        <w:lastRenderedPageBreak/>
        <w:t>Verlauf der Flexorensehnen D3 Hand rechts. Mehrspeicherungen an den MTP D1/D2 beider Füße und PIP D2 Hand links. Keine Mehrspeicherung im Verlauf der Achillessehnen bzw. Plantarfaszien. NB: Langstreckige Dilatation des Oesophagus, H.a. Oeosphagushypotonie?</w:t>
      </w:r>
    </w:p>
    <w:p w14:paraId="56BDA844" w14:textId="77777777" w:rsidR="00002F90" w:rsidRPr="00002F90" w:rsidRDefault="00002F90" w:rsidP="00002F90"/>
    <w:p w14:paraId="44ED1D55" w14:textId="77777777" w:rsidR="00002F90" w:rsidRPr="00002F90" w:rsidRDefault="00002F90" w:rsidP="00002F90">
      <w:r w:rsidRPr="00002F90">
        <w:rPr>
          <w:b/>
          <w:bCs/>
          <w:u w:val="single"/>
        </w:rPr>
        <w:t>Hand-MRT rechts nativ und mit KM vom 19.12.2019:</w:t>
      </w:r>
      <w:r w:rsidRPr="00002F90">
        <w:t> </w:t>
      </w:r>
    </w:p>
    <w:p w14:paraId="578B1D8B" w14:textId="77777777" w:rsidR="00002F90" w:rsidRPr="00002F90" w:rsidRDefault="00002F90" w:rsidP="00002F90">
      <w:r w:rsidRPr="00002F90">
        <w:t xml:space="preserve">Befund: Keine Voraufnahmen zum Vergleich. Glatt scharf begrenzte DIP-Gelenke, keine rundlichen signalgesteigerten Läsionen, keine synoviale Kontrastmittelaufnahme um die DIP-Gelenke. Glatt scharf begrenzte DIP-Gelenke, schmale synoviale Kontrastmittelaufnahme um das PIP-Gelenke 2-4 (Bild 20 T1 TSE fat-sat axial post KM). Scharf begrenzte Metakarpophalangealgelenke, einzelne rundliche signalgesteigerte Läsionen, im Köpfchen Os metacarpale D zwei und drei (Bild 6 T2w TIRM koronar). Synoviale Kontrastmittelaufnahme um die Metakarpophalangealgelenke 2-5 (Bild 33 T1 TSE fat-sat axial). Zahlreiche rundliche signalgesteigerte Läsionen in der Ossa Carpalia in den fettgesättigten Sequenzen und nach Kontrastmittelgabe, z.B. im Os pisiforme (Bild 11 T1 SE fat-sat koronar post KM). Zahlreiche rundliche subchondrale signalgesteigerte Läsionen im distalen Radius und der distalen Ulna (Bild 10 T1 SE fat-sat koronar post KM). Nach Kontrastmittelgabe kräftige synoviale Kontrastmittelaufnahme um den gesamten Carpus, um den Processus styloideus ulnae (Bild 58 T1 TSE fat-sat axial post KM). Langstreckige synoviale Kontrastmittelaufnahme um die Beugesehnen D2-4 (Bild 13 T1 SE fat-sat koronar post KM) von der Beugesehnenloge auf Höhe des Carpus bis auf Höhe der Mittelglieder reichend. Kräftige Kontrastmittelaufnahme um die Strecksehnenfächer auf Höhe des Carpus (Bild 57 T1 TSE fat-sat axial post KM). </w:t>
      </w:r>
    </w:p>
    <w:p w14:paraId="0EF94B45" w14:textId="77777777" w:rsidR="00002F90" w:rsidRPr="00002F90" w:rsidRDefault="00002F90" w:rsidP="00002F90">
      <w:r w:rsidRPr="00002F90">
        <w:t>Beurteilung: Synovialitis mehrerer PIP und Metakarpophalangealgelenke, vereinzelt kleinere Erosionen. Kräftige Synovialitis um den Carpus und zahlreiche Erosionen. Langstreckige Tenovaginitis der Beugesehne D2 bis 4 und um die Strecksehnenfächer auf Höhe des Carpus.</w:t>
      </w:r>
    </w:p>
    <w:p w14:paraId="0CC94D84" w14:textId="77777777" w:rsidR="00002F90" w:rsidRPr="00002F90" w:rsidRDefault="00002F90" w:rsidP="00002F90"/>
    <w:p w14:paraId="21AF8451" w14:textId="77777777" w:rsidR="00002F90" w:rsidRPr="00002F90" w:rsidRDefault="00002F90" w:rsidP="00002F90">
      <w:r w:rsidRPr="00002F90">
        <w:rPr>
          <w:b/>
          <w:bCs/>
          <w:u w:val="single"/>
        </w:rPr>
        <w:t>LWS-Sacrum-MRT nativ und mit KM vom 23.12.2019:</w:t>
      </w:r>
      <w:r w:rsidRPr="00002F90">
        <w:t> </w:t>
      </w:r>
    </w:p>
    <w:p w14:paraId="6573D637" w14:textId="77777777" w:rsidR="00002F90" w:rsidRPr="00002F90" w:rsidRDefault="00002F90" w:rsidP="00002F90">
      <w:r w:rsidRPr="00002F90">
        <w:t xml:space="preserve">Befund: Keine Voraufnahmen. Regelrechte LWS-Lordose. Keine segmentale Fehlstellung. Keine Höhenminderung der BWK 11-LWK 5. Signalreiche und kontrastmittelaufnehmende Läsion im BWK 11, am ehesten einem Wirbelkörperhämangiom entsprechend. Höhengeminderte Zwischenwirbelräume LWK 2-4 mit breitbasigen Bandscheibenprotrusionen. Aufgebrauchter Zwischenwirbelraum LWK 4/5 mit angrenzender Mehrverfettung. Keine kontrastmittelaufnehmenden knöchernen Läsionen. Akzentuierte Kontrastmittelaufnahme um das Facettengelenk LWK 4/5 links (Bild 12 sag). Keine Signalalterationen des miterfassten Myelons. Conus </w:t>
      </w:r>
      <w:r w:rsidRPr="00002F90">
        <w:lastRenderedPageBreak/>
        <w:t xml:space="preserve">medullaris auf Höhe LWK 1. Kontinuierliche Kaudafasern. Unauffällige iliosakralen Gelenkflächen. Keine Mehrverfettung oder Sklerosierung subchondral. Keine synoviale Kontrastmittelaufnahme, keine Erosionen. Fleckige Signalalterationen des Beckenskeletts, am ehesten bei Osteopenie. Kontrastmittelaufnahme des posterioren Schenkelhalses am Übergang zum Femurkopf rechts (Bild 31 T1w fs nach KM ISG). </w:t>
      </w:r>
    </w:p>
    <w:p w14:paraId="27EDDE10" w14:textId="77777777" w:rsidR="00002F90" w:rsidRPr="00002F90" w:rsidRDefault="00002F90" w:rsidP="00002F90">
      <w:r w:rsidRPr="00002F90">
        <w:t>Beurteilung: Keine lumbale Enthesitis oder Sakroiliitis. Diskrete Synovialitis des Facettengelenkes LWK 4/5 links, am ehesten degenerativer Genese bei nach kaudal zunehmende Osteochondrosen. In nur einer Serie miterfasste Kontrastmittelaufnahme am proximalen Femur rechts unklarer Genese.</w:t>
      </w:r>
    </w:p>
    <w:p w14:paraId="6B6CDCBC" w14:textId="77777777" w:rsidR="00002F90" w:rsidRPr="00002F90" w:rsidRDefault="00002F90" w:rsidP="00002F90">
      <w:r w:rsidRPr="00002F90">
        <w:br/>
      </w:r>
      <w:r w:rsidRPr="00002F90">
        <w:br/>
      </w:r>
      <w:r w:rsidRPr="00002F90">
        <w:rPr>
          <w:b/>
          <w:bCs/>
        </w:rPr>
        <w:t>Verlauf und Beurteilung</w:t>
      </w:r>
      <w:r w:rsidRPr="00002F90">
        <w:t xml:space="preserve"> </w:t>
      </w:r>
    </w:p>
    <w:p w14:paraId="4A5CF8BB" w14:textId="77777777" w:rsidR="00002F90" w:rsidRPr="00002F90" w:rsidRDefault="00823CCC" w:rsidP="00002F90">
      <w:r>
        <w:rPr>
          <w:noProof/>
        </w:rPr>
      </w:r>
      <w:r>
        <w:pict w14:anchorId="38DEE05C">
          <v:rect id="Horizontal Line 9" o:spid="_x0000_s1027"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6BBEEF14" w14:textId="77777777" w:rsidR="00002F90" w:rsidRPr="00002F90" w:rsidRDefault="00002F90" w:rsidP="00002F90">
      <w:r w:rsidRPr="00002F90">
        <w:t>Laborchemisch keine erhöhten systemischen Entzündungsparameter, Auto-Antikörper-Status unauffällig. In der Zusammenschau der Befunde gehen wir von einer Psoriasisarthritis aus. Im Verlauf zeigte sich auch unter Methotrexat eine persistierende Beschwerdesymptomatik, sowohl im Bereich der Haut, als auch im muskuloskelettalen Bereich im Sinne von rezidivierenden Arthritiden und Enthesitiden. Wir empfehlen daher eine Therapie-Eskalation auf Secukinumab 150 mg zunächst 5x wöchentlich, dann monatliche Gaben under Kontrollen nach Maßgabe der DGRh. Eine Infobroschüre der DGRh wurde dem Patienten mitgegeben. Eine Wiedervorstellung zur rheumatologischen Verlaufskontrolle wurde für in drei Monaten vereinbart, bei Bedarf auch nach telefonischer Rücksprache früher. Wir danken für die Vorstellung des Patienten und stehen für Rückfragen gerne zur Verfügung.</w:t>
      </w:r>
    </w:p>
    <w:p w14:paraId="16E6C79B" w14:textId="77777777" w:rsidR="00002F90" w:rsidRPr="00002F90" w:rsidRDefault="00002F90" w:rsidP="00002F90">
      <w:r w:rsidRPr="00002F90">
        <w:br/>
      </w:r>
      <w:r w:rsidRPr="00002F90">
        <w:br/>
      </w:r>
      <w:r w:rsidRPr="00002F90">
        <w:rPr>
          <w:b/>
          <w:bCs/>
        </w:rPr>
        <w:t>Schluss</w:t>
      </w:r>
      <w:r w:rsidRPr="00002F90">
        <w:t xml:space="preserve"> </w:t>
      </w:r>
    </w:p>
    <w:p w14:paraId="2E844A2B" w14:textId="77777777" w:rsidR="00002F90" w:rsidRPr="00002F90" w:rsidRDefault="00823CCC" w:rsidP="00002F90">
      <w:r>
        <w:rPr>
          <w:noProof/>
        </w:rPr>
      </w:r>
      <w:r>
        <w:pict w14:anchorId="39C62ACE">
          <v:rect id="Horizontal Line 10" o:spid="_x0000_s1026"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" fillcolor="#586f9e" stroked="f">
            <o:lock v:ext="edit" rotation="t" aspectratio="t" verticies="t" text="t" shapetype="t"/>
            <w10:anchorlock/>
          </v:rect>
        </w:pict>
      </w:r>
    </w:p>
    <w:p w14:paraId="241E2AB1" w14:textId="77777777" w:rsidR="00002F90" w:rsidRPr="00002F90" w:rsidRDefault="00002F90" w:rsidP="00002F90">
      <w:r w:rsidRPr="00002F90">
        <w:t>Mit freundlichen kollegialen Grüßen</w:t>
      </w:r>
    </w:p>
    <w:p w14:paraId="34587E53" w14:textId="77777777" w:rsidR="00002F90" w:rsidRPr="00002F90" w:rsidRDefault="00002F90" w:rsidP="00002F90">
      <w:r w:rsidRPr="00002F90">
        <w:t> </w:t>
      </w:r>
    </w:p>
    <w:p w14:paraId="41F30E91" w14:textId="77777777" w:rsidR="00002F90" w:rsidRPr="00002F90" w:rsidRDefault="00002F90" w:rsidP="00002F90">
      <w:r w:rsidRPr="00002F90">
        <w:t> </w:t>
      </w:r>
    </w:p>
    <w:p w14:paraId="2482B768" w14:textId="77777777" w:rsidR="00002F90" w:rsidRPr="00002F90" w:rsidRDefault="00002F90" w:rsidP="00002F90">
      <w:r w:rsidRPr="00002F90">
        <w:t> </w:t>
      </w:r>
    </w:p>
    <w:p w14:paraId="45C2C562" w14:textId="77777777" w:rsidR="00002F90" w:rsidRPr="00002F90" w:rsidRDefault="00002F90" w:rsidP="00002F90">
      <w:r w:rsidRPr="00002F90">
        <w:t> </w:t>
      </w:r>
    </w:p>
    <w:tbl>
      <w:tblPr>
        <w:tblW w:w="5000" w:type="pct"/>
        <w:tblCellMar>
          <w:left w:w="0" w:type="dxa"/>
          <w:right w:w="0" w:type="dxa"/>
        </w:tblCellMar>
        <w:tblLook w:val="04A0" w:firstRow="1" w:lastRow="0" w:firstColumn="1" w:lastColumn="0" w:noHBand="0" w:noVBand="1"/>
      </w:tblPr>
      <w:tblGrid>
        <w:gridCol w:w="3084"/>
        <w:gridCol w:w="2994"/>
        <w:gridCol w:w="2994"/>
      </w:tblGrid>
      <w:tr w:rsidR="00002F90" w:rsidRPr="00002F90" w14:paraId="2DF9B51E" w14:textId="77777777" w:rsidTr="00002F90">
        <w:tc>
          <w:tcPr>
            <w:tcW w:w="1700" w:type="pct"/>
            <w:hideMark/>
          </w:tcPr>
          <w:p w14:paraId="5C1B07B5" w14:textId="77777777" w:rsidR="00002F90" w:rsidRPr="00002F90" w:rsidRDefault="00002F90" w:rsidP="00002F90">
            <w:r w:rsidRPr="00002F90">
              <w:t>Dr. med. A. Ramming</w:t>
            </w:r>
          </w:p>
        </w:tc>
        <w:tc>
          <w:tcPr>
            <w:tcW w:w="1650" w:type="pct"/>
            <w:hideMark/>
          </w:tcPr>
          <w:p w14:paraId="1403930F" w14:textId="77777777" w:rsidR="00002F90" w:rsidRPr="00002F90" w:rsidRDefault="00002F90" w:rsidP="00002F90">
            <w:r w:rsidRPr="00002F90">
              <w:t> </w:t>
            </w:r>
          </w:p>
        </w:tc>
        <w:tc>
          <w:tcPr>
            <w:tcW w:w="1650" w:type="pct"/>
            <w:hideMark/>
          </w:tcPr>
          <w:p w14:paraId="682D53EE" w14:textId="77777777" w:rsidR="00002F90" w:rsidRPr="00002F90" w:rsidRDefault="00002F90" w:rsidP="00002F90">
            <w:r w:rsidRPr="00002F90">
              <w:t> </w:t>
            </w:r>
          </w:p>
        </w:tc>
      </w:tr>
      <w:tr w:rsidR="00002F90" w:rsidRPr="00002F90" w14:paraId="494910E4" w14:textId="77777777" w:rsidTr="00002F90">
        <w:tc>
          <w:tcPr>
            <w:tcW w:w="1700" w:type="pct"/>
            <w:hideMark/>
          </w:tcPr>
          <w:p w14:paraId="5FA609B4" w14:textId="77777777" w:rsidR="00002F90" w:rsidRPr="00002F90" w:rsidRDefault="00002F90" w:rsidP="00002F90">
            <w:r w:rsidRPr="00002F90">
              <w:t> </w:t>
            </w:r>
          </w:p>
          <w:p w14:paraId="7FCF1501" w14:textId="77777777" w:rsidR="00002F90" w:rsidRPr="00002F90" w:rsidRDefault="00002F90" w:rsidP="00002F90">
            <w:r w:rsidRPr="00002F90">
              <w:lastRenderedPageBreak/>
              <w:t>Oberarzt der Klinik</w:t>
            </w:r>
          </w:p>
          <w:p w14:paraId="4665C6AB" w14:textId="77777777" w:rsidR="00002F90" w:rsidRPr="00002F90" w:rsidRDefault="00002F90" w:rsidP="00002F90">
            <w:r w:rsidRPr="00002F90">
              <w:t>Leitung Bereich Triage/SpA/PsA-Sprechstunden</w:t>
            </w:r>
          </w:p>
        </w:tc>
        <w:tc>
          <w:tcPr>
            <w:tcW w:w="1650" w:type="pct"/>
            <w:hideMark/>
          </w:tcPr>
          <w:p w14:paraId="498358F9" w14:textId="77777777" w:rsidR="00002F90" w:rsidRPr="00002F90" w:rsidRDefault="00002F90" w:rsidP="00002F90">
            <w:r w:rsidRPr="00002F90">
              <w:lastRenderedPageBreak/>
              <w:t> </w:t>
            </w:r>
          </w:p>
        </w:tc>
        <w:tc>
          <w:tcPr>
            <w:tcW w:w="1650" w:type="pct"/>
            <w:hideMark/>
          </w:tcPr>
          <w:p w14:paraId="4EF933E7" w14:textId="77777777" w:rsidR="00002F90" w:rsidRPr="00002F90" w:rsidRDefault="00002F90" w:rsidP="00002F90">
            <w:r w:rsidRPr="00002F90">
              <w:t> </w:t>
            </w:r>
          </w:p>
        </w:tc>
      </w:tr>
    </w:tbl>
    <w:p w14:paraId="7EF61EB6" w14:textId="1319CADB" w:rsidR="00453D1E" w:rsidRDefault="00002F90">
      <w:r w:rsidRPr="00002F90">
        <w:br/>
      </w:r>
    </w:p>
    <w:sectPr w:rsidR="00453D1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0925D73"/>
    <w:multiLevelType w:val="multilevel"/>
    <w:tmpl w:val="8976D6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6C5E44"/>
    <w:multiLevelType w:val="multilevel"/>
    <w:tmpl w:val="46DC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4054112">
    <w:abstractNumId w:val="0"/>
  </w:num>
  <w:num w:numId="2" w16cid:durableId="76928244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F90"/>
    <w:rsid w:val="00002F90"/>
    <w:rsid w:val="00296657"/>
    <w:rsid w:val="00453D1E"/>
    <w:rsid w:val="00823CCC"/>
    <w:rsid w:val="0092470E"/>
    <w:rsid w:val="00B761FA"/>
    <w:rsid w:val="00BA6539"/>
    <w:rsid w:val="00D93C9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4AED05F9"/>
  <w15:chartTrackingRefBased/>
  <w15:docId w15:val="{902B1D40-C32D-4C10-B293-B4A4945A0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2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02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02F9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02F9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02F9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02F9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02F9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02F9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02F9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2F9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02F9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2F9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02F9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02F9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2F9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2F9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2F9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2F90"/>
    <w:rPr>
      <w:rFonts w:eastAsiaTheme="majorEastAsia" w:cstheme="majorBidi"/>
      <w:color w:val="272727" w:themeColor="text1" w:themeTint="D8"/>
    </w:rPr>
  </w:style>
  <w:style w:type="paragraph" w:styleId="Titel">
    <w:name w:val="Title"/>
    <w:basedOn w:val="Standard"/>
    <w:next w:val="Standard"/>
    <w:link w:val="TitelZchn"/>
    <w:uiPriority w:val="10"/>
    <w:qFormat/>
    <w:rsid w:val="00002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2F9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2F9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2F9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2F9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2F90"/>
    <w:rPr>
      <w:i/>
      <w:iCs/>
      <w:color w:val="404040" w:themeColor="text1" w:themeTint="BF"/>
    </w:rPr>
  </w:style>
  <w:style w:type="paragraph" w:styleId="Listenabsatz">
    <w:name w:val="List Paragraph"/>
    <w:basedOn w:val="Standard"/>
    <w:uiPriority w:val="34"/>
    <w:qFormat/>
    <w:rsid w:val="00002F90"/>
    <w:pPr>
      <w:ind w:left="720"/>
      <w:contextualSpacing/>
    </w:pPr>
  </w:style>
  <w:style w:type="character" w:styleId="IntensiveHervorhebung">
    <w:name w:val="Intense Emphasis"/>
    <w:basedOn w:val="Absatz-Standardschriftart"/>
    <w:uiPriority w:val="21"/>
    <w:qFormat/>
    <w:rsid w:val="00002F90"/>
    <w:rPr>
      <w:i/>
      <w:iCs/>
      <w:color w:val="0F4761" w:themeColor="accent1" w:themeShade="BF"/>
    </w:rPr>
  </w:style>
  <w:style w:type="paragraph" w:styleId="IntensivesZitat">
    <w:name w:val="Intense Quote"/>
    <w:basedOn w:val="Standard"/>
    <w:next w:val="Standard"/>
    <w:link w:val="IntensivesZitatZchn"/>
    <w:uiPriority w:val="30"/>
    <w:qFormat/>
    <w:rsid w:val="00002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2F90"/>
    <w:rPr>
      <w:i/>
      <w:iCs/>
      <w:color w:val="0F4761" w:themeColor="accent1" w:themeShade="BF"/>
    </w:rPr>
  </w:style>
  <w:style w:type="character" w:styleId="IntensiverVerweis">
    <w:name w:val="Intense Reference"/>
    <w:basedOn w:val="Absatz-Standardschriftart"/>
    <w:uiPriority w:val="32"/>
    <w:qFormat/>
    <w:rsid w:val="00002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39854855">
      <w:bodyDiv w:val="1"/>
      <w:marLeft w:val="0"/>
      <w:marRight w:val="0"/>
      <w:marTop w:val="0"/>
      <w:marBottom w:val="0"/>
      <w:divBdr>
        <w:top w:val="none" w:sz="0" w:space="0" w:color="auto"/>
        <w:left w:val="none" w:sz="0" w:space="0" w:color="auto"/>
        <w:bottom w:val="none" w:sz="0" w:space="0" w:color="auto"/>
        <w:right w:val="none" w:sz="0" w:space="0" w:color="auto"/>
      </w:divBdr>
      <w:divsChild>
        <w:div w:id="520164924">
          <w:marLeft w:val="0"/>
          <w:marRight w:val="0"/>
          <w:marTop w:val="0"/>
          <w:marBottom w:val="0"/>
          <w:divBdr>
            <w:top w:val="none" w:sz="0" w:space="0" w:color="auto"/>
            <w:left w:val="none" w:sz="0" w:space="0" w:color="auto"/>
            <w:bottom w:val="none" w:sz="0" w:space="0" w:color="auto"/>
            <w:right w:val="none" w:sz="0" w:space="0" w:color="auto"/>
          </w:divBdr>
        </w:div>
      </w:divsChild>
    </w:div>
    <w:div w:id="1987928077">
      <w:bodyDiv w:val="1"/>
      <w:marLeft w:val="0"/>
      <w:marRight w:val="0"/>
      <w:marTop w:val="0"/>
      <w:marBottom w:val="0"/>
      <w:divBdr>
        <w:top w:val="none" w:sz="0" w:space="0" w:color="auto"/>
        <w:left w:val="none" w:sz="0" w:space="0" w:color="auto"/>
        <w:bottom w:val="none" w:sz="0" w:space="0" w:color="auto"/>
        <w:right w:val="none" w:sz="0" w:space="0" w:color="auto"/>
      </w:divBdr>
      <w:divsChild>
        <w:div w:id="520446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2160</Words>
  <Characters>13614</Characters>
  <Application>Microsoft Office Word</Application>
  <DocSecurity>0</DocSecurity>
  <Lines>113</Lines>
  <Paragraphs>31</Paragraphs>
  <ScaleCrop>false</ScaleCrop>
  <Company/>
  <LinksUpToDate>false</LinksUpToDate>
  <CharactersWithSpaces>15743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Atzinger, Armin</dc:creator>
  <cp:keywords/>
  <dc:description/>
  <cp:lastModifiedBy>Gutsche, Robin</cp:lastModifiedBy>
  <cp:revision>2</cp:revision>
  <dcterms:created xsi:type="dcterms:W3CDTF">2026-09-25T15:52:00Z</dcterms:created>
  <dcterms:modified xsi:type="dcterms:W3CDTF">2026-09-25T22:55:00Z</dcterms:modified>
</cp:coreProperties>
</file>