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59E5264" w14:textId="77777777" w:rsidR="00146F9A" w:rsidRPr="00146F9A" w:rsidRDefault="00146F9A" w:rsidP="00146F9A">
      <w:r w:rsidRPr="00146F9A">
        <w:rPr>
          <w:b/>
          <w:bCs/>
        </w:rPr>
        <w:t>Kürzel</w:t>
      </w:r>
      <w:r w:rsidRPr="00146F9A">
        <w:t xml:space="preserve"> </w:t>
      </w:r>
    </w:p>
    <w:p w14:paraId="65CB9B25" w14:textId="77777777" w:rsidR="00146F9A" w:rsidRPr="00146F9A" w:rsidRDefault="00F67343" w:rsidP="00146F9A">
      <w:r>
        <w:rPr>
          <w:noProof/>
        </w:rPr>
      </w:r>
      <w:r>
        <w:pict w14:anchorId="0925A554">
          <v:rect id="Horizontal Line 1" o:spid="_x0000_s1033"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4F0BCBF5" w14:textId="77777777" w:rsidR="00146F9A" w:rsidRPr="00146F9A" w:rsidRDefault="00146F9A" w:rsidP="00146F9A">
      <w:r w:rsidRPr="00146F9A">
        <w:t>ram/rei</w:t>
      </w:r>
    </w:p>
    <w:p w14:paraId="129C56F7" w14:textId="77777777" w:rsidR="00146F9A" w:rsidRPr="00146F9A" w:rsidRDefault="00146F9A" w:rsidP="00146F9A">
      <w:r w:rsidRPr="00146F9A">
        <w:br/>
      </w:r>
      <w:r w:rsidRPr="00146F9A">
        <w:br/>
      </w:r>
      <w:r w:rsidRPr="00146F9A">
        <w:rPr>
          <w:b/>
          <w:bCs/>
        </w:rPr>
        <w:t>Anrede</w:t>
      </w:r>
      <w:r w:rsidRPr="00146F9A">
        <w:t xml:space="preserve"> </w:t>
      </w:r>
    </w:p>
    <w:p w14:paraId="12C0F6DC" w14:textId="77777777" w:rsidR="00146F9A" w:rsidRPr="00146F9A" w:rsidRDefault="00F67343" w:rsidP="00146F9A">
      <w:r>
        <w:rPr>
          <w:noProof/>
        </w:rPr>
      </w:r>
      <w:r>
        <w:pict w14:anchorId="4E2CA0BB">
          <v:rect id="Horizontal Line 2" o:spid="_x0000_s1032"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0FCB0115" w14:textId="77777777" w:rsidR="00146F9A" w:rsidRPr="00146F9A" w:rsidRDefault="00146F9A" w:rsidP="00146F9A">
      <w:r w:rsidRPr="00146F9A">
        <w:t xml:space="preserve">Sehr geehrte Frau Kollegin, sehr geehrter Herr Kollege, </w:t>
      </w:r>
    </w:p>
    <w:p w14:paraId="79F54E14" w14:textId="77777777" w:rsidR="00146F9A" w:rsidRPr="00146F9A" w:rsidRDefault="00146F9A" w:rsidP="00146F9A">
      <w:r w:rsidRPr="00146F9A">
        <w:t> </w:t>
      </w:r>
    </w:p>
    <w:p w14:paraId="52C15218" w14:textId="3F7F75EB" w:rsidR="00146F9A" w:rsidRPr="00146F9A" w:rsidRDefault="00146F9A" w:rsidP="00146F9A">
      <w:r w:rsidRPr="00146F9A">
        <w:t xml:space="preserve">wir berichten über unseren gemeinsamen Patienten, </w:t>
      </w:r>
      <w:r w:rsidR="006D2282">
        <w:t>43</w:t>
      </w:r>
      <w:r w:rsidRPr="00146F9A">
        <w:t>, der sich am 14.12.2020 ambulant vorstellte.</w:t>
      </w:r>
    </w:p>
    <w:p w14:paraId="5D77543C" w14:textId="77777777" w:rsidR="00146F9A" w:rsidRPr="00146F9A" w:rsidRDefault="00146F9A" w:rsidP="00146F9A">
      <w:r w:rsidRPr="00146F9A">
        <w:br/>
      </w:r>
      <w:r w:rsidRPr="00146F9A">
        <w:br/>
      </w:r>
      <w:r w:rsidRPr="00146F9A">
        <w:rPr>
          <w:b/>
          <w:bCs/>
        </w:rPr>
        <w:t>Diagnosen</w:t>
      </w:r>
      <w:r w:rsidRPr="00146F9A">
        <w:t xml:space="preserve"> </w:t>
      </w:r>
    </w:p>
    <w:p w14:paraId="45E762C1" w14:textId="77777777" w:rsidR="00146F9A" w:rsidRPr="00146F9A" w:rsidRDefault="00F67343" w:rsidP="00146F9A">
      <w:r>
        <w:rPr>
          <w:noProof/>
        </w:rPr>
      </w:r>
      <w:r>
        <w:pict w14:anchorId="698D64E7">
          <v:rect id="Horizontal Line 3" o:spid="_x0000_s1031"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58C46199" w14:textId="77777777" w:rsidR="00146F9A" w:rsidRPr="00146F9A" w:rsidRDefault="00146F9A" w:rsidP="00146F9A">
      <w:pPr>
        <w:numPr>
          <w:ilvl w:val="0"/>
          <w:numId w:val="1"/>
        </w:numPr>
      </w:pPr>
      <w:r w:rsidRPr="00146F9A">
        <w:t xml:space="preserve">Psoriasisarthritis, ED 11/2019, EM 08/2018 </w:t>
      </w:r>
    </w:p>
    <w:p w14:paraId="00E12279" w14:textId="77777777" w:rsidR="00146F9A" w:rsidRPr="00146F9A" w:rsidRDefault="00146F9A" w:rsidP="00146F9A">
      <w:pPr>
        <w:numPr>
          <w:ilvl w:val="1"/>
          <w:numId w:val="1"/>
        </w:numPr>
      </w:pPr>
      <w:r w:rsidRPr="00146F9A">
        <w:t xml:space="preserve">langjährig bekannte Psoriasis, vor allem am Kapillitium  </w:t>
      </w:r>
    </w:p>
    <w:p w14:paraId="57F4210C" w14:textId="77777777" w:rsidR="00146F9A" w:rsidRPr="00146F9A" w:rsidRDefault="00146F9A" w:rsidP="00146F9A">
      <w:pPr>
        <w:numPr>
          <w:ilvl w:val="1"/>
          <w:numId w:val="1"/>
        </w:numPr>
      </w:pPr>
      <w:r w:rsidRPr="00146F9A">
        <w:t xml:space="preserve">rezidivierende Arthralgien, Arthritiden im Bereich der MCP-Gelenke beidseits </w:t>
      </w:r>
    </w:p>
    <w:p w14:paraId="4BA49FD4" w14:textId="77777777" w:rsidR="00146F9A" w:rsidRPr="00146F9A" w:rsidRDefault="00146F9A" w:rsidP="00146F9A">
      <w:pPr>
        <w:numPr>
          <w:ilvl w:val="1"/>
          <w:numId w:val="1"/>
        </w:numPr>
      </w:pPr>
      <w:r w:rsidRPr="00146F9A">
        <w:t xml:space="preserve">rezidivierende Enthesitiden im Bereich der Plantarfaszie, der Achillessehne und der Ellbogen beidseits </w:t>
      </w:r>
    </w:p>
    <w:p w14:paraId="05945E7D" w14:textId="77777777" w:rsidR="00146F9A" w:rsidRPr="00146F9A" w:rsidRDefault="00146F9A" w:rsidP="00146F9A">
      <w:pPr>
        <w:numPr>
          <w:ilvl w:val="1"/>
          <w:numId w:val="1"/>
        </w:numPr>
      </w:pPr>
      <w:r w:rsidRPr="00146F9A">
        <w:t xml:space="preserve">langjährige Rückenschmerzen </w:t>
      </w:r>
    </w:p>
    <w:p w14:paraId="27F9860D" w14:textId="77777777" w:rsidR="00146F9A" w:rsidRPr="00146F9A" w:rsidRDefault="00146F9A" w:rsidP="00146F9A">
      <w:pPr>
        <w:numPr>
          <w:ilvl w:val="1"/>
          <w:numId w:val="1"/>
        </w:numPr>
      </w:pPr>
      <w:r w:rsidRPr="00146F9A">
        <w:t xml:space="preserve">FAPI-PET/CT und MRT-LWS/ISG: a.e. degenerative Veränderungen der LWS, kein H.a. Sakroiliitis </w:t>
      </w:r>
    </w:p>
    <w:p w14:paraId="2A9873BF" w14:textId="77777777" w:rsidR="00146F9A" w:rsidRPr="00146F9A" w:rsidRDefault="00146F9A" w:rsidP="00146F9A">
      <w:pPr>
        <w:numPr>
          <w:ilvl w:val="1"/>
          <w:numId w:val="1"/>
        </w:numPr>
      </w:pPr>
      <w:r w:rsidRPr="00146F9A">
        <w:t xml:space="preserve">bisherige Therapie: Prednisolon-Stoß ohne ausreichende Wirkung, Methotrexat seit 10/2019 bisher ohne ausreichende Wirkung, Secukinumab 12/19 bis 9/20, Adalimumab 10/20 bis 12/20 </w:t>
      </w:r>
    </w:p>
    <w:p w14:paraId="359D23C1" w14:textId="77777777" w:rsidR="00146F9A" w:rsidRPr="00146F9A" w:rsidRDefault="00146F9A" w:rsidP="00146F9A">
      <w:pPr>
        <w:numPr>
          <w:ilvl w:val="1"/>
          <w:numId w:val="1"/>
        </w:numPr>
      </w:pPr>
      <w:r w:rsidRPr="00146F9A">
        <w:t xml:space="preserve">aktuelle Therapie: Umstellung auf Upadacitinib seit 12/20 </w:t>
      </w:r>
    </w:p>
    <w:p w14:paraId="687173E2" w14:textId="77777777" w:rsidR="00146F9A" w:rsidRPr="00146F9A" w:rsidRDefault="00146F9A" w:rsidP="00146F9A">
      <w:r w:rsidRPr="00146F9A">
        <w:br/>
      </w:r>
      <w:r w:rsidRPr="00146F9A">
        <w:br/>
      </w:r>
      <w:r w:rsidRPr="00146F9A">
        <w:rPr>
          <w:b/>
          <w:bCs/>
        </w:rPr>
        <w:t>Anamnese</w:t>
      </w:r>
      <w:r w:rsidRPr="00146F9A">
        <w:t xml:space="preserve"> </w:t>
      </w:r>
    </w:p>
    <w:p w14:paraId="63779DF6" w14:textId="77777777" w:rsidR="00146F9A" w:rsidRPr="00146F9A" w:rsidRDefault="00F67343" w:rsidP="00146F9A">
      <w:r>
        <w:rPr>
          <w:noProof/>
        </w:rPr>
      </w:r>
      <w:r>
        <w:pict w14:anchorId="103ED769">
          <v:rect id="Horizontal Line 4" o:spid="_x0000_s1030"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7EF3BFAE" w14:textId="77777777" w:rsidR="00146F9A" w:rsidRPr="00146F9A" w:rsidRDefault="00146F9A" w:rsidP="00146F9A">
      <w:r w:rsidRPr="00146F9A">
        <w:lastRenderedPageBreak/>
        <w:t xml:space="preserve">WV bei PsA unter MTX und Adalimumab zur Verlaufskontrolle. Der Pat. gibt an zunächst von der Umstellung auf Adalimumab hinsichtlich der Beschwerdesymptomatik deutlich profitiert zu haben. Seit ca. 3 Wochen nun wieder vermehrt Schmerzen in bd. Händen, bd. Ellenbogen und bd. Schultergelenken, kein Überkopfarbeiten möglich, Kraftlosigkeit in bd. Händen. </w:t>
      </w:r>
    </w:p>
    <w:p w14:paraId="680D63D4" w14:textId="77777777" w:rsidR="00146F9A" w:rsidRPr="00146F9A" w:rsidRDefault="00146F9A" w:rsidP="00146F9A">
      <w:r w:rsidRPr="00146F9A">
        <w:t xml:space="preserve">Zusätzlich aggravierte psoriasiforme Läsionen im Bereich der bd. Streckseiten der Ellenbogen und im Kopfbereich. </w:t>
      </w:r>
    </w:p>
    <w:p w14:paraId="64BBB253" w14:textId="77777777" w:rsidR="00146F9A" w:rsidRPr="00146F9A" w:rsidRDefault="00146F9A" w:rsidP="00146F9A">
      <w:r w:rsidRPr="00146F9A">
        <w:br/>
      </w:r>
      <w:r w:rsidRPr="00146F9A">
        <w:br/>
      </w:r>
      <w:r w:rsidRPr="00146F9A">
        <w:rPr>
          <w:b/>
          <w:bCs/>
        </w:rPr>
        <w:t>Untersuchungsbefund</w:t>
      </w:r>
      <w:r w:rsidRPr="00146F9A">
        <w:t xml:space="preserve"> </w:t>
      </w:r>
    </w:p>
    <w:p w14:paraId="0FB51317" w14:textId="77777777" w:rsidR="00146F9A" w:rsidRPr="00146F9A" w:rsidRDefault="00F67343" w:rsidP="00146F9A">
      <w:r>
        <w:rPr>
          <w:noProof/>
        </w:rPr>
      </w:r>
      <w:r>
        <w:pict w14:anchorId="11318C54">
          <v:rect id="Horizontal Line 5" o:spid="_x0000_s1029"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30AA1347" w14:textId="77777777" w:rsidR="00146F9A" w:rsidRPr="00146F9A" w:rsidRDefault="00146F9A" w:rsidP="00146F9A">
      <w:r w:rsidRPr="00146F9A">
        <w:t>61-jähriger Pat., normaler EZ, reduzierter AZ</w:t>
      </w:r>
    </w:p>
    <w:p w14:paraId="07B24DEF" w14:textId="77777777" w:rsidR="00146F9A" w:rsidRPr="00146F9A" w:rsidRDefault="00146F9A" w:rsidP="00146F9A">
      <w:r w:rsidRPr="00146F9A">
        <w:t>Gelenke: 5 druckschmerzhafte, 3 geschwollene Gelenke</w:t>
      </w:r>
    </w:p>
    <w:p w14:paraId="5E6473B5" w14:textId="77777777" w:rsidR="00146F9A" w:rsidRPr="00146F9A" w:rsidRDefault="00146F9A" w:rsidP="00146F9A">
      <w:r w:rsidRPr="00146F9A">
        <w:t>Enthesen: Achillessehnen bds., Ellenbogen bds. druckschmerzhaft</w:t>
      </w:r>
    </w:p>
    <w:p w14:paraId="4EB7D533" w14:textId="77777777" w:rsidR="00146F9A" w:rsidRPr="00146F9A" w:rsidRDefault="00146F9A" w:rsidP="00146F9A">
      <w:r w:rsidRPr="00146F9A">
        <w:t>Haut: psoriasiforme Läsionen am Kapillitium und Ellenbogen bds.</w:t>
      </w:r>
    </w:p>
    <w:p w14:paraId="7D7AD553" w14:textId="77777777" w:rsidR="00146F9A" w:rsidRPr="00146F9A" w:rsidRDefault="00146F9A" w:rsidP="00146F9A">
      <w:r w:rsidRPr="00146F9A">
        <w:br/>
      </w:r>
      <w:r w:rsidRPr="00146F9A">
        <w:br/>
      </w:r>
      <w:r w:rsidRPr="00146F9A">
        <w:rPr>
          <w:b/>
          <w:bCs/>
        </w:rPr>
        <w:t>Befunde</w:t>
      </w:r>
      <w:r w:rsidRPr="00146F9A">
        <w:t xml:space="preserve"> </w:t>
      </w:r>
    </w:p>
    <w:p w14:paraId="6C56BC26" w14:textId="77777777" w:rsidR="00146F9A" w:rsidRPr="00146F9A" w:rsidRDefault="00F67343" w:rsidP="00146F9A">
      <w:r>
        <w:rPr>
          <w:noProof/>
        </w:rPr>
      </w:r>
      <w:r>
        <w:pict w14:anchorId="182C7457">
          <v:rect id="Horizontal Line 6" o:spid="_x0000_s1028"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567CE654" w14:textId="77777777" w:rsidR="00146F9A" w:rsidRPr="00146F9A" w:rsidRDefault="00146F9A" w:rsidP="00146F9A">
      <w:r w:rsidRPr="00146F9A">
        <w:rPr>
          <w:b/>
          <w:bCs/>
          <w:u w:val="single"/>
        </w:rPr>
        <w:t>FAPI PET/CT mit CT low dose vom 18.12.2020:</w:t>
      </w:r>
      <w:r w:rsidRPr="00146F9A">
        <w:t> </w:t>
      </w:r>
    </w:p>
    <w:p w14:paraId="109D0D58" w14:textId="77777777" w:rsidR="00146F9A" w:rsidRPr="00146F9A" w:rsidRDefault="00146F9A" w:rsidP="00146F9A">
      <w:r w:rsidRPr="00146F9A">
        <w:t xml:space="preserve">Befund: Zum Vergleich FAPI-PET/CT vom 25.11.2019. Schädel: Symmetrisches nicht erweitertes Ventrikelsystem, keine Mittellinienverlagerung, keine soweit mit dieser Technik beurteilbare Raumforderung. Physiologische Verteilung des Radiopharmakons. Nasennebenhöhlen und Mastoidzellen frei pneumatisiert. Halsweichteile: Symmetrische Darstellung der zervikalen Weichteile. Kein Nachweis suspekt vergrößerter oder Radiopharmakon mehrspeichernder Lymphknoten. Unauffällige Darstellung der Schilddrüse. Thorax: Keine suspekt vergrößerten oder pathologisch Radiopharmakon mehrspeichernde Lymphknoten periclaviculär, axillär und hilär. Im oberen Mediastinum rechttseitig paratracheal Läsion von ca. 2,3x2,4cm (Bild 49) ohne Nuklidmehranreicherung mit wasseräquivalenten Dichtewerten DD Perikardzyste DD Perikardduplikatur, idem zur VU. Kein Perikard- oder Pleuraerguss. Dilatation des Oesophagus. Im Lungenfenster kleinere noduläre, intrapulmonale Verdichtungen im rechten Unterlappen (Bild 64 0,4 cm) und punktförmig im linken Unterlappen (Bild 65). Keine malignomsuspekten Rundherde, kein Infiltrat. Abdomen / Becken: Soweit in low-dose und Nativtechnik beurteilbar unauffällige Darstellung der parenchymatösen abdominellen Organe, der Nebennieren, Nieren, Nierenbecken und ableitenden Harnwege. Kein Nachweis pathologisch konfigurierter, vergrößerter oder vermehrt </w:t>
      </w:r>
      <w:r w:rsidRPr="00146F9A">
        <w:lastRenderedPageBreak/>
        <w:t xml:space="preserve">Radiopharmakon aufnehmender Lymphknoten mesenterial, paraaortal, retroperitoneal iliacal oder inguinal. Keine freie Luft, keine freie Flüssigkeit. Ossäres System+ Beine/Arme: Hypodense Läsion im Vastus medialis des M. quadriceps femoris rechts mit fettäquivalenten Dichtewerten mit ca. 2,3x2,4cm (Bild 196), DD Lipom. Neu abgrenzbare kräftige Nuklidspeicherung im linken Schultergelenk (SUV max 6,0) mit Betonung in Projektion auf die Bursa subacromialis. Minimaler Nukliduptake in Projektion auf die Bursa iliopectinea rechts. Progrediente Nuklidspeicherung in den Museklansätzen am Tuber ischiadicum links DD Tendinopathie / Tendinitis. Eher rückläufige, synoviale Nukldispeicherung in beiden Kniegelenken. eringer Erguss bds. im Kniegelenk, rechtsbetont. Medial betonte Gelenkspaltverschmälerung. Dezente Verkalkungen der Menisci bds.. Zeichen einer Ansatztendinopathie patellar. Wirbelsäule/Becken: Flau akzentuierte Anreicherung des Radiopharmakons in den linksseitigen Facettengelenken der LWS betont auf Höhe LWK 3/4/5, idem zur VU. Ct-morphologisch primär osteochondrotische Veränderungen dieser Wirbelsäulenabschnitte. Keine relevante Mehranreicherung im ISG bds.. Einzelne Bandscheibenherniationen in der mittleren BWS. Fuß rechts: Krallenzehendeformität. Neu nachweisbare mäßige Mehranreicherung im OSG dorsal betont. Neu abgrenzbare kräftige Mehrspeicherung in Projektion auf das Ligamentum calcaneocuboideum plantare sowie Ligamentum plantare longum bzw. Musculus quadratus plantae. Rückläufige, ringförmige Nuklidmehrspeicherung um das distale Os metatarsale D1 bei ct-morphologisch kleineren Geröllzysten, angrenzendes Sesambein im Verlauf der Großzehenflexorensehne. Fuß links: Krallenzehendeformität. Kleinere erosive/degenerative Veränderungen an der distalen Fibula Malleolus lateralis gelenkassoziiert. Bandförmige Nuklidmehrspeicherung im Art. fibotalare sowie Art. subtalaris lateralseitig betont, gering rückläufig zur VU. Keine Mehrspeicherung im Verlauf der Achillessehne. Zirkuläre Mehranreicherung des Radiopharmakons um das distale Os metatarsale 1 mit ct-morphologisch gelenkassoziierten erosiven/degenerativen Veränderungen sowie im Metotarsalphalangealgelenk D2, hier ohne eindeutige ct-morphologische Veränderungen, idem zur VU. Hand links: Regelrechte Stellung des erfassten Skelettsystem. Geringe degenerative Veränderungen in den distalen Os metacarpale D1-D4. Flaue Mehranreicherung des Radiopharmakons im Radiocarpalgelenk dorsalseitig. Verkalkung der Daumenextensorensehne. Zusätzlich geringe Mehrspeicherung im Verlauf der Flexorensehnen D3 auf Höhe des proximalen Os phalangeale. Geringe a.e. degenerativ bedingte Mehranreicherungen im Daumensattelgelenk sowie im MCP D1. Hand rechts: Regelrechte Stellung des erfassten Skelettsystem. Kräftige zirkulär gesteigerte Nuklidspeicherung im Radiocarpal- und Radiolulnargelenk bzw. am proc. styloideus der Ulna, ct-morphologisch zystische Veränderung in der distalen Ulna sowie im proximalen Os capitatum. Dehiszenz Os scaphoideum zu Os lunatum, mögliche SL-Bandverletzung. Mehrspeicherung in den Carpocarpalgelenken betont zwischen Scaphoid und Lunatum sowie zwischen Triquetrum und Hamatum. Geringe ringförmige Mehrspeicherung im PIP D2. </w:t>
      </w:r>
    </w:p>
    <w:p w14:paraId="7415A0DD" w14:textId="77777777" w:rsidR="00146F9A" w:rsidRPr="00146F9A" w:rsidRDefault="00146F9A" w:rsidP="00146F9A">
      <w:r w:rsidRPr="00146F9A">
        <w:lastRenderedPageBreak/>
        <w:t>Beurteilung: Im Vergleich zur VU zunehmende Anreicherung des Radiopharmakons im Sinne einer gesteigerten Fibroblastenaktivität im linken Schultergelenk sowie im rechten Fuß am OSG dorsalseitig betont sowie a.e. im Verlauf von Ligamentum calcaneocuboideum plantare sowie Ligamentum plantare longum bzw. Musculus quadratus plantae ebenfalls Fuß rechts. Zeichen einer geringen Synovialitis in der Bursa iliopectinea rechts sowie einer Tendinitis am Tuber ischiadicum links, neu zur VU. Im Übrigen unveränderte gelenkassoziierte Mehranreicherungen des Radiopharmakons in beiden Händen (rechtsbetont) und Füßen wie oben beschrieben sowie geringe Synovialitis beider Kniegelenke. NB: Konstante mikronoduläre, pulmonale Läsionen z.B. postentzündlich. Perikardzyste. V.a. Hypotonie des Oesophagus.</w:t>
      </w:r>
    </w:p>
    <w:p w14:paraId="7CC92B74" w14:textId="77777777" w:rsidR="00146F9A" w:rsidRPr="00146F9A" w:rsidRDefault="00146F9A" w:rsidP="00146F9A">
      <w:r w:rsidRPr="00146F9A">
        <w:br/>
      </w:r>
      <w:r w:rsidRPr="00146F9A">
        <w:br/>
      </w:r>
      <w:r w:rsidRPr="00146F9A">
        <w:rPr>
          <w:b/>
          <w:bCs/>
        </w:rPr>
        <w:t>Verlauf und Beurteilung</w:t>
      </w:r>
      <w:r w:rsidRPr="00146F9A">
        <w:t xml:space="preserve"> </w:t>
      </w:r>
    </w:p>
    <w:p w14:paraId="4C94F401" w14:textId="77777777" w:rsidR="00146F9A" w:rsidRPr="00146F9A" w:rsidRDefault="00F67343" w:rsidP="00146F9A">
      <w:r>
        <w:rPr>
          <w:noProof/>
        </w:rPr>
      </w:r>
      <w:r>
        <w:pict w14:anchorId="63383149">
          <v:rect id="Horizontal Line 7" o:spid="_x0000_s1027"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0961B5BD" w14:textId="77777777" w:rsidR="00146F9A" w:rsidRPr="00146F9A" w:rsidRDefault="00146F9A" w:rsidP="00146F9A">
      <w:r w:rsidRPr="00146F9A">
        <w:t>Klinisch zeigt sich aktuell eine persistierende Erkrankungsaktivität unter TNF-Inhibition. Es erfolgte daher eine erweiterte Bildgebung mittels FAPI-PET-CT, hierbei zeigte sich persistierende Erkrankungsaktivität passend zu den klinischen Symptomen</w:t>
      </w:r>
    </w:p>
    <w:p w14:paraId="0485D24E" w14:textId="77777777" w:rsidR="00146F9A" w:rsidRPr="00146F9A" w:rsidRDefault="00146F9A" w:rsidP="00146F9A">
      <w:r w:rsidRPr="00146F9A">
        <w:t>Wir empfehlen daher eine Umstellung der immunsuppressiven Therapie auf Upadacitinib 15mg 1-0-0 unter Kontrollen nach Maßgabe der DGRh. Da Adalimumab zuletzt am 18.12. gespritzt wurde, sollte bis zur Therapieumstellung noch ein Sicherheitsabstand bis 28.12.2020 eingehalten werden.</w:t>
      </w:r>
    </w:p>
    <w:p w14:paraId="1CE1A81F" w14:textId="77777777" w:rsidR="00146F9A" w:rsidRPr="00146F9A" w:rsidRDefault="00146F9A" w:rsidP="00146F9A">
      <w:r w:rsidRPr="00146F9A">
        <w:t>Die Infobroschüre der DGRh über die Therapie wurden ausgegeben, insbesondere wurde der Pat. über die Kontrolluntersuchungen Wirkweise/ Nebenwirkungen aufgeklärt. MTX sollte fortgeführt werden in der üblichen Dosierung 1x/Wo. + Folsäure 5mg am Folgetag, unter Kontrollen nach Maßgabe der DGRh. Eine laborchemische Kontrolle konnte leider nicht durchgeführt werden, da der Pat. vorzeitig gegangen war. Wir bitten daher um laborchemische Kontrollen insbesondere unter der neu begonnenen Therapie.</w:t>
      </w:r>
    </w:p>
    <w:p w14:paraId="17FB6011" w14:textId="77777777" w:rsidR="00146F9A" w:rsidRPr="00146F9A" w:rsidRDefault="00146F9A" w:rsidP="00146F9A">
      <w:r w:rsidRPr="00146F9A">
        <w:t>Eine WV wurde in 3 Monaten vereinbart. </w:t>
      </w:r>
    </w:p>
    <w:p w14:paraId="21A12580" w14:textId="77777777" w:rsidR="00146F9A" w:rsidRPr="00146F9A" w:rsidRDefault="00146F9A" w:rsidP="00146F9A">
      <w:r w:rsidRPr="00146F9A">
        <w:t xml:space="preserve">Wir danken für die Vorstellung des Pat. und stehen für Rückfragen gerne jederzeit telefonisch zur Verfügung. </w:t>
      </w:r>
    </w:p>
    <w:p w14:paraId="3E285141" w14:textId="77777777" w:rsidR="00146F9A" w:rsidRPr="00146F9A" w:rsidRDefault="00146F9A" w:rsidP="00146F9A">
      <w:r w:rsidRPr="00146F9A">
        <w:br/>
      </w:r>
      <w:r w:rsidRPr="00146F9A">
        <w:br/>
      </w:r>
      <w:r w:rsidRPr="00146F9A">
        <w:rPr>
          <w:b/>
          <w:bCs/>
        </w:rPr>
        <w:t>Schluss</w:t>
      </w:r>
      <w:r w:rsidRPr="00146F9A">
        <w:t xml:space="preserve"> </w:t>
      </w:r>
    </w:p>
    <w:p w14:paraId="2BC1F578" w14:textId="77777777" w:rsidR="00146F9A" w:rsidRPr="00146F9A" w:rsidRDefault="00F67343" w:rsidP="00146F9A">
      <w:r>
        <w:rPr>
          <w:noProof/>
        </w:rPr>
      </w:r>
      <w:r>
        <w:pict w14:anchorId="67B8D71B">
          <v:rect id="Horizontal Line 8" o:spid="_x0000_s1026"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4AF2C1AD" w14:textId="77777777" w:rsidR="00146F9A" w:rsidRPr="00146F9A" w:rsidRDefault="00146F9A" w:rsidP="00146F9A">
      <w:r w:rsidRPr="00146F9A">
        <w:t>Mit freundlichen kollegialen Grüßen</w:t>
      </w:r>
    </w:p>
    <w:p w14:paraId="5DFCF5D1" w14:textId="77777777" w:rsidR="00146F9A" w:rsidRPr="00146F9A" w:rsidRDefault="00146F9A" w:rsidP="00146F9A">
      <w:r w:rsidRPr="00146F9A">
        <w:t> </w:t>
      </w:r>
    </w:p>
    <w:p w14:paraId="4C6F4950" w14:textId="77777777" w:rsidR="00146F9A" w:rsidRPr="00146F9A" w:rsidRDefault="00146F9A" w:rsidP="00146F9A">
      <w:r w:rsidRPr="00146F9A">
        <w:lastRenderedPageBreak/>
        <w:t> </w:t>
      </w:r>
    </w:p>
    <w:p w14:paraId="645C5B9A" w14:textId="77777777" w:rsidR="00146F9A" w:rsidRPr="00146F9A" w:rsidRDefault="00146F9A" w:rsidP="00146F9A">
      <w:r w:rsidRPr="00146F9A">
        <w:t> </w:t>
      </w:r>
    </w:p>
    <w:p w14:paraId="4632FF1B" w14:textId="77777777" w:rsidR="00146F9A" w:rsidRPr="00146F9A" w:rsidRDefault="00146F9A" w:rsidP="00146F9A">
      <w:r w:rsidRPr="00146F9A">
        <w:t> </w:t>
      </w:r>
    </w:p>
    <w:tbl>
      <w:tblPr>
        <w:tblW w:w="5000" w:type="pct"/>
        <w:tblCellMar>
          <w:left w:w="0" w:type="dxa"/>
          <w:right w:w="0" w:type="dxa"/>
        </w:tblCellMar>
        <w:tblLook w:val="04A0" w:firstRow="1" w:lastRow="0" w:firstColumn="1" w:lastColumn="0" w:noHBand="0" w:noVBand="1"/>
      </w:tblPr>
      <w:tblGrid>
        <w:gridCol w:w="3084"/>
        <w:gridCol w:w="2994"/>
        <w:gridCol w:w="2994"/>
      </w:tblGrid>
      <w:tr w:rsidR="00146F9A" w:rsidRPr="00146F9A" w14:paraId="16C3A250" w14:textId="77777777" w:rsidTr="00146F9A">
        <w:tc>
          <w:tcPr>
            <w:tcW w:w="1700" w:type="pct"/>
            <w:hideMark/>
          </w:tcPr>
          <w:p w14:paraId="2D7198AF" w14:textId="77777777" w:rsidR="00146F9A" w:rsidRPr="00146F9A" w:rsidRDefault="00146F9A" w:rsidP="00146F9A">
            <w:r w:rsidRPr="00146F9A">
              <w:t>PD Dr. med. A. Ramming</w:t>
            </w:r>
          </w:p>
        </w:tc>
        <w:tc>
          <w:tcPr>
            <w:tcW w:w="1650" w:type="pct"/>
            <w:hideMark/>
          </w:tcPr>
          <w:p w14:paraId="79FB3E4C" w14:textId="77777777" w:rsidR="00146F9A" w:rsidRPr="00146F9A" w:rsidRDefault="00146F9A" w:rsidP="00146F9A">
            <w:r w:rsidRPr="00146F9A">
              <w:t> </w:t>
            </w:r>
          </w:p>
        </w:tc>
        <w:tc>
          <w:tcPr>
            <w:tcW w:w="1650" w:type="pct"/>
            <w:hideMark/>
          </w:tcPr>
          <w:p w14:paraId="3691E9D0" w14:textId="77777777" w:rsidR="00146F9A" w:rsidRPr="00146F9A" w:rsidRDefault="00146F9A" w:rsidP="00146F9A">
            <w:r w:rsidRPr="00146F9A">
              <w:t> </w:t>
            </w:r>
          </w:p>
        </w:tc>
      </w:tr>
      <w:tr w:rsidR="00146F9A" w:rsidRPr="00146F9A" w14:paraId="0F822078" w14:textId="77777777" w:rsidTr="00146F9A">
        <w:tc>
          <w:tcPr>
            <w:tcW w:w="1700" w:type="pct"/>
            <w:hideMark/>
          </w:tcPr>
          <w:p w14:paraId="6A36910E" w14:textId="77777777" w:rsidR="00146F9A" w:rsidRPr="00146F9A" w:rsidRDefault="00146F9A" w:rsidP="00146F9A">
            <w:r w:rsidRPr="00146F9A">
              <w:t>Oberarzt der Klinik</w:t>
            </w:r>
          </w:p>
          <w:p w14:paraId="4A67B68E" w14:textId="77777777" w:rsidR="00146F9A" w:rsidRPr="00146F9A" w:rsidRDefault="00146F9A" w:rsidP="00146F9A">
            <w:r w:rsidRPr="00146F9A">
              <w:t>Leitung Bereich Triage/PsA/SpA-Sprechstunden</w:t>
            </w:r>
          </w:p>
        </w:tc>
        <w:tc>
          <w:tcPr>
            <w:tcW w:w="1650" w:type="pct"/>
            <w:hideMark/>
          </w:tcPr>
          <w:p w14:paraId="07D331B8" w14:textId="77777777" w:rsidR="00146F9A" w:rsidRPr="00146F9A" w:rsidRDefault="00146F9A" w:rsidP="00146F9A">
            <w:r w:rsidRPr="00146F9A">
              <w:t> </w:t>
            </w:r>
          </w:p>
        </w:tc>
        <w:tc>
          <w:tcPr>
            <w:tcW w:w="1650" w:type="pct"/>
            <w:hideMark/>
          </w:tcPr>
          <w:p w14:paraId="4C2701F0" w14:textId="77777777" w:rsidR="00146F9A" w:rsidRPr="00146F9A" w:rsidRDefault="00146F9A" w:rsidP="00146F9A">
            <w:r w:rsidRPr="00146F9A">
              <w:t> </w:t>
            </w:r>
          </w:p>
        </w:tc>
      </w:tr>
    </w:tbl>
    <w:p w14:paraId="4E985110" w14:textId="77777777" w:rsidR="00453D1E" w:rsidRDefault="00453D1E"/>
    <w:sectPr w:rsidR="00453D1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C3B6A21"/>
    <w:multiLevelType w:val="multilevel"/>
    <w:tmpl w:val="862E1D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094361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F9A"/>
    <w:rsid w:val="00146F9A"/>
    <w:rsid w:val="00453D1E"/>
    <w:rsid w:val="006D2282"/>
    <w:rsid w:val="0092470E"/>
    <w:rsid w:val="00B761FA"/>
    <w:rsid w:val="00BA6539"/>
    <w:rsid w:val="00D93C9C"/>
    <w:rsid w:val="00F6734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1BFE48C6"/>
  <w15:chartTrackingRefBased/>
  <w15:docId w15:val="{3DB1399F-A799-4678-847D-6B9B7D2CE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146F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146F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146F9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146F9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146F9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146F9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46F9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46F9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46F9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46F9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146F9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146F9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146F9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146F9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146F9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46F9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146F9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46F9A"/>
    <w:rPr>
      <w:rFonts w:eastAsiaTheme="majorEastAsia" w:cstheme="majorBidi"/>
      <w:color w:val="272727" w:themeColor="text1" w:themeTint="D8"/>
    </w:rPr>
  </w:style>
  <w:style w:type="paragraph" w:styleId="Titel">
    <w:name w:val="Title"/>
    <w:basedOn w:val="Standard"/>
    <w:next w:val="Standard"/>
    <w:link w:val="TitelZchn"/>
    <w:uiPriority w:val="10"/>
    <w:qFormat/>
    <w:rsid w:val="00146F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46F9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46F9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46F9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46F9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146F9A"/>
    <w:rPr>
      <w:i/>
      <w:iCs/>
      <w:color w:val="404040" w:themeColor="text1" w:themeTint="BF"/>
    </w:rPr>
  </w:style>
  <w:style w:type="paragraph" w:styleId="Listenabsatz">
    <w:name w:val="List Paragraph"/>
    <w:basedOn w:val="Standard"/>
    <w:uiPriority w:val="34"/>
    <w:qFormat/>
    <w:rsid w:val="00146F9A"/>
    <w:pPr>
      <w:ind w:left="720"/>
      <w:contextualSpacing/>
    </w:pPr>
  </w:style>
  <w:style w:type="character" w:styleId="IntensiveHervorhebung">
    <w:name w:val="Intense Emphasis"/>
    <w:basedOn w:val="Absatz-Standardschriftart"/>
    <w:uiPriority w:val="21"/>
    <w:qFormat/>
    <w:rsid w:val="00146F9A"/>
    <w:rPr>
      <w:i/>
      <w:iCs/>
      <w:color w:val="0F4761" w:themeColor="accent1" w:themeShade="BF"/>
    </w:rPr>
  </w:style>
  <w:style w:type="paragraph" w:styleId="IntensivesZitat">
    <w:name w:val="Intense Quote"/>
    <w:basedOn w:val="Standard"/>
    <w:next w:val="Standard"/>
    <w:link w:val="IntensivesZitatZchn"/>
    <w:uiPriority w:val="30"/>
    <w:qFormat/>
    <w:rsid w:val="00146F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146F9A"/>
    <w:rPr>
      <w:i/>
      <w:iCs/>
      <w:color w:val="0F4761" w:themeColor="accent1" w:themeShade="BF"/>
    </w:rPr>
  </w:style>
  <w:style w:type="character" w:styleId="IntensiverVerweis">
    <w:name w:val="Intense Reference"/>
    <w:basedOn w:val="Absatz-Standardschriftart"/>
    <w:uiPriority w:val="32"/>
    <w:qFormat/>
    <w:rsid w:val="00146F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869075708">
      <w:bodyDiv w:val="1"/>
      <w:marLeft w:val="0"/>
      <w:marRight w:val="0"/>
      <w:marTop w:val="0"/>
      <w:marBottom w:val="0"/>
      <w:divBdr>
        <w:top w:val="none" w:sz="0" w:space="0" w:color="auto"/>
        <w:left w:val="none" w:sz="0" w:space="0" w:color="auto"/>
        <w:bottom w:val="none" w:sz="0" w:space="0" w:color="auto"/>
        <w:right w:val="none" w:sz="0" w:space="0" w:color="auto"/>
      </w:divBdr>
      <w:divsChild>
        <w:div w:id="1533029524">
          <w:marLeft w:val="0"/>
          <w:marRight w:val="0"/>
          <w:marTop w:val="0"/>
          <w:marBottom w:val="0"/>
          <w:divBdr>
            <w:top w:val="none" w:sz="0" w:space="0" w:color="auto"/>
            <w:left w:val="none" w:sz="0" w:space="0" w:color="auto"/>
            <w:bottom w:val="none" w:sz="0" w:space="0" w:color="auto"/>
            <w:right w:val="none" w:sz="0" w:space="0" w:color="auto"/>
          </w:divBdr>
        </w:div>
      </w:divsChild>
    </w:div>
    <w:div w:id="1904217635">
      <w:bodyDiv w:val="1"/>
      <w:marLeft w:val="0"/>
      <w:marRight w:val="0"/>
      <w:marTop w:val="0"/>
      <w:marBottom w:val="0"/>
      <w:divBdr>
        <w:top w:val="none" w:sz="0" w:space="0" w:color="auto"/>
        <w:left w:val="none" w:sz="0" w:space="0" w:color="auto"/>
        <w:bottom w:val="none" w:sz="0" w:space="0" w:color="auto"/>
        <w:right w:val="none" w:sz="0" w:space="0" w:color="auto"/>
      </w:divBdr>
      <w:divsChild>
        <w:div w:id="199040450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1176</Words>
  <Characters>7412</Characters>
  <Application>Microsoft Office Word</Application>
  <DocSecurity>0</DocSecurity>
  <Lines>61</Lines>
  <Paragraphs>17</Paragraphs>
  <ScaleCrop>false</ScaleCrop>
  <Company/>
  <LinksUpToDate>false</LinksUpToDate>
  <CharactersWithSpaces>8571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Atzinger, Armin</dc:creator>
  <cp:keywords/>
  <dc:description/>
  <cp:lastModifiedBy>Gutsche, Robin</cp:lastModifiedBy>
  <cp:revision>2</cp:revision>
  <dcterms:created xsi:type="dcterms:W3CDTF">2026-09-25T15:53:00Z</dcterms:created>
  <dcterms:modified xsi:type="dcterms:W3CDTF">2026-09-25T22:55:00Z</dcterms:modified>
</cp:coreProperties>
</file>