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74CF34" w14:textId="77777777" w:rsidR="00A951E5" w:rsidRPr="00A951E5" w:rsidRDefault="00A951E5" w:rsidP="00A951E5">
      <w:r w:rsidRPr="00A951E5">
        <w:rPr>
          <w:b/>
          <w:bCs/>
        </w:rPr>
        <w:t>Anrede</w:t>
      </w:r>
      <w:r w:rsidRPr="00A951E5">
        <w:t xml:space="preserve"> </w:t>
      </w:r>
    </w:p>
    <w:p w14:paraId="193DCC58" w14:textId="77777777" w:rsidR="00A951E5" w:rsidRPr="00A951E5" w:rsidRDefault="00F0259B" w:rsidP="00A951E5">
      <w:r>
        <w:rPr>
          <w:noProof/>
        </w:rPr>
      </w:r>
      <w:r>
        <w:pict w14:anchorId="63F40E2A">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2D50643" w14:textId="77777777" w:rsidR="00A951E5" w:rsidRPr="00A951E5" w:rsidRDefault="00A951E5" w:rsidP="00A951E5">
      <w:r w:rsidRPr="00A951E5">
        <w:t xml:space="preserve">Sehr geehrte Frau Kollegin, </w:t>
      </w:r>
    </w:p>
    <w:p w14:paraId="715E1E51" w14:textId="77777777" w:rsidR="00A951E5" w:rsidRPr="00A951E5" w:rsidRDefault="00A951E5" w:rsidP="00A951E5">
      <w:r w:rsidRPr="00A951E5">
        <w:t> </w:t>
      </w:r>
    </w:p>
    <w:p w14:paraId="42BDEB82" w14:textId="6AC4838E" w:rsidR="00A951E5" w:rsidRPr="00A951E5" w:rsidRDefault="00A951E5" w:rsidP="00A951E5">
      <w:r w:rsidRPr="00A951E5">
        <w:t xml:space="preserve">wir berichten über unseren gemeinsamen Patienten, </w:t>
      </w:r>
      <w:r w:rsidR="00F11604">
        <w:t>9,</w:t>
      </w:r>
      <w:r w:rsidRPr="00A951E5">
        <w:t xml:space="preserve"> der sich am 28.05.2020 ambulant vorstellte.</w:t>
      </w:r>
    </w:p>
    <w:p w14:paraId="0B00AB3A" w14:textId="77777777" w:rsidR="00A951E5" w:rsidRPr="00A951E5" w:rsidRDefault="00A951E5" w:rsidP="00A951E5">
      <w:r w:rsidRPr="00A951E5">
        <w:br/>
      </w:r>
      <w:r w:rsidRPr="00A951E5">
        <w:br/>
      </w:r>
      <w:r w:rsidRPr="00A951E5">
        <w:rPr>
          <w:b/>
          <w:bCs/>
        </w:rPr>
        <w:t>Diagnosen</w:t>
      </w:r>
      <w:r w:rsidRPr="00A951E5">
        <w:t xml:space="preserve"> </w:t>
      </w:r>
    </w:p>
    <w:p w14:paraId="33B5911C" w14:textId="77777777" w:rsidR="00A951E5" w:rsidRPr="00A951E5" w:rsidRDefault="00F0259B" w:rsidP="00A951E5">
      <w:r>
        <w:rPr>
          <w:noProof/>
        </w:rPr>
      </w:r>
      <w:r>
        <w:pict w14:anchorId="3BFF1453">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78CAC1F" w14:textId="77777777" w:rsidR="00A951E5" w:rsidRPr="00A951E5" w:rsidRDefault="00A951E5" w:rsidP="00A951E5">
      <w:r w:rsidRPr="00A951E5">
        <w:t>1. axiale Spondylarthritis bei entzündlichen Rückenschmerzen seit 2019 (ED 01.2020)</w:t>
      </w:r>
    </w:p>
    <w:p w14:paraId="4AB41001" w14:textId="77777777" w:rsidR="00A951E5" w:rsidRPr="00A951E5" w:rsidRDefault="00A951E5" w:rsidP="00A951E5">
      <w:pPr>
        <w:numPr>
          <w:ilvl w:val="0"/>
          <w:numId w:val="1"/>
        </w:numPr>
      </w:pPr>
      <w:r w:rsidRPr="00A951E5">
        <w:t>HLA-B27 extern negativ</w:t>
      </w:r>
    </w:p>
    <w:p w14:paraId="78D6E208" w14:textId="77777777" w:rsidR="00A951E5" w:rsidRPr="00A951E5" w:rsidRDefault="00A951E5" w:rsidP="00A951E5">
      <w:pPr>
        <w:numPr>
          <w:ilvl w:val="0"/>
          <w:numId w:val="1"/>
        </w:numPr>
      </w:pPr>
      <w:r w:rsidRPr="00A951E5">
        <w:t>MRT-ISG und LWS mit KM (17.12.2019): entzündliche Spondyloarthropathie mit Beteiligung der ISG.</w:t>
      </w:r>
    </w:p>
    <w:p w14:paraId="66AA4DC8" w14:textId="77777777" w:rsidR="00A951E5" w:rsidRPr="00A951E5" w:rsidRDefault="00A951E5" w:rsidP="00A951E5">
      <w:pPr>
        <w:numPr>
          <w:ilvl w:val="0"/>
          <w:numId w:val="1"/>
        </w:numPr>
      </w:pPr>
      <w:r w:rsidRPr="00A951E5">
        <w:t>FAPI-PET/CT 01/2020: mesenchymale Entzündung im Bereich LWK4. NB: kräftige FAPI-Anreicherung im Rektum bei ct-morphologisch imponierender Rektumwandverdickung. Weitere Abklärung empfohlen.</w:t>
      </w:r>
    </w:p>
    <w:p w14:paraId="2E76DBAE" w14:textId="77777777" w:rsidR="00A951E5" w:rsidRPr="00A951E5" w:rsidRDefault="00A951E5" w:rsidP="00A951E5">
      <w:pPr>
        <w:numPr>
          <w:ilvl w:val="0"/>
          <w:numId w:val="1"/>
        </w:numPr>
      </w:pPr>
      <w:r w:rsidRPr="00A951E5">
        <w:t>Immunologie: ANA 1:320</w:t>
      </w:r>
    </w:p>
    <w:p w14:paraId="20D67CE0" w14:textId="77777777" w:rsidR="00A951E5" w:rsidRPr="00A951E5" w:rsidRDefault="00A951E5" w:rsidP="00A951E5">
      <w:pPr>
        <w:numPr>
          <w:ilvl w:val="0"/>
          <w:numId w:val="1"/>
        </w:numPr>
      </w:pPr>
      <w:r w:rsidRPr="00A951E5">
        <w:t xml:space="preserve">Keine Psoriasis, keine Darmentzündung, keine Augenentzündung </w:t>
      </w:r>
    </w:p>
    <w:p w14:paraId="5F816EF8" w14:textId="77777777" w:rsidR="00A951E5" w:rsidRPr="00A951E5" w:rsidRDefault="00A951E5" w:rsidP="00A951E5">
      <w:pPr>
        <w:numPr>
          <w:ilvl w:val="0"/>
          <w:numId w:val="1"/>
        </w:numPr>
      </w:pPr>
      <w:r w:rsidRPr="00A951E5">
        <w:t>Z.n. Therapie mit 2 NSAR ohne ausreichendes Therapieansprechen</w:t>
      </w:r>
    </w:p>
    <w:p w14:paraId="038B18E2" w14:textId="77777777" w:rsidR="00A951E5" w:rsidRPr="00A951E5" w:rsidRDefault="00A951E5" w:rsidP="00A951E5">
      <w:pPr>
        <w:numPr>
          <w:ilvl w:val="0"/>
          <w:numId w:val="1"/>
        </w:numPr>
      </w:pPr>
      <w:r w:rsidRPr="00A951E5">
        <w:rPr>
          <w:u w:val="single"/>
        </w:rPr>
        <w:t>aktuelle Therapie:</w:t>
      </w:r>
      <w:r w:rsidRPr="00A951E5">
        <w:t xml:space="preserve"> Secukinumab 150 mg/4 Wochen seit 02/2020</w:t>
      </w:r>
    </w:p>
    <w:p w14:paraId="0A464217" w14:textId="77777777" w:rsidR="00A951E5" w:rsidRPr="00A951E5" w:rsidRDefault="00A951E5" w:rsidP="00A951E5">
      <w:r w:rsidRPr="00A951E5">
        <w:t>2. Quantiferon positiv, Röntgen-Thorax (12.2019) unauffällig; Therapie mit Isoniazid 300 mg 1x/Tag seit 15.01.2020 </w:t>
      </w:r>
    </w:p>
    <w:p w14:paraId="4462115F" w14:textId="77777777" w:rsidR="00A951E5" w:rsidRPr="00A951E5" w:rsidRDefault="00A951E5" w:rsidP="00A951E5">
      <w:r w:rsidRPr="00A951E5">
        <w:t>3. Z.n. abgelaufene Hepatitis B mit Serokonversion; HBV-DNA negativ (09/2019). </w:t>
      </w:r>
    </w:p>
    <w:p w14:paraId="01413904" w14:textId="77777777" w:rsidR="00A951E5" w:rsidRPr="00A951E5" w:rsidRDefault="00A951E5" w:rsidP="00A951E5">
      <w:r w:rsidRPr="00A951E5">
        <w:br/>
      </w:r>
      <w:r w:rsidRPr="00A951E5">
        <w:br/>
      </w:r>
      <w:r w:rsidRPr="00A951E5">
        <w:rPr>
          <w:b/>
          <w:bCs/>
        </w:rPr>
        <w:t>Therapiehistorie</w:t>
      </w:r>
      <w:r w:rsidRPr="00A951E5">
        <w:t xml:space="preserve"> </w:t>
      </w:r>
    </w:p>
    <w:p w14:paraId="3E34F737" w14:textId="77777777" w:rsidR="00A951E5" w:rsidRPr="00A951E5" w:rsidRDefault="00F0259B" w:rsidP="00A951E5">
      <w:r>
        <w:rPr>
          <w:noProof/>
        </w:rPr>
      </w:r>
      <w:r>
        <w:pict w14:anchorId="04C231D4">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0FCCBA1" w14:textId="77777777" w:rsidR="00A951E5" w:rsidRPr="00A951E5" w:rsidRDefault="00A951E5" w:rsidP="00A951E5">
      <w:r w:rsidRPr="00A951E5">
        <w:rPr>
          <w:u w:val="single"/>
        </w:rPr>
        <w:t>Dauermedikation:</w:t>
      </w:r>
    </w:p>
    <w:p w14:paraId="4D1CABD7" w14:textId="77777777" w:rsidR="00A951E5" w:rsidRPr="00A951E5" w:rsidRDefault="00A951E5" w:rsidP="00A951E5">
      <w:r w:rsidRPr="00A951E5">
        <w:t xml:space="preserve">Diclofenac bei Bed. </w:t>
      </w:r>
    </w:p>
    <w:p w14:paraId="5FF93477" w14:textId="77777777" w:rsidR="00A951E5" w:rsidRPr="00A951E5" w:rsidRDefault="00A951E5" w:rsidP="00A951E5">
      <w:r w:rsidRPr="00A951E5">
        <w:t>Arcoxia 90 mg 1-0-0 (seit 15.01.2020)</w:t>
      </w:r>
    </w:p>
    <w:p w14:paraId="765E9F81" w14:textId="77777777" w:rsidR="00A951E5" w:rsidRPr="00A951E5" w:rsidRDefault="00A951E5" w:rsidP="00A951E5">
      <w:r w:rsidRPr="00A951E5">
        <w:lastRenderedPageBreak/>
        <w:t>Isoniazid 300 mg 1-0-0 (seit 15.01.2020)</w:t>
      </w:r>
    </w:p>
    <w:p w14:paraId="271A15BF" w14:textId="77777777" w:rsidR="00A951E5" w:rsidRPr="00A951E5" w:rsidRDefault="00A951E5" w:rsidP="00A951E5">
      <w:r w:rsidRPr="00A951E5">
        <w:t>Secukinumab 150 mg seit 19.02.2020</w:t>
      </w:r>
    </w:p>
    <w:p w14:paraId="2EC0F9DC" w14:textId="77777777" w:rsidR="00A951E5" w:rsidRPr="00A951E5" w:rsidRDefault="00A951E5" w:rsidP="00A951E5">
      <w:r w:rsidRPr="00A951E5">
        <w:t> </w:t>
      </w:r>
    </w:p>
    <w:p w14:paraId="3C3E2C9D" w14:textId="77777777" w:rsidR="00A951E5" w:rsidRPr="00A951E5" w:rsidRDefault="00A951E5" w:rsidP="00A951E5">
      <w:r w:rsidRPr="00A951E5">
        <w:t>Pantoprazol neu 05/2020</w:t>
      </w:r>
    </w:p>
    <w:p w14:paraId="384245A6" w14:textId="77777777" w:rsidR="00A951E5" w:rsidRPr="00A951E5" w:rsidRDefault="00A951E5" w:rsidP="00A951E5">
      <w:r w:rsidRPr="00A951E5">
        <w:t>Vomex bei Übelkeit neu 05/2020</w:t>
      </w:r>
    </w:p>
    <w:p w14:paraId="6176B723" w14:textId="77777777" w:rsidR="00A951E5" w:rsidRPr="00A951E5" w:rsidRDefault="00A951E5" w:rsidP="00A951E5">
      <w:r w:rsidRPr="00A951E5">
        <w:br/>
      </w:r>
      <w:r w:rsidRPr="00A951E5">
        <w:br/>
      </w:r>
      <w:r w:rsidRPr="00A951E5">
        <w:rPr>
          <w:b/>
          <w:bCs/>
        </w:rPr>
        <w:t>Anamnese</w:t>
      </w:r>
      <w:r w:rsidRPr="00A951E5">
        <w:t xml:space="preserve"> </w:t>
      </w:r>
    </w:p>
    <w:p w14:paraId="225C9EA5" w14:textId="77777777" w:rsidR="00A951E5" w:rsidRPr="00A951E5" w:rsidRDefault="00F0259B" w:rsidP="00A951E5">
      <w:r>
        <w:rPr>
          <w:noProof/>
        </w:rPr>
      </w:r>
      <w:r>
        <w:pict w14:anchorId="790B981D">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63EED1E" w14:textId="77777777" w:rsidR="00A951E5" w:rsidRPr="00A951E5" w:rsidRDefault="00A951E5" w:rsidP="00A951E5">
      <w:r w:rsidRPr="00A951E5">
        <w:t xml:space="preserve">Wiedervorstellung bei bek. axiale Spondylarthritis. Der Patient kommt in Begleitung von dem Sohn, der übersetzt. </w:t>
      </w:r>
    </w:p>
    <w:p w14:paraId="471B752F" w14:textId="77777777" w:rsidR="00A951E5" w:rsidRPr="00A951E5" w:rsidRDefault="00A951E5" w:rsidP="00A951E5">
      <w:r w:rsidRPr="00A951E5">
        <w:t xml:space="preserve">Unter Secukinumab, weiter unverändert tiefsitzender Rückenschmerz. Er habe keinerlei Ansprechen der Beschwerden bemerkt. Nach dem Spritzen leide er an Appetitlosigkeit und Übelkeit. MS sei ca. 60 Minuten.  Der Patient verneint Schmerzen oder Schwellungen bei sonstigen Gelenken sowie Fieber oder kürzliche Infektionen. Er nehme regelmäßig Isoniazid. VAS 10. PtGA 10 </w:t>
      </w:r>
    </w:p>
    <w:p w14:paraId="036B6B63" w14:textId="77777777" w:rsidR="00A951E5" w:rsidRPr="00A951E5" w:rsidRDefault="00A951E5" w:rsidP="00A951E5">
      <w:r w:rsidRPr="00A951E5">
        <w:t xml:space="preserve">Stuhlgang und Miktion unauffällig. Weiterhin keine Veränderungen seit letzter Vorstellung. </w:t>
      </w:r>
    </w:p>
    <w:p w14:paraId="4B036A3D" w14:textId="77777777" w:rsidR="00A951E5" w:rsidRPr="00A951E5" w:rsidRDefault="00A951E5" w:rsidP="00A951E5">
      <w:r w:rsidRPr="00A951E5">
        <w:br/>
      </w:r>
      <w:r w:rsidRPr="00A951E5">
        <w:br/>
      </w:r>
      <w:r w:rsidRPr="00A951E5">
        <w:rPr>
          <w:b/>
          <w:bCs/>
        </w:rPr>
        <w:t>Untersuchungsbefund</w:t>
      </w:r>
      <w:r w:rsidRPr="00A951E5">
        <w:t xml:space="preserve"> </w:t>
      </w:r>
    </w:p>
    <w:p w14:paraId="5D0F859E" w14:textId="77777777" w:rsidR="00A951E5" w:rsidRPr="00A951E5" w:rsidRDefault="00F0259B" w:rsidP="00A951E5">
      <w:r>
        <w:rPr>
          <w:noProof/>
        </w:rPr>
      </w:r>
      <w:r>
        <w:pict w14:anchorId="747094AC">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785E7F9" w14:textId="77777777" w:rsidR="00A951E5" w:rsidRPr="00A951E5" w:rsidRDefault="00A951E5" w:rsidP="00A951E5">
      <w:r w:rsidRPr="00A951E5">
        <w:t>Guter AEZ</w:t>
      </w:r>
    </w:p>
    <w:p w14:paraId="272112AD" w14:textId="77777777" w:rsidR="00A951E5" w:rsidRPr="00A951E5" w:rsidRDefault="00A951E5" w:rsidP="00A951E5">
      <w:r w:rsidRPr="00A951E5">
        <w:t>Cor/Pulmo: opB</w:t>
      </w:r>
    </w:p>
    <w:p w14:paraId="3AD63ACF" w14:textId="77777777" w:rsidR="00A951E5" w:rsidRPr="00A951E5" w:rsidRDefault="00A951E5" w:rsidP="00A951E5">
      <w:r w:rsidRPr="00A951E5">
        <w:t>keine Gelenkschwellungen</w:t>
      </w:r>
    </w:p>
    <w:p w14:paraId="479AE75F" w14:textId="77777777" w:rsidR="00A951E5" w:rsidRPr="00A951E5" w:rsidRDefault="00A951E5" w:rsidP="00A951E5">
      <w:r w:rsidRPr="00A951E5">
        <w:t xml:space="preserve">LWS DS, Patrick-Zeichen bds positiv, DS LWS, BASMI 1 </w:t>
      </w:r>
    </w:p>
    <w:p w14:paraId="1CAB0EFD" w14:textId="77777777" w:rsidR="00A951E5" w:rsidRPr="00A951E5" w:rsidRDefault="00A951E5" w:rsidP="00A951E5">
      <w:r w:rsidRPr="00A951E5">
        <w:t>Haut o.a.B.</w:t>
      </w:r>
    </w:p>
    <w:p w14:paraId="696AD3D4" w14:textId="77777777" w:rsidR="00A951E5" w:rsidRPr="00A951E5" w:rsidRDefault="00A951E5" w:rsidP="00A951E5">
      <w:r w:rsidRPr="00A951E5">
        <w:t>HAQ 0, BAS-G 10; BASFI 5,3; BASDAI 9,9; VAS Arzt 2</w:t>
      </w:r>
    </w:p>
    <w:p w14:paraId="424D56A4" w14:textId="77777777" w:rsidR="00A951E5" w:rsidRPr="00A951E5" w:rsidRDefault="00A951E5" w:rsidP="00A951E5">
      <w:r w:rsidRPr="00A951E5">
        <w:br/>
      </w:r>
      <w:r w:rsidRPr="00A951E5">
        <w:br/>
      </w:r>
      <w:r w:rsidRPr="00A951E5">
        <w:rPr>
          <w:b/>
          <w:bCs/>
        </w:rPr>
        <w:t>Laborwerte</w:t>
      </w:r>
      <w:r w:rsidRPr="00A951E5">
        <w:t xml:space="preserve"> </w:t>
      </w:r>
    </w:p>
    <w:p w14:paraId="2C019743" w14:textId="77777777" w:rsidR="00A951E5" w:rsidRPr="00A951E5" w:rsidRDefault="00F0259B" w:rsidP="00A951E5">
      <w:r>
        <w:rPr>
          <w:noProof/>
        </w:rPr>
      </w:r>
      <w:r>
        <w:pict w14:anchorId="7B71443C">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414BC55" w14:textId="77777777" w:rsidR="00A951E5" w:rsidRPr="00A951E5" w:rsidRDefault="00A951E5" w:rsidP="00A951E5">
      <w:r w:rsidRPr="00A951E5">
        <w:lastRenderedPageBreak/>
        <w:t xml:space="preserve">Pat. ohne BE gegangen. Ein Ersatztermin wurde durch den Pat. nicht wahrgenommen. </w:t>
      </w:r>
    </w:p>
    <w:p w14:paraId="3A89DE4C" w14:textId="77777777" w:rsidR="00A951E5" w:rsidRPr="00A951E5" w:rsidRDefault="00A951E5" w:rsidP="00A951E5">
      <w:r w:rsidRPr="00A951E5">
        <w:br/>
      </w:r>
      <w:r w:rsidRPr="00A951E5">
        <w:br/>
      </w:r>
      <w:r w:rsidRPr="00A951E5">
        <w:rPr>
          <w:b/>
          <w:bCs/>
        </w:rPr>
        <w:t>Verlauf und Beurteilung</w:t>
      </w:r>
      <w:r w:rsidRPr="00A951E5">
        <w:t xml:space="preserve"> </w:t>
      </w:r>
    </w:p>
    <w:p w14:paraId="5621E625" w14:textId="77777777" w:rsidR="00A951E5" w:rsidRPr="00A951E5" w:rsidRDefault="00F0259B" w:rsidP="00A951E5">
      <w:r>
        <w:rPr>
          <w:noProof/>
        </w:rPr>
      </w:r>
      <w:r>
        <w:pict w14:anchorId="0C7B82FA">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D86FFCA" w14:textId="77777777" w:rsidR="00A951E5" w:rsidRPr="00A951E5" w:rsidRDefault="00A951E5" w:rsidP="00A951E5">
      <w:r w:rsidRPr="00A951E5">
        <w:t>VK bei axialer SpA unter Secukinumab 150 mg - Klinisch zeigte sich keine Besserung der Beschwerden nach Umstellung auf Secukinumab.  </w:t>
      </w:r>
    </w:p>
    <w:p w14:paraId="6F0FED3A" w14:textId="77777777" w:rsidR="00A951E5" w:rsidRPr="00A951E5" w:rsidRDefault="00A951E5" w:rsidP="00A951E5">
      <w:r w:rsidRPr="00A951E5">
        <w:t xml:space="preserve">Zur Einschätzung der Erkrankungsaktivität vereinbarten wir ein LWS-Sakrum-MRT und eine erneute FAPI-PET-CT (Verlaufskontrolle). </w:t>
      </w:r>
    </w:p>
    <w:p w14:paraId="510CCC38" w14:textId="77777777" w:rsidR="00A951E5" w:rsidRPr="00A951E5" w:rsidRDefault="00A951E5" w:rsidP="00A951E5">
      <w:r w:rsidRPr="00A951E5">
        <w:t xml:space="preserve">Zur besseren Verträglichkeit von Secukinumab verschrieben wir Pantoprazol 40 mg 1-0-0 (Magenschutz). Gegen die Übelkeit kann zudem Vomex eingenommen werden. Bei guter Verträglichkeit im Verlauf kann eine Erhöhung von Secukinumab auf 300 mg/4 Wochen versucht werden. </w:t>
      </w:r>
    </w:p>
    <w:p w14:paraId="73036DD0" w14:textId="77777777" w:rsidR="00A951E5" w:rsidRPr="00A951E5" w:rsidRDefault="00A951E5" w:rsidP="00A951E5">
      <w:r w:rsidRPr="00A951E5">
        <w:t xml:space="preserve">Unter Secukinumab sollen weiter klinische und laborchemische Kontrollen nach Maßgabe der DGRh alle 3 Monate durchgeführt werden. </w:t>
      </w:r>
    </w:p>
    <w:p w14:paraId="6598ACDC" w14:textId="77777777" w:rsidR="00A951E5" w:rsidRPr="00A951E5" w:rsidRDefault="00A951E5" w:rsidP="00A951E5">
      <w:r w:rsidRPr="00A951E5">
        <w:t xml:space="preserve">Da Herr Raducu bei dieser Vorstellung ohne BE gegangen ist und ein Ersatztermin versäumt wurde, bitten wir um eine hausärztliche Laborkontrolle mit großem BB, CRP, BSG, Leber- und Nierenfunktionswerten und Nachreichen des Befundes. Alternativ kann ein erneuter Termin in unserer HSA vereinbart werden. </w:t>
      </w:r>
    </w:p>
    <w:p w14:paraId="2D2C6E22" w14:textId="77777777" w:rsidR="00A951E5" w:rsidRPr="00A951E5" w:rsidRDefault="00A951E5" w:rsidP="00A951E5">
      <w:r w:rsidRPr="00A951E5">
        <w:t>Zusätzlich empfehlen wir die feste Einnahme von NSAR bei Rückenschmerzen (z.B. Ibuprofen 800 mg, max. 3xtgl.) und physiotherapeutische Beübung.</w:t>
      </w:r>
    </w:p>
    <w:p w14:paraId="1C89CBA5" w14:textId="77777777" w:rsidR="00A951E5" w:rsidRPr="00A951E5" w:rsidRDefault="00A951E5" w:rsidP="00A951E5">
      <w:r w:rsidRPr="00A951E5">
        <w:t>Bezüglich der Positivität für Quantiferon TB ist die Therapie mit Isoniazid für insgesamt 9 Monate geplant. </w:t>
      </w:r>
    </w:p>
    <w:p w14:paraId="6D5642BE" w14:textId="77777777" w:rsidR="00A951E5" w:rsidRPr="00A951E5" w:rsidRDefault="00A951E5" w:rsidP="00A951E5">
      <w:r w:rsidRPr="00A951E5">
        <w:t> </w:t>
      </w:r>
    </w:p>
    <w:p w14:paraId="214B7002" w14:textId="77777777" w:rsidR="00A951E5" w:rsidRPr="00A951E5" w:rsidRDefault="00A951E5" w:rsidP="00A951E5">
      <w:r w:rsidRPr="00A951E5">
        <w:t>Eine WV bei uns ist in 3-4 Monaten geplant, bei Bedarf auch früher nach tel. Rücksprache. Für Rückfragen stehen wir gerne zur Verfügung. Sollte es zu einer Verschlechterung der Beschwerden kommen, ist eine kurzfristige Wiedervorstellung nach tel. Rücksprache (Telefon 09131/85-34742) oder am einfachsten per Mail (m3hsa@uk-erlangen.de) möglich.         </w:t>
      </w:r>
    </w:p>
    <w:p w14:paraId="6614AF4D" w14:textId="77777777" w:rsidR="00A951E5" w:rsidRPr="00A951E5" w:rsidRDefault="00A951E5" w:rsidP="00A951E5">
      <w:r w:rsidRPr="00A951E5">
        <w:br/>
      </w:r>
      <w:r w:rsidRPr="00A951E5">
        <w:br/>
      </w:r>
      <w:r w:rsidRPr="00A951E5">
        <w:rPr>
          <w:b/>
          <w:bCs/>
        </w:rPr>
        <w:t>Therapieempfehlung</w:t>
      </w:r>
      <w:r w:rsidRPr="00A951E5">
        <w:t xml:space="preserve"> </w:t>
      </w:r>
    </w:p>
    <w:p w14:paraId="42960E1D" w14:textId="77777777" w:rsidR="00A951E5" w:rsidRPr="00A951E5" w:rsidRDefault="00F0259B" w:rsidP="00A951E5">
      <w:r>
        <w:rPr>
          <w:noProof/>
        </w:rPr>
      </w:r>
      <w:r>
        <w:pict w14:anchorId="1A98A882">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1A85304" w14:textId="77777777" w:rsidR="00A951E5" w:rsidRPr="00A951E5" w:rsidRDefault="00A951E5" w:rsidP="00A951E5">
      <w:pPr>
        <w:numPr>
          <w:ilvl w:val="0"/>
          <w:numId w:val="2"/>
        </w:numPr>
      </w:pPr>
      <w:r w:rsidRPr="00A951E5">
        <w:t xml:space="preserve">Secukinumab 150 mg 1alle 4 Wochen unter klinischen und serologischen Kontrollen nach Maßgabe der DGRh alle 3 Monate </w:t>
      </w:r>
    </w:p>
    <w:p w14:paraId="01858A30" w14:textId="77777777" w:rsidR="00A951E5" w:rsidRPr="00A951E5" w:rsidRDefault="00A951E5" w:rsidP="00A951E5">
      <w:pPr>
        <w:numPr>
          <w:ilvl w:val="0"/>
          <w:numId w:val="2"/>
        </w:numPr>
      </w:pPr>
      <w:r w:rsidRPr="00A951E5">
        <w:lastRenderedPageBreak/>
        <w:t xml:space="preserve">Ibuprofen 800 mg fest bei Rückenschmerzen (max. 3x tgl.). Regelmäßige Kontrollen von großem BB, Leber- und Nierenfunktionswerten bei fester Einnahme. </w:t>
      </w:r>
    </w:p>
    <w:p w14:paraId="7B12FCB8" w14:textId="77777777" w:rsidR="00A951E5" w:rsidRPr="00A951E5" w:rsidRDefault="00A951E5" w:rsidP="00A951E5">
      <w:pPr>
        <w:numPr>
          <w:ilvl w:val="0"/>
          <w:numId w:val="2"/>
        </w:numPr>
      </w:pPr>
      <w:r w:rsidRPr="00A951E5">
        <w:t xml:space="preserve">Isoniazid 300 mg 1-0-0 für insgesamt 9 Monate </w:t>
      </w:r>
    </w:p>
    <w:p w14:paraId="22762245" w14:textId="77777777" w:rsidR="00A951E5" w:rsidRPr="00A951E5" w:rsidRDefault="00A951E5" w:rsidP="00A951E5">
      <w:pPr>
        <w:numPr>
          <w:ilvl w:val="0"/>
          <w:numId w:val="2"/>
        </w:numPr>
      </w:pPr>
      <w:r w:rsidRPr="00A951E5">
        <w:rPr>
          <w:b/>
          <w:bCs/>
        </w:rPr>
        <w:t>hausärztliche Laborkontrolle mit großem BB, CRP, BSG, Leber- und Nierenfunktionswerten und Nachreichen des Befundes</w:t>
      </w:r>
      <w:r w:rsidRPr="00A951E5">
        <w:t xml:space="preserve"> </w:t>
      </w:r>
    </w:p>
    <w:p w14:paraId="290D8703" w14:textId="77777777" w:rsidR="00A951E5" w:rsidRPr="00A951E5" w:rsidRDefault="00A951E5" w:rsidP="00A951E5">
      <w:pPr>
        <w:numPr>
          <w:ilvl w:val="0"/>
          <w:numId w:val="2"/>
        </w:numPr>
      </w:pPr>
      <w:r w:rsidRPr="00A951E5">
        <w:rPr>
          <w:b/>
          <w:bCs/>
        </w:rPr>
        <w:t xml:space="preserve">FAPI-PET/CT, terminiert für den 31.7.20 um 12 Uhr. Bitte Überweisungsschein für die Nuklearmedizin mitbringen! </w:t>
      </w:r>
    </w:p>
    <w:p w14:paraId="07013EAF" w14:textId="77777777" w:rsidR="00A951E5" w:rsidRPr="00A951E5" w:rsidRDefault="00A951E5" w:rsidP="00A951E5">
      <w:r w:rsidRPr="00A951E5">
        <w:br/>
      </w:r>
      <w:r w:rsidRPr="00A951E5">
        <w:br/>
      </w:r>
      <w:r w:rsidRPr="00A951E5">
        <w:rPr>
          <w:b/>
          <w:bCs/>
        </w:rPr>
        <w:t>Schluss</w:t>
      </w:r>
      <w:r w:rsidRPr="00A951E5">
        <w:t xml:space="preserve"> </w:t>
      </w:r>
    </w:p>
    <w:p w14:paraId="55CE62B7" w14:textId="77777777" w:rsidR="00A951E5" w:rsidRPr="00A951E5" w:rsidRDefault="00F0259B" w:rsidP="00A951E5">
      <w:r>
        <w:rPr>
          <w:noProof/>
        </w:rPr>
      </w:r>
      <w:r>
        <w:pict w14:anchorId="2D4DDADA">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9ADE796" w14:textId="77777777" w:rsidR="00A951E5" w:rsidRPr="00A951E5" w:rsidRDefault="00A951E5" w:rsidP="00A951E5">
      <w:r w:rsidRPr="00A951E5">
        <w:t>Mit freundlichen kollegialen Grüßen</w:t>
      </w:r>
    </w:p>
    <w:p w14:paraId="4F9A4EEA" w14:textId="77777777" w:rsidR="00A951E5" w:rsidRPr="00A951E5" w:rsidRDefault="00A951E5" w:rsidP="00A951E5">
      <w:r w:rsidRPr="00A951E5">
        <w:t> </w:t>
      </w:r>
    </w:p>
    <w:p w14:paraId="6DD256A6" w14:textId="77777777" w:rsidR="00A951E5" w:rsidRPr="00A951E5" w:rsidRDefault="00A951E5" w:rsidP="00A951E5">
      <w:r w:rsidRPr="00A951E5">
        <w:t> </w:t>
      </w:r>
    </w:p>
    <w:p w14:paraId="395310DF" w14:textId="77777777" w:rsidR="00A951E5" w:rsidRPr="00A951E5" w:rsidRDefault="00A951E5" w:rsidP="00A951E5">
      <w:r w:rsidRPr="00A951E5">
        <w:t> </w:t>
      </w:r>
    </w:p>
    <w:p w14:paraId="42BB0A83" w14:textId="77777777" w:rsidR="00A951E5" w:rsidRPr="00A951E5" w:rsidRDefault="00A951E5" w:rsidP="00A951E5">
      <w:r w:rsidRPr="00A951E5">
        <w:t> </w:t>
      </w:r>
    </w:p>
    <w:tbl>
      <w:tblPr>
        <w:tblW w:w="5000" w:type="pct"/>
        <w:tblCellMar>
          <w:left w:w="0" w:type="dxa"/>
          <w:right w:w="0" w:type="dxa"/>
        </w:tblCellMar>
        <w:tblLook w:val="04A0" w:firstRow="1" w:lastRow="0" w:firstColumn="1" w:lastColumn="0" w:noHBand="0" w:noVBand="1"/>
      </w:tblPr>
      <w:tblGrid>
        <w:gridCol w:w="9072"/>
      </w:tblGrid>
      <w:tr w:rsidR="00A951E5" w:rsidRPr="00A951E5" w14:paraId="37CDC921" w14:textId="77777777" w:rsidTr="00A951E5">
        <w:tc>
          <w:tcPr>
            <w:tcW w:w="1700" w:type="pct"/>
            <w:hideMark/>
          </w:tcPr>
          <w:p w14:paraId="1C8F12B7" w14:textId="77777777" w:rsidR="00A951E5" w:rsidRPr="00A951E5" w:rsidRDefault="00A951E5" w:rsidP="00A951E5">
            <w:r w:rsidRPr="00A951E5">
              <w:t>PD Dr. med. A. Ramming</w:t>
            </w:r>
          </w:p>
        </w:tc>
      </w:tr>
    </w:tbl>
    <w:p w14:paraId="793DB0A5" w14:textId="77777777" w:rsidR="00A951E5" w:rsidRDefault="00A951E5"/>
    <w:sectPr w:rsidR="00A951E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384DC5"/>
    <w:multiLevelType w:val="multilevel"/>
    <w:tmpl w:val="6ED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72E9F"/>
    <w:multiLevelType w:val="multilevel"/>
    <w:tmpl w:val="AA483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888888">
    <w:abstractNumId w:val="0"/>
  </w:num>
  <w:num w:numId="2" w16cid:durableId="12603360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1E5"/>
    <w:rsid w:val="0092470E"/>
    <w:rsid w:val="00A951E5"/>
    <w:rsid w:val="00B761FA"/>
    <w:rsid w:val="00D93C9C"/>
    <w:rsid w:val="00F0259B"/>
    <w:rsid w:val="00F116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B5551C6"/>
  <w15:chartTrackingRefBased/>
  <w15:docId w15:val="{090208FE-0754-41AC-9632-DD980A175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95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95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951E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951E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951E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951E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951E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951E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951E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51E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951E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951E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951E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951E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951E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951E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951E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951E5"/>
    <w:rPr>
      <w:rFonts w:eastAsiaTheme="majorEastAsia" w:cstheme="majorBidi"/>
      <w:color w:val="272727" w:themeColor="text1" w:themeTint="D8"/>
    </w:rPr>
  </w:style>
  <w:style w:type="paragraph" w:styleId="Titel">
    <w:name w:val="Title"/>
    <w:basedOn w:val="Standard"/>
    <w:next w:val="Standard"/>
    <w:link w:val="TitelZchn"/>
    <w:uiPriority w:val="10"/>
    <w:qFormat/>
    <w:rsid w:val="00A95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951E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951E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951E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951E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951E5"/>
    <w:rPr>
      <w:i/>
      <w:iCs/>
      <w:color w:val="404040" w:themeColor="text1" w:themeTint="BF"/>
    </w:rPr>
  </w:style>
  <w:style w:type="paragraph" w:styleId="Listenabsatz">
    <w:name w:val="List Paragraph"/>
    <w:basedOn w:val="Standard"/>
    <w:uiPriority w:val="34"/>
    <w:qFormat/>
    <w:rsid w:val="00A951E5"/>
    <w:pPr>
      <w:ind w:left="720"/>
      <w:contextualSpacing/>
    </w:pPr>
  </w:style>
  <w:style w:type="character" w:styleId="IntensiveHervorhebung">
    <w:name w:val="Intense Emphasis"/>
    <w:basedOn w:val="Absatz-Standardschriftart"/>
    <w:uiPriority w:val="21"/>
    <w:qFormat/>
    <w:rsid w:val="00A951E5"/>
    <w:rPr>
      <w:i/>
      <w:iCs/>
      <w:color w:val="0F4761" w:themeColor="accent1" w:themeShade="BF"/>
    </w:rPr>
  </w:style>
  <w:style w:type="paragraph" w:styleId="IntensivesZitat">
    <w:name w:val="Intense Quote"/>
    <w:basedOn w:val="Standard"/>
    <w:next w:val="Standard"/>
    <w:link w:val="IntensivesZitatZchn"/>
    <w:uiPriority w:val="30"/>
    <w:qFormat/>
    <w:rsid w:val="00A95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951E5"/>
    <w:rPr>
      <w:i/>
      <w:iCs/>
      <w:color w:val="0F4761" w:themeColor="accent1" w:themeShade="BF"/>
    </w:rPr>
  </w:style>
  <w:style w:type="character" w:styleId="IntensiverVerweis">
    <w:name w:val="Intense Reference"/>
    <w:basedOn w:val="Absatz-Standardschriftart"/>
    <w:uiPriority w:val="32"/>
    <w:qFormat/>
    <w:rsid w:val="00A951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06164093">
      <w:bodyDiv w:val="1"/>
      <w:marLeft w:val="0"/>
      <w:marRight w:val="0"/>
      <w:marTop w:val="0"/>
      <w:marBottom w:val="0"/>
      <w:divBdr>
        <w:top w:val="none" w:sz="0" w:space="0" w:color="auto"/>
        <w:left w:val="none" w:sz="0" w:space="0" w:color="auto"/>
        <w:bottom w:val="none" w:sz="0" w:space="0" w:color="auto"/>
        <w:right w:val="none" w:sz="0" w:space="0" w:color="auto"/>
      </w:divBdr>
      <w:divsChild>
        <w:div w:id="719665975">
          <w:marLeft w:val="0"/>
          <w:marRight w:val="0"/>
          <w:marTop w:val="0"/>
          <w:marBottom w:val="0"/>
          <w:divBdr>
            <w:top w:val="none" w:sz="0" w:space="0" w:color="auto"/>
            <w:left w:val="none" w:sz="0" w:space="0" w:color="auto"/>
            <w:bottom w:val="none" w:sz="0" w:space="0" w:color="auto"/>
            <w:right w:val="none" w:sz="0" w:space="0" w:color="auto"/>
          </w:divBdr>
        </w:div>
      </w:divsChild>
    </w:div>
    <w:div w:id="1437556357">
      <w:bodyDiv w:val="1"/>
      <w:marLeft w:val="0"/>
      <w:marRight w:val="0"/>
      <w:marTop w:val="0"/>
      <w:marBottom w:val="0"/>
      <w:divBdr>
        <w:top w:val="none" w:sz="0" w:space="0" w:color="auto"/>
        <w:left w:val="none" w:sz="0" w:space="0" w:color="auto"/>
        <w:bottom w:val="none" w:sz="0" w:space="0" w:color="auto"/>
        <w:right w:val="none" w:sz="0" w:space="0" w:color="auto"/>
      </w:divBdr>
      <w:divsChild>
        <w:div w:id="13813176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623</Words>
  <Characters>3928</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2026-09-24T16:47:00Z</dcterms:created>
  <dcterms:modified xsi:type="dcterms:W3CDTF">2026-09-25T22:18:00Z</dcterms:modified>
</cp:coreProperties>
</file>