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GLOBAL WING FINANCE BV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AIRCRAFT LEASE AGREEMENT</w:t>
      </w:r>
    </w:p>
    <w:p>
      <w:pPr>
        <w:spacing w:after="120"/>
        <w:jc w:val="left"/>
      </w:pPr>
      <w:r>
        <w:rPr>
          <w:rFonts w:ascii="Calibri" w:hAnsi="Calibri"/>
          <w:b/>
          <w:color w:val="0D2B55"/>
          <w:sz w:val="44"/>
        </w:rPr>
        <w:t>Airbus A319-100 — MSN 7203</w:t>
      </w:r>
    </w:p>
    <w:p>
      <w:pPr>
        <w:spacing w:after="400"/>
      </w:pPr>
      <w:r>
        <w:rPr>
          <w:rFonts w:ascii="Calibri" w:hAnsi="Calibri"/>
          <w:color w:val="666666"/>
          <w:sz w:val="20"/>
        </w:rPr>
        <w:t>Reference: ALA-2029-005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Airbus A319-100</w:t>
            </w:r>
          </w:p>
        </w:tc>
        <w:tc>
          <w:tcPr>
            <w:tcW w:type="dxa" w:w="1728"/>
            <w:shd w:val="clear" w:color="auto" w:fill="E8EFF8"/>
          </w:tcPr>
          <w:p>
            <w:r>
              <w:rPr>
                <w:rFonts w:ascii="Calibri" w:hAnsi="Calibri"/>
                <w:b/>
                <w:color w:val="0D2B55"/>
                <w:sz w:val="18"/>
              </w:rPr>
              <w:t>7203</w:t>
            </w:r>
          </w:p>
        </w:tc>
        <w:tc>
          <w:tcPr>
            <w:tcW w:type="dxa" w:w="1728"/>
            <w:shd w:val="clear" w:color="auto" w:fill="E8EFF8"/>
          </w:tcPr>
          <w:p>
            <w:r>
              <w:rPr>
                <w:rFonts w:ascii="Calibri" w:hAnsi="Calibri"/>
                <w:b/>
                <w:color w:val="0D2B55"/>
                <w:sz w:val="18"/>
              </w:rPr>
              <w:t>N67890</w:t>
            </w:r>
          </w:p>
        </w:tc>
        <w:tc>
          <w:tcPr>
            <w:tcW w:type="dxa" w:w="1728"/>
            <w:shd w:val="clear" w:color="auto" w:fill="E8EFF8"/>
          </w:tcPr>
          <w:p>
            <w:r>
              <w:rPr>
                <w:rFonts w:ascii="Calibri" w:hAnsi="Calibri"/>
                <w:b/>
                <w:color w:val="0D2B55"/>
                <w:sz w:val="18"/>
              </w:rPr>
              <w:t>CFM56-5B5/P</w:t>
            </w:r>
          </w:p>
        </w:tc>
        <w:tc>
          <w:tcPr>
            <w:tcW w:type="dxa" w:w="1728"/>
            <w:shd w:val="clear" w:color="auto" w:fill="E8EFF8"/>
          </w:tcPr>
          <w:p>
            <w:r>
              <w:rPr>
                <w:rFonts w:ascii="Calibri" w:hAnsi="Calibri"/>
                <w:b/>
                <w:color w:val="0D2B55"/>
                <w:sz w:val="18"/>
              </w:rPr>
              <w:t>2016</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Lessor</w:t>
            </w:r>
          </w:p>
        </w:tc>
        <w:tc>
          <w:tcPr>
            <w:tcW w:type="dxa" w:w="4752"/>
            <w:shd w:val="clear" w:color="auto" w:fill="E8EFF8"/>
          </w:tcPr>
          <w:p>
            <w:r>
              <w:rPr>
                <w:rFonts w:ascii="Calibri" w:hAnsi="Calibri"/>
                <w:sz w:val="18"/>
              </w:rPr>
              <w:t>Global Wing Finance BV</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Lessee</w:t>
            </w:r>
          </w:p>
        </w:tc>
        <w:tc>
          <w:tcPr>
            <w:tcW w:type="dxa" w:w="4752"/>
            <w:shd w:val="clear" w:color="auto" w:fill="FFFFFF"/>
          </w:tcPr>
          <w:p>
            <w:r>
              <w:rPr>
                <w:rFonts w:ascii="Calibri" w:hAnsi="Calibri"/>
                <w:sz w:val="18"/>
              </w:rPr>
              <w:t>Coastal Charter Services Ltd.</w:t>
            </w:r>
          </w:p>
        </w:tc>
        <w:tc>
          <w:tcPr>
            <w:tcW w:type="dxa" w:w="2880"/>
            <w:shd w:val="clear" w:color="auto" w:fill="FFFFFF"/>
          </w:tcPr>
          <w:p>
            <w:r>
              <w:rPr>
                <w:rFonts w:ascii="Calibri" w:hAnsi="Calibri"/>
                <w:sz w:val="18"/>
              </w:rPr>
              <w:t>United States of America</w:t>
            </w:r>
          </w:p>
        </w:tc>
      </w:tr>
    </w:tbl>
    <w:p/>
    <w:p>
      <w:pPr>
        <w:spacing w:after="120"/>
        <w:jc w:val="left"/>
        <w:shd w:val="clear" w:color="auto" w:fill="1A569E"/>
      </w:pPr>
      <w:r>
        <w:rPr>
          <w:rFonts w:ascii="Calibri" w:hAnsi="Calibri"/>
          <w:b/>
          <w:color w:val="FFFFFF"/>
          <w:sz w:val="20"/>
        </w:rPr>
        <w:t xml:space="preserve">  EXECUTION COPY  </w:t>
      </w:r>
    </w:p>
    <w:p>
      <w:r>
        <w:rPr>
          <w:rFonts w:ascii="Calibri" w:hAnsi="Calibri"/>
          <w:color w:val="666666"/>
          <w:sz w:val="20"/>
        </w:rPr>
        <w:t>Dated: 2022-11-01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Global Wing Finance BV is strictly prohibited.</w:t>
      </w:r>
    </w:p>
    <w:p>
      <w:r>
        <w:br w:type="page"/>
      </w:r>
    </w:p>
    <w:p>
      <w:pPr>
        <w:pStyle w:val="Heading2"/>
      </w:pPr>
      <w:r>
        <w:rPr>
          <w:rFonts w:ascii="Calibri" w:hAnsi="Calibri"/>
          <w:b/>
          <w:color w:val="0D2B55"/>
          <w:sz w:val="24"/>
        </w:rPr>
        <w:t>ARTICLE 1 — DEFINITIONS</w:t>
      </w:r>
    </w:p>
    <w:p>
      <w:pPr>
        <w:pBdr>
          <w:bottom w:val="single" w:sz="6" w:space="1" w:color="0D2B55"/>
        </w:pBdr>
        <w:spacing w:before="40" w:after="120"/>
      </w:pPr>
    </w:p>
    <w:p>
      <w:pPr>
        <w:spacing w:after="100"/>
      </w:pPr>
      <w:r>
        <w:rPr>
          <w:rFonts w:ascii="Calibri" w:hAnsi="Calibri"/>
          <w:i w:val="0"/>
          <w:sz w:val="20"/>
        </w:rPr>
        <w:t>As used in this Agreement, the following terms shall have the meanings set forth below:</w:t>
      </w:r>
    </w:p>
    <w:tbl>
      <w:tblPr>
        <w:tblStyle w:val="TableGrid"/>
        <w:tblW w:type="auto" w:w="0"/>
        <w:tblLook w:firstColumn="1" w:firstRow="1" w:lastColumn="0" w:lastRow="0" w:noHBand="0" w:noVBand="1" w:val="04A0"/>
      </w:tblPr>
      <w:tblGrid>
        <w:gridCol w:w="4320"/>
        <w:gridCol w:w="4320"/>
      </w:tblGrid>
      <w:tr>
        <w:tc>
          <w:tcPr>
            <w:tcW w:type="dxa" w:w="2592"/>
            <w:shd w:val="clear" w:color="auto" w:fill="0D2B55"/>
          </w:tcPr>
          <w:p>
            <w:pPr>
              <w:spacing w:before="40" w:after="40"/>
            </w:pPr>
            <w:r>
              <w:rPr>
                <w:rFonts w:ascii="Calibri" w:hAnsi="Calibri"/>
                <w:b/>
                <w:color w:val="FFFFFF"/>
                <w:sz w:val="18"/>
              </w:rPr>
              <w:t>Term</w:t>
            </w:r>
          </w:p>
        </w:tc>
        <w:tc>
          <w:tcPr>
            <w:tcW w:type="dxa" w:w="6768"/>
            <w:shd w:val="clear" w:color="auto" w:fill="0D2B55"/>
          </w:tcPr>
          <w:p>
            <w:pPr>
              <w:spacing w:before="40" w:after="40"/>
            </w:pPr>
            <w:r>
              <w:rPr>
                <w:rFonts w:ascii="Calibri" w:hAnsi="Calibri"/>
                <w:b/>
                <w:color w:val="FFFFFF"/>
                <w:sz w:val="18"/>
              </w:rPr>
              <w:t>Definition</w:t>
            </w:r>
          </w:p>
        </w:tc>
      </w:tr>
      <w:tr>
        <w:tc>
          <w:tcPr>
            <w:tcW w:type="dxa" w:w="2592"/>
            <w:shd w:val="clear" w:color="auto" w:fill="FFFFFF"/>
          </w:tcPr>
          <w:p>
            <w:pPr>
              <w:spacing w:before="20" w:after="20"/>
            </w:pPr>
            <w:r>
              <w:rPr>
                <w:rFonts w:ascii="Calibri" w:hAnsi="Calibri"/>
                <w:sz w:val="18"/>
              </w:rPr>
              <w:t>Airframe</w:t>
            </w:r>
          </w:p>
        </w:tc>
        <w:tc>
          <w:tcPr>
            <w:tcW w:type="dxa" w:w="6768"/>
            <w:shd w:val="clear" w:color="auto" w:fill="FFFFFF"/>
          </w:tcPr>
          <w:p>
            <w:pPr>
              <w:spacing w:before="20" w:after="20"/>
            </w:pPr>
            <w:r>
              <w:rPr>
                <w:rFonts w:ascii="Calibri" w:hAnsi="Calibri"/>
                <w:sz w:val="18"/>
              </w:rPr>
              <w:t>The Airbus A319-100 airframe bearing MSN 7203 and registration N67890, together with all installed parts, appliances, avionics, and furnishings, but excluding the Engines.</w:t>
            </w:r>
          </w:p>
        </w:tc>
      </w:tr>
      <w:tr>
        <w:tc>
          <w:tcPr>
            <w:tcW w:type="dxa" w:w="2592"/>
            <w:shd w:val="clear" w:color="auto" w:fill="F4F7FC"/>
          </w:tcPr>
          <w:p>
            <w:pPr>
              <w:spacing w:before="20" w:after="20"/>
            </w:pPr>
            <w:r>
              <w:rPr>
                <w:rFonts w:ascii="Calibri" w:hAnsi="Calibri"/>
                <w:sz w:val="18"/>
              </w:rPr>
              <w:t>Aircraft</w:t>
            </w:r>
          </w:p>
        </w:tc>
        <w:tc>
          <w:tcPr>
            <w:tcW w:type="dxa" w:w="6768"/>
            <w:shd w:val="clear" w:color="auto" w:fill="F4F7FC"/>
          </w:tcPr>
          <w:p>
            <w:pPr>
              <w:spacing w:before="20" w:after="20"/>
            </w:pPr>
            <w:r>
              <w:rPr>
                <w:rFonts w:ascii="Calibri" w:hAnsi="Calibri"/>
                <w:sz w:val="18"/>
              </w:rPr>
              <w:t>The Airframe together with the Engines, all as described in Schedule 1.</w:t>
            </w:r>
          </w:p>
        </w:tc>
      </w:tr>
      <w:tr>
        <w:tc>
          <w:tcPr>
            <w:tcW w:type="dxa" w:w="2592"/>
            <w:shd w:val="clear" w:color="auto" w:fill="FFFFFF"/>
          </w:tcPr>
          <w:p>
            <w:pPr>
              <w:spacing w:before="20" w:after="20"/>
            </w:pPr>
            <w:r>
              <w:rPr>
                <w:rFonts w:ascii="Calibri" w:hAnsi="Calibri"/>
                <w:sz w:val="18"/>
              </w:rPr>
              <w:t>Base Rent</w:t>
            </w:r>
          </w:p>
        </w:tc>
        <w:tc>
          <w:tcPr>
            <w:tcW w:type="dxa" w:w="6768"/>
            <w:shd w:val="clear" w:color="auto" w:fill="FFFFFF"/>
          </w:tcPr>
          <w:p>
            <w:pPr>
              <w:spacing w:before="20" w:after="20"/>
            </w:pPr>
            <w:r>
              <w:rPr>
                <w:rFonts w:ascii="Calibri" w:hAnsi="Calibri"/>
                <w:sz w:val="18"/>
              </w:rPr>
              <w:t>USD 295,000 per calendar month, subject to annual CPI-U escalation.</w:t>
            </w:r>
          </w:p>
        </w:tc>
      </w:tr>
      <w:tr>
        <w:tc>
          <w:tcPr>
            <w:tcW w:type="dxa" w:w="2592"/>
            <w:shd w:val="clear" w:color="auto" w:fill="F4F7FC"/>
          </w:tcPr>
          <w:p>
            <w:pPr>
              <w:spacing w:before="20" w:after="20"/>
            </w:pPr>
            <w:r>
              <w:rPr>
                <w:rFonts w:ascii="Calibri" w:hAnsi="Calibri"/>
                <w:sz w:val="18"/>
              </w:rPr>
              <w:t>C-Check Interval</w:t>
            </w:r>
          </w:p>
        </w:tc>
        <w:tc>
          <w:tcPr>
            <w:tcW w:type="dxa" w:w="6768"/>
            <w:shd w:val="clear" w:color="auto" w:fill="F4F7FC"/>
          </w:tcPr>
          <w:p>
            <w:pPr>
              <w:spacing w:before="20" w:after="20"/>
            </w:pPr>
            <w:r>
              <w:rPr>
                <w:rFonts w:ascii="Calibri" w:hAnsi="Calibri"/>
                <w:sz w:val="18"/>
              </w:rPr>
              <w:t>Nominally every 6 years / 36,000 FH / 5,000 FC, whichever occurs first, per the Lessee's approved Maintenance Programme.</w:t>
            </w:r>
          </w:p>
        </w:tc>
      </w:tr>
      <w:tr>
        <w:tc>
          <w:tcPr>
            <w:tcW w:type="dxa" w:w="2592"/>
            <w:shd w:val="clear" w:color="auto" w:fill="FFFFFF"/>
          </w:tcPr>
          <w:p>
            <w:pPr>
              <w:spacing w:before="20" w:after="20"/>
            </w:pPr>
            <w:r>
              <w:rPr>
                <w:rFonts w:ascii="Calibri" w:hAnsi="Calibri"/>
                <w:sz w:val="18"/>
              </w:rPr>
              <w:t>Delivery Date</w:t>
            </w:r>
          </w:p>
        </w:tc>
        <w:tc>
          <w:tcPr>
            <w:tcW w:type="dxa" w:w="6768"/>
            <w:shd w:val="clear" w:color="auto" w:fill="FFFFFF"/>
          </w:tcPr>
          <w:p>
            <w:pPr>
              <w:spacing w:before="20" w:after="20"/>
            </w:pPr>
            <w:r>
              <w:rPr>
                <w:rFonts w:ascii="Calibri" w:hAnsi="Calibri"/>
                <w:sz w:val="18"/>
              </w:rPr>
              <w:t>2022-11-01, being the date the Aircraft was delivered to Lessee.</w:t>
            </w:r>
          </w:p>
        </w:tc>
      </w:tr>
      <w:tr>
        <w:tc>
          <w:tcPr>
            <w:tcW w:type="dxa" w:w="2592"/>
            <w:shd w:val="clear" w:color="auto" w:fill="F4F7FC"/>
          </w:tcPr>
          <w:p>
            <w:pPr>
              <w:spacing w:before="20" w:after="20"/>
            </w:pPr>
            <w:r>
              <w:rPr>
                <w:rFonts w:ascii="Calibri" w:hAnsi="Calibri"/>
                <w:sz w:val="18"/>
              </w:rPr>
              <w:t>Engine</w:t>
            </w:r>
          </w:p>
        </w:tc>
        <w:tc>
          <w:tcPr>
            <w:tcW w:type="dxa" w:w="6768"/>
            <w:shd w:val="clear" w:color="auto" w:fill="F4F7FC"/>
          </w:tcPr>
          <w:p>
            <w:pPr>
              <w:spacing w:before="20" w:after="20"/>
            </w:pPr>
            <w:r>
              <w:rPr>
                <w:rFonts w:ascii="Calibri" w:hAnsi="Calibri"/>
                <w:sz w:val="18"/>
              </w:rPr>
              <w:t>Each CFM56-5B5/P turbofan bearing ESNs ESN-334455 (Pos.1) and ESN-334456 (Pos.2).</w:t>
            </w:r>
          </w:p>
        </w:tc>
      </w:tr>
      <w:tr>
        <w:tc>
          <w:tcPr>
            <w:tcW w:type="dxa" w:w="2592"/>
            <w:shd w:val="clear" w:color="auto" w:fill="FFFFFF"/>
          </w:tcPr>
          <w:p>
            <w:pPr>
              <w:spacing w:before="20" w:after="20"/>
            </w:pPr>
            <w:r>
              <w:rPr>
                <w:rFonts w:ascii="Calibri" w:hAnsi="Calibri"/>
                <w:sz w:val="18"/>
              </w:rPr>
              <w:t>Event of Default</w:t>
            </w:r>
          </w:p>
        </w:tc>
        <w:tc>
          <w:tcPr>
            <w:tcW w:type="dxa" w:w="6768"/>
            <w:shd w:val="clear" w:color="auto" w:fill="FFFFFF"/>
          </w:tcPr>
          <w:p>
            <w:pPr>
              <w:spacing w:before="20" w:after="20"/>
            </w:pPr>
            <w:r>
              <w:rPr>
                <w:rFonts w:ascii="Calibri" w:hAnsi="Calibri"/>
                <w:sz w:val="18"/>
              </w:rPr>
              <w:t>Any of the events described in Article 20.</w:t>
            </w:r>
          </w:p>
        </w:tc>
      </w:tr>
      <w:tr>
        <w:tc>
          <w:tcPr>
            <w:tcW w:type="dxa" w:w="2592"/>
            <w:shd w:val="clear" w:color="auto" w:fill="F4F7FC"/>
          </w:tcPr>
          <w:p>
            <w:pPr>
              <w:spacing w:before="20" w:after="20"/>
            </w:pPr>
            <w:r>
              <w:rPr>
                <w:rFonts w:ascii="Calibri" w:hAnsi="Calibri"/>
                <w:sz w:val="18"/>
              </w:rPr>
              <w:t>Lease Period</w:t>
            </w:r>
          </w:p>
        </w:tc>
        <w:tc>
          <w:tcPr>
            <w:tcW w:type="dxa" w:w="6768"/>
            <w:shd w:val="clear" w:color="auto" w:fill="F4F7FC"/>
          </w:tcPr>
          <w:p>
            <w:pPr>
              <w:spacing w:before="20" w:after="20"/>
            </w:pPr>
            <w:r>
              <w:rPr>
                <w:rFonts w:ascii="Calibri" w:hAnsi="Calibri"/>
                <w:sz w:val="18"/>
              </w:rPr>
              <w:t>2022-11-01 to 2028-10-31, unless earlier terminated.</w:t>
            </w:r>
          </w:p>
        </w:tc>
      </w:tr>
      <w:tr>
        <w:tc>
          <w:tcPr>
            <w:tcW w:type="dxa" w:w="2592"/>
            <w:shd w:val="clear" w:color="auto" w:fill="FFFFFF"/>
          </w:tcPr>
          <w:p>
            <w:pPr>
              <w:spacing w:before="20" w:after="20"/>
            </w:pPr>
            <w:r>
              <w:rPr>
                <w:rFonts w:ascii="Calibri" w:hAnsi="Calibri"/>
                <w:sz w:val="18"/>
              </w:rPr>
              <w:t>LLP</w:t>
            </w:r>
          </w:p>
        </w:tc>
        <w:tc>
          <w:tcPr>
            <w:tcW w:type="dxa" w:w="6768"/>
            <w:shd w:val="clear" w:color="auto" w:fill="FFFFFF"/>
          </w:tcPr>
          <w:p>
            <w:pPr>
              <w:spacing w:before="20" w:after="20"/>
            </w:pPr>
            <w:r>
              <w:rPr>
                <w:rFonts w:ascii="Calibri" w:hAnsi="Calibri"/>
                <w:sz w:val="18"/>
              </w:rPr>
              <w:t>Life Limited Part — any component with a defined service life limit expressed in FH, FC, or calendar time.</w:t>
            </w:r>
          </w:p>
        </w:tc>
      </w:tr>
      <w:tr>
        <w:tc>
          <w:tcPr>
            <w:tcW w:type="dxa" w:w="2592"/>
            <w:shd w:val="clear" w:color="auto" w:fill="F4F7FC"/>
          </w:tcPr>
          <w:p>
            <w:pPr>
              <w:spacing w:before="20" w:after="20"/>
            </w:pPr>
            <w:r>
              <w:rPr>
                <w:rFonts w:ascii="Calibri" w:hAnsi="Calibri"/>
                <w:sz w:val="18"/>
              </w:rPr>
              <w:t>Maintenance Reserves</w:t>
            </w:r>
          </w:p>
        </w:tc>
        <w:tc>
          <w:tcPr>
            <w:tcW w:type="dxa" w:w="6768"/>
            <w:shd w:val="clear" w:color="auto" w:fill="F4F7FC"/>
          </w:tcPr>
          <w:p>
            <w:pPr>
              <w:spacing w:before="20" w:after="20"/>
            </w:pPr>
            <w:r>
              <w:rPr>
                <w:rFonts w:ascii="Calibri" w:hAnsi="Calibri"/>
                <w:sz w:val="18"/>
              </w:rPr>
              <w:t>Supplemental rent per Article 8 and Schedule 3.</w:t>
            </w:r>
          </w:p>
        </w:tc>
      </w:tr>
      <w:tr>
        <w:tc>
          <w:tcPr>
            <w:tcW w:type="dxa" w:w="2592"/>
            <w:shd w:val="clear" w:color="auto" w:fill="FFFFFF"/>
          </w:tcPr>
          <w:p>
            <w:pPr>
              <w:spacing w:before="20" w:after="20"/>
            </w:pPr>
            <w:r>
              <w:rPr>
                <w:rFonts w:ascii="Calibri" w:hAnsi="Calibri"/>
                <w:sz w:val="18"/>
              </w:rPr>
              <w:t>Return Conditions</w:t>
            </w:r>
          </w:p>
        </w:tc>
        <w:tc>
          <w:tcPr>
            <w:tcW w:type="dxa" w:w="6768"/>
            <w:shd w:val="clear" w:color="auto" w:fill="FFFFFF"/>
          </w:tcPr>
          <w:p>
            <w:pPr>
              <w:spacing w:before="20" w:after="20"/>
            </w:pPr>
            <w:r>
              <w:rPr>
                <w:rFonts w:ascii="Calibri" w:hAnsi="Calibri"/>
                <w:sz w:val="18"/>
              </w:rPr>
              <w:t>The physical redelivery standards described in Schedule 5.</w:t>
            </w:r>
          </w:p>
        </w:tc>
      </w:tr>
      <w:tr>
        <w:tc>
          <w:tcPr>
            <w:tcW w:type="dxa" w:w="2592"/>
            <w:shd w:val="clear" w:color="auto" w:fill="F4F7FC"/>
          </w:tcPr>
          <w:p>
            <w:pPr>
              <w:spacing w:before="20" w:after="20"/>
            </w:pPr>
            <w:r>
              <w:rPr>
                <w:rFonts w:ascii="Calibri" w:hAnsi="Calibri"/>
                <w:sz w:val="18"/>
              </w:rPr>
              <w:t>Security Deposit</w:t>
            </w:r>
          </w:p>
        </w:tc>
        <w:tc>
          <w:tcPr>
            <w:tcW w:type="dxa" w:w="6768"/>
            <w:shd w:val="clear" w:color="auto" w:fill="F4F7FC"/>
          </w:tcPr>
          <w:p>
            <w:pPr>
              <w:spacing w:before="20" w:after="20"/>
            </w:pPr>
            <w:r>
              <w:rPr>
                <w:rFonts w:ascii="Calibri" w:hAnsi="Calibri"/>
                <w:sz w:val="18"/>
              </w:rPr>
              <w:t>USD 1,155,000 (three months' Base Rent), payable before Delivery Date.</w:t>
            </w:r>
          </w:p>
        </w:tc>
      </w:tr>
      <w:tr>
        <w:tc>
          <w:tcPr>
            <w:tcW w:type="dxa" w:w="2592"/>
            <w:shd w:val="clear" w:color="auto" w:fill="FFFFFF"/>
          </w:tcPr>
          <w:p>
            <w:pPr>
              <w:spacing w:before="20" w:after="20"/>
            </w:pPr>
            <w:r>
              <w:rPr>
                <w:rFonts w:ascii="Calibri" w:hAnsi="Calibri"/>
                <w:sz w:val="18"/>
              </w:rPr>
              <w:t>Total Loss</w:t>
            </w:r>
          </w:p>
        </w:tc>
        <w:tc>
          <w:tcPr>
            <w:tcW w:type="dxa" w:w="6768"/>
            <w:shd w:val="clear" w:color="auto" w:fill="FFFFFF"/>
          </w:tcPr>
          <w:p>
            <w:pPr>
              <w:spacing w:before="20" w:after="20"/>
            </w:pPr>
            <w:r>
              <w:rPr>
                <w:rFonts w:ascii="Calibri" w:hAnsi="Calibri"/>
                <w:sz w:val="18"/>
              </w:rPr>
              <w:t>Destruction, permanent loss, theft, or constructive total loss of the Aircraft.</w:t>
            </w:r>
          </w:p>
        </w:tc>
      </w:tr>
    </w:tbl>
    <w:p/>
    <w:p>
      <w:r>
        <w:br w:type="page"/>
      </w:r>
    </w:p>
    <w:p>
      <w:pPr>
        <w:pStyle w:val="Heading2"/>
      </w:pPr>
      <w:r>
        <w:rPr>
          <w:rFonts w:ascii="Calibri" w:hAnsi="Calibri"/>
          <w:b/>
          <w:color w:val="0D2B55"/>
          <w:sz w:val="24"/>
        </w:rPr>
        <w:t>ARTICLE 2 — CONDITIONS PRECEDENT TO DELIVERY</w:t>
      </w:r>
    </w:p>
    <w:p>
      <w:pPr>
        <w:pBdr>
          <w:bottom w:val="single" w:sz="6" w:space="1" w:color="0D2B55"/>
        </w:pBdr>
        <w:spacing w:before="40" w:after="120"/>
      </w:pPr>
    </w:p>
    <w:p>
      <w:pPr>
        <w:spacing w:after="100"/>
      </w:pPr>
      <w:r>
        <w:rPr>
          <w:rFonts w:ascii="Calibri" w:hAnsi="Calibri"/>
          <w:i w:val="0"/>
          <w:sz w:val="20"/>
        </w:rPr>
        <w:t>2.1 Lessor's obligation to deliver the Aircraft is conditional upon receipt of all of the following, in form satisfactory to Lessor, no later than five (5) Business Days before the Delivery Date:</w:t>
      </w:r>
    </w:p>
    <w:tbl>
      <w:tblPr>
        <w:tblStyle w:val="TableGrid"/>
        <w:tblW w:type="auto" w:w="0"/>
        <w:tblLook w:firstColumn="1" w:firstRow="1" w:lastColumn="0" w:lastRow="0" w:noHBand="0" w:noVBand="1" w:val="04A0"/>
      </w:tblPr>
      <w:tblGrid>
        <w:gridCol w:w="4320"/>
        <w:gridCol w:w="4320"/>
      </w:tblGrid>
      <w:tr>
        <w:tc>
          <w:tcPr>
            <w:tcW w:type="dxa" w:w="864"/>
            <w:shd w:val="clear" w:color="auto" w:fill="0D2B55"/>
          </w:tcPr>
          <w:p>
            <w:pPr>
              <w:spacing w:before="40" w:after="40"/>
            </w:pPr>
            <w:r>
              <w:rPr>
                <w:rFonts w:ascii="Calibri" w:hAnsi="Calibri"/>
                <w:b/>
                <w:color w:val="FFFFFF"/>
                <w:sz w:val="18"/>
              </w:rPr>
              <w:t>Ref</w:t>
            </w:r>
          </w:p>
        </w:tc>
        <w:tc>
          <w:tcPr>
            <w:tcW w:type="dxa" w:w="8496"/>
            <w:shd w:val="clear" w:color="auto" w:fill="0D2B55"/>
          </w:tcPr>
          <w:p>
            <w:pPr>
              <w:spacing w:before="40" w:after="40"/>
            </w:pPr>
            <w:r>
              <w:rPr>
                <w:rFonts w:ascii="Calibri" w:hAnsi="Calibri"/>
                <w:b/>
                <w:color w:val="FFFFFF"/>
                <w:sz w:val="18"/>
              </w:rPr>
              <w:t>Condition Precedent</w:t>
            </w:r>
          </w:p>
        </w:tc>
      </w:tr>
      <w:tr>
        <w:tc>
          <w:tcPr>
            <w:tcW w:type="dxa" w:w="864"/>
            <w:shd w:val="clear" w:color="auto" w:fill="FFFFFF"/>
          </w:tcPr>
          <w:p>
            <w:pPr>
              <w:spacing w:before="20" w:after="20"/>
            </w:pPr>
            <w:r>
              <w:rPr>
                <w:rFonts w:ascii="Calibri" w:hAnsi="Calibri"/>
                <w:sz w:val="18"/>
              </w:rPr>
              <w:t>2.1(a)</w:t>
            </w:r>
          </w:p>
        </w:tc>
        <w:tc>
          <w:tcPr>
            <w:tcW w:type="dxa" w:w="8496"/>
            <w:shd w:val="clear" w:color="auto" w:fill="FFFFFF"/>
          </w:tcPr>
          <w:p>
            <w:pPr>
              <w:spacing w:before="20" w:after="20"/>
            </w:pPr>
            <w:r>
              <w:rPr>
                <w:rFonts w:ascii="Calibri" w:hAnsi="Calibri"/>
                <w:sz w:val="18"/>
              </w:rPr>
              <w:t>Evidence of incorporation and good standing of Lessee (certificate of good standing, within 30 days)</w:t>
            </w:r>
          </w:p>
        </w:tc>
      </w:tr>
      <w:tr>
        <w:tc>
          <w:tcPr>
            <w:tcW w:type="dxa" w:w="864"/>
            <w:shd w:val="clear" w:color="auto" w:fill="F4F7FC"/>
          </w:tcPr>
          <w:p>
            <w:pPr>
              <w:spacing w:before="20" w:after="20"/>
            </w:pPr>
            <w:r>
              <w:rPr>
                <w:rFonts w:ascii="Calibri" w:hAnsi="Calibri"/>
                <w:sz w:val="18"/>
              </w:rPr>
              <w:t>2.1(b)</w:t>
            </w:r>
          </w:p>
        </w:tc>
        <w:tc>
          <w:tcPr>
            <w:tcW w:type="dxa" w:w="8496"/>
            <w:shd w:val="clear" w:color="auto" w:fill="F4F7FC"/>
          </w:tcPr>
          <w:p>
            <w:pPr>
              <w:spacing w:before="20" w:after="20"/>
            </w:pPr>
            <w:r>
              <w:rPr>
                <w:rFonts w:ascii="Calibri" w:hAnsi="Calibri"/>
                <w:sz w:val="18"/>
              </w:rPr>
              <w:t>Certified copies of all corporate authorisations (board resolutions, shareholder resolutions if required)</w:t>
            </w:r>
          </w:p>
        </w:tc>
      </w:tr>
      <w:tr>
        <w:tc>
          <w:tcPr>
            <w:tcW w:type="dxa" w:w="864"/>
            <w:shd w:val="clear" w:color="auto" w:fill="FFFFFF"/>
          </w:tcPr>
          <w:p>
            <w:pPr>
              <w:spacing w:before="20" w:after="20"/>
            </w:pPr>
            <w:r>
              <w:rPr>
                <w:rFonts w:ascii="Calibri" w:hAnsi="Calibri"/>
                <w:sz w:val="18"/>
              </w:rPr>
              <w:t>2.1(c)</w:t>
            </w:r>
          </w:p>
        </w:tc>
        <w:tc>
          <w:tcPr>
            <w:tcW w:type="dxa" w:w="8496"/>
            <w:shd w:val="clear" w:color="auto" w:fill="FFFFFF"/>
          </w:tcPr>
          <w:p>
            <w:pPr>
              <w:spacing w:before="20" w:after="20"/>
            </w:pPr>
            <w:r>
              <w:rPr>
                <w:rFonts w:ascii="Calibri" w:hAnsi="Calibri"/>
                <w:sz w:val="18"/>
              </w:rPr>
              <w:t>Executed originals of each Transaction Document to which Lessee is a party</w:t>
            </w:r>
          </w:p>
        </w:tc>
      </w:tr>
      <w:tr>
        <w:tc>
          <w:tcPr>
            <w:tcW w:type="dxa" w:w="864"/>
            <w:shd w:val="clear" w:color="auto" w:fill="F4F7FC"/>
          </w:tcPr>
          <w:p>
            <w:pPr>
              <w:spacing w:before="20" w:after="20"/>
            </w:pPr>
            <w:r>
              <w:rPr>
                <w:rFonts w:ascii="Calibri" w:hAnsi="Calibri"/>
                <w:sz w:val="18"/>
              </w:rPr>
              <w:t>2.1(d)</w:t>
            </w:r>
          </w:p>
        </w:tc>
        <w:tc>
          <w:tcPr>
            <w:tcW w:type="dxa" w:w="8496"/>
            <w:shd w:val="clear" w:color="auto" w:fill="F4F7FC"/>
          </w:tcPr>
          <w:p>
            <w:pPr>
              <w:spacing w:before="20" w:after="20"/>
            </w:pPr>
            <w:r>
              <w:rPr>
                <w:rFonts w:ascii="Calibri" w:hAnsi="Calibri"/>
                <w:sz w:val="18"/>
              </w:rPr>
              <w:t>Evidence of payment of the Security Deposit per Article 7</w:t>
            </w:r>
          </w:p>
        </w:tc>
      </w:tr>
      <w:tr>
        <w:tc>
          <w:tcPr>
            <w:tcW w:type="dxa" w:w="864"/>
            <w:shd w:val="clear" w:color="auto" w:fill="FFFFFF"/>
          </w:tcPr>
          <w:p>
            <w:pPr>
              <w:spacing w:before="20" w:after="20"/>
            </w:pPr>
            <w:r>
              <w:rPr>
                <w:rFonts w:ascii="Calibri" w:hAnsi="Calibri"/>
                <w:sz w:val="18"/>
              </w:rPr>
              <w:t>2.1(e)</w:t>
            </w:r>
          </w:p>
        </w:tc>
        <w:tc>
          <w:tcPr>
            <w:tcW w:type="dxa" w:w="8496"/>
            <w:shd w:val="clear" w:color="auto" w:fill="FFFFFF"/>
          </w:tcPr>
          <w:p>
            <w:pPr>
              <w:spacing w:before="20" w:after="20"/>
            </w:pPr>
            <w:r>
              <w:rPr>
                <w:rFonts w:ascii="Calibri" w:hAnsi="Calibri"/>
                <w:sz w:val="18"/>
              </w:rPr>
              <w:t>Evidence of payment of first month's Base Rent per Article 6</w:t>
            </w:r>
          </w:p>
        </w:tc>
      </w:tr>
      <w:tr>
        <w:tc>
          <w:tcPr>
            <w:tcW w:type="dxa" w:w="864"/>
            <w:shd w:val="clear" w:color="auto" w:fill="F4F7FC"/>
          </w:tcPr>
          <w:p>
            <w:pPr>
              <w:spacing w:before="20" w:after="20"/>
            </w:pPr>
            <w:r>
              <w:rPr>
                <w:rFonts w:ascii="Calibri" w:hAnsi="Calibri"/>
                <w:sz w:val="18"/>
              </w:rPr>
              <w:t>2.1(f)</w:t>
            </w:r>
          </w:p>
        </w:tc>
        <w:tc>
          <w:tcPr>
            <w:tcW w:type="dxa" w:w="8496"/>
            <w:shd w:val="clear" w:color="auto" w:fill="F4F7FC"/>
          </w:tcPr>
          <w:p>
            <w:pPr>
              <w:spacing w:before="20" w:after="20"/>
            </w:pPr>
            <w:r>
              <w:rPr>
                <w:rFonts w:ascii="Calibri" w:hAnsi="Calibri"/>
                <w:sz w:val="18"/>
              </w:rPr>
              <w:t>Certificates of insurance with required endorsements naming Lessor as additional insured and loss payee</w:t>
            </w:r>
          </w:p>
        </w:tc>
      </w:tr>
      <w:tr>
        <w:tc>
          <w:tcPr>
            <w:tcW w:type="dxa" w:w="864"/>
            <w:shd w:val="clear" w:color="auto" w:fill="FFFFFF"/>
          </w:tcPr>
          <w:p>
            <w:pPr>
              <w:spacing w:before="20" w:after="20"/>
            </w:pPr>
            <w:r>
              <w:rPr>
                <w:rFonts w:ascii="Calibri" w:hAnsi="Calibri"/>
                <w:sz w:val="18"/>
              </w:rPr>
              <w:t>2.1(g)</w:t>
            </w:r>
          </w:p>
        </w:tc>
        <w:tc>
          <w:tcPr>
            <w:tcW w:type="dxa" w:w="8496"/>
            <w:shd w:val="clear" w:color="auto" w:fill="FFFFFF"/>
          </w:tcPr>
          <w:p>
            <w:pPr>
              <w:spacing w:before="20" w:after="20"/>
            </w:pPr>
            <w:r>
              <w:rPr>
                <w:rFonts w:ascii="Calibri" w:hAnsi="Calibri"/>
                <w:sz w:val="18"/>
              </w:rPr>
              <w:t>Legal opinion from Lessee's external counsel confirming due authorisation and enforceability</w:t>
            </w:r>
          </w:p>
        </w:tc>
      </w:tr>
      <w:tr>
        <w:tc>
          <w:tcPr>
            <w:tcW w:type="dxa" w:w="864"/>
            <w:shd w:val="clear" w:color="auto" w:fill="F4F7FC"/>
          </w:tcPr>
          <w:p>
            <w:pPr>
              <w:spacing w:before="20" w:after="20"/>
            </w:pPr>
            <w:r>
              <w:rPr>
                <w:rFonts w:ascii="Calibri" w:hAnsi="Calibri"/>
                <w:sz w:val="18"/>
              </w:rPr>
              <w:t>2.1(h)</w:t>
            </w:r>
          </w:p>
        </w:tc>
        <w:tc>
          <w:tcPr>
            <w:tcW w:type="dxa" w:w="8496"/>
            <w:shd w:val="clear" w:color="auto" w:fill="F4F7FC"/>
          </w:tcPr>
          <w:p>
            <w:pPr>
              <w:spacing w:before="20" w:after="20"/>
            </w:pPr>
            <w:r>
              <w:rPr>
                <w:rFonts w:ascii="Calibri" w:hAnsi="Calibri"/>
                <w:sz w:val="18"/>
              </w:rPr>
              <w:t>Evidence of Aircraft registration at the FAA Civil Aircraft Register</w:t>
            </w:r>
          </w:p>
        </w:tc>
      </w:tr>
      <w:tr>
        <w:tc>
          <w:tcPr>
            <w:tcW w:type="dxa" w:w="864"/>
            <w:shd w:val="clear" w:color="auto" w:fill="FFFFFF"/>
          </w:tcPr>
          <w:p>
            <w:pPr>
              <w:spacing w:before="20" w:after="20"/>
            </w:pPr>
            <w:r>
              <w:rPr>
                <w:rFonts w:ascii="Calibri" w:hAnsi="Calibri"/>
                <w:sz w:val="18"/>
              </w:rPr>
              <w:t>2.1(i)</w:t>
            </w:r>
          </w:p>
        </w:tc>
        <w:tc>
          <w:tcPr>
            <w:tcW w:type="dxa" w:w="8496"/>
            <w:shd w:val="clear" w:color="auto" w:fill="FFFFFF"/>
          </w:tcPr>
          <w:p>
            <w:pPr>
              <w:spacing w:before="20" w:after="20"/>
            </w:pPr>
            <w:r>
              <w:rPr>
                <w:rFonts w:ascii="Calibri" w:hAnsi="Calibri"/>
                <w:sz w:val="18"/>
              </w:rPr>
              <w:t>Copy of FAA-approved Maintenance Programme and current OpSpecs</w:t>
            </w:r>
          </w:p>
        </w:tc>
      </w:tr>
      <w:tr>
        <w:tc>
          <w:tcPr>
            <w:tcW w:type="dxa" w:w="864"/>
            <w:shd w:val="clear" w:color="auto" w:fill="F4F7FC"/>
          </w:tcPr>
          <w:p>
            <w:pPr>
              <w:spacing w:before="20" w:after="20"/>
            </w:pPr>
            <w:r>
              <w:rPr>
                <w:rFonts w:ascii="Calibri" w:hAnsi="Calibri"/>
                <w:sz w:val="18"/>
              </w:rPr>
              <w:t>2.1(j)</w:t>
            </w:r>
          </w:p>
        </w:tc>
        <w:tc>
          <w:tcPr>
            <w:tcW w:type="dxa" w:w="8496"/>
            <w:shd w:val="clear" w:color="auto" w:fill="F4F7FC"/>
          </w:tcPr>
          <w:p>
            <w:pPr>
              <w:spacing w:before="20" w:after="20"/>
            </w:pPr>
            <w:r>
              <w:rPr>
                <w:rFonts w:ascii="Calibri" w:hAnsi="Calibri"/>
                <w:sz w:val="18"/>
              </w:rPr>
              <w:t>IOSA certification current within 24 months</w:t>
            </w:r>
          </w:p>
        </w:tc>
      </w:tr>
      <w:tr>
        <w:tc>
          <w:tcPr>
            <w:tcW w:type="dxa" w:w="864"/>
            <w:shd w:val="clear" w:color="auto" w:fill="FFFFFF"/>
          </w:tcPr>
          <w:p>
            <w:pPr>
              <w:spacing w:before="20" w:after="20"/>
            </w:pPr>
            <w:r>
              <w:rPr>
                <w:rFonts w:ascii="Calibri" w:hAnsi="Calibri"/>
                <w:sz w:val="18"/>
              </w:rPr>
              <w:t>2.1(k)</w:t>
            </w:r>
          </w:p>
        </w:tc>
        <w:tc>
          <w:tcPr>
            <w:tcW w:type="dxa" w:w="8496"/>
            <w:shd w:val="clear" w:color="auto" w:fill="FFFFFF"/>
          </w:tcPr>
          <w:p>
            <w:pPr>
              <w:spacing w:before="20" w:after="20"/>
            </w:pPr>
            <w:r>
              <w:rPr>
                <w:rFonts w:ascii="Calibri" w:hAnsi="Calibri"/>
                <w:sz w:val="18"/>
              </w:rPr>
              <w:t>Executed Maintenance Reserves Account Agreement</w:t>
            </w:r>
          </w:p>
        </w:tc>
      </w:tr>
    </w:tbl>
    <w:p/>
    <w:p>
      <w:r>
        <w:br w:type="page"/>
      </w:r>
    </w:p>
    <w:p>
      <w:pPr>
        <w:pStyle w:val="Heading2"/>
      </w:pPr>
      <w:r>
        <w:rPr>
          <w:rFonts w:ascii="Calibri" w:hAnsi="Calibri"/>
          <w:b/>
          <w:color w:val="0D2B55"/>
          <w:sz w:val="24"/>
        </w:rPr>
        <w:t>ARTICLE 3 — DELIVERY</w:t>
      </w:r>
    </w:p>
    <w:p>
      <w:pPr>
        <w:pBdr>
          <w:bottom w:val="single" w:sz="6" w:space="1" w:color="0D2B55"/>
        </w:pBdr>
        <w:spacing w:before="40" w:after="120"/>
      </w:pPr>
    </w:p>
    <w:p>
      <w:pPr>
        <w:spacing w:after="100"/>
      </w:pPr>
      <w:r>
        <w:rPr>
          <w:rFonts w:ascii="Calibri" w:hAnsi="Calibri"/>
          <w:i w:val="0"/>
          <w:sz w:val="20"/>
        </w:rPr>
        <w:t>3.1  Subject to satisfaction of the conditions in Article 2, Lessor shall make the Aircraft available for delivery at Dallas/Fort Worth International Airport (DFW) on or about 2022-11-01 (the 'Scheduled Delivery Date').</w:t>
      </w:r>
    </w:p>
    <w:p>
      <w:pPr>
        <w:spacing w:after="100"/>
      </w:pPr>
      <w:r>
        <w:rPr>
          <w:rFonts w:ascii="Calibri" w:hAnsi="Calibri"/>
          <w:i w:val="0"/>
          <w:sz w:val="20"/>
        </w:rPr>
        <w:t>3.2  Lessee shall inspect the Aircraft within 48 hours of it being made available. Inspection shall be conducted by Lessee's technical representatives in the presence of Lessor's representative.</w:t>
      </w:r>
    </w:p>
    <w:p>
      <w:pPr>
        <w:spacing w:after="100"/>
      </w:pPr>
      <w:r>
        <w:rPr>
          <w:rFonts w:ascii="Calibri" w:hAnsi="Calibri"/>
          <w:i w:val="0"/>
          <w:sz w:val="20"/>
        </w:rPr>
        <w:t>3.3  If Lessee identifies any non-conformity with the Delivery Condition, it shall issue a Discrepancy Notice. Lessor shall have 10 Business Days to remedy each non-conformity at its own cost.</w:t>
      </w:r>
    </w:p>
    <w:p>
      <w:pPr>
        <w:spacing w:after="100"/>
      </w:pPr>
      <w:r>
        <w:rPr>
          <w:rFonts w:ascii="Calibri" w:hAnsi="Calibri"/>
          <w:i w:val="0"/>
          <w:sz w:val="20"/>
        </w:rPr>
        <w:t>3.4  Delivery is evidenced by execution of the Delivery Acceptance Certificate (Exhibit A). Execution constitutes Lessee's irrevocable acceptance, subject to express reservations.</w:t>
      </w:r>
    </w:p>
    <w:p>
      <w:pPr>
        <w:spacing w:after="100"/>
      </w:pPr>
      <w:r>
        <w:rPr>
          <w:rFonts w:ascii="Calibri" w:hAnsi="Calibri"/>
          <w:i w:val="0"/>
          <w:sz w:val="20"/>
        </w:rPr>
        <w:t>3.5  Risk of loss and damage passes from Lessor to Lessee upon execution of the Delivery Acceptance Certificate.</w:t>
      </w:r>
    </w:p>
    <w:p>
      <w:pPr>
        <w:spacing w:after="100"/>
      </w:pPr>
      <w:r>
        <w:rPr>
          <w:rFonts w:ascii="Calibri" w:hAnsi="Calibri"/>
          <w:i w:val="0"/>
          <w:sz w:val="20"/>
        </w:rPr>
        <w:t>3.6  Title to the Aircraft remains with Lessor at all times.</w:t>
      </w:r>
    </w:p>
    <w:p>
      <w:pPr>
        <w:pStyle w:val="Heading2"/>
      </w:pPr>
      <w:r>
        <w:rPr>
          <w:rFonts w:ascii="Calibri" w:hAnsi="Calibri"/>
          <w:b/>
          <w:color w:val="0D2B55"/>
          <w:sz w:val="24"/>
        </w:rPr>
        <w:t>ARTICLE 4 — LEASE PERIOD</w:t>
      </w:r>
    </w:p>
    <w:p>
      <w:pPr>
        <w:pBdr>
          <w:bottom w:val="single" w:sz="6" w:space="1" w:color="0D2B55"/>
        </w:pBdr>
        <w:spacing w:before="40" w:after="120"/>
      </w:pPr>
    </w:p>
    <w:p>
      <w:pPr>
        <w:spacing w:after="100"/>
      </w:pPr>
      <w:r>
        <w:rPr>
          <w:rFonts w:ascii="Calibri" w:hAnsi="Calibri"/>
          <w:i w:val="0"/>
          <w:sz w:val="20"/>
        </w:rPr>
        <w:t>4.1  The Lease Period commences on 2022-11-01 and continues until 2028-10-31, unless earlier terminated.</w:t>
      </w:r>
    </w:p>
    <w:p>
      <w:pPr>
        <w:spacing w:after="100"/>
      </w:pPr>
      <w:r>
        <w:rPr>
          <w:rFonts w:ascii="Calibri" w:hAnsi="Calibri"/>
          <w:i w:val="0"/>
          <w:sz w:val="20"/>
        </w:rPr>
        <w:t>4.2  Lessee has no option to extend or renew unless Lessor expressly agrees in writing no less than 12 months before the Expiry Date.</w:t>
      </w:r>
    </w:p>
    <w:p>
      <w:pPr>
        <w:spacing w:after="100"/>
      </w:pPr>
      <w:r>
        <w:rPr>
          <w:rFonts w:ascii="Calibri" w:hAnsi="Calibri"/>
          <w:i w:val="0"/>
          <w:sz w:val="20"/>
        </w:rPr>
        <w:t>4.3  Holdover rate: 150% of the daily equivalent of Base Rent per day of holdover, without prejudice to other remedies.</w:t>
      </w:r>
    </w:p>
    <w:p>
      <w:r>
        <w:br w:type="page"/>
      </w:r>
    </w:p>
    <w:p>
      <w:pPr>
        <w:pStyle w:val="Heading2"/>
      </w:pPr>
      <w:r>
        <w:rPr>
          <w:rFonts w:ascii="Calibri" w:hAnsi="Calibri"/>
          <w:b/>
          <w:color w:val="0D2B55"/>
          <w:sz w:val="24"/>
        </w:rPr>
        <w:t>ARTICLE 5 — PERMITTED USE</w:t>
      </w:r>
    </w:p>
    <w:p>
      <w:pPr>
        <w:pBdr>
          <w:bottom w:val="single" w:sz="6" w:space="1" w:color="0D2B55"/>
        </w:pBdr>
        <w:spacing w:before="40" w:after="120"/>
      </w:pPr>
    </w:p>
    <w:p>
      <w:pPr>
        <w:spacing w:after="100"/>
      </w:pPr>
      <w:r>
        <w:rPr>
          <w:rFonts w:ascii="Calibri" w:hAnsi="Calibri"/>
          <w:i w:val="0"/>
          <w:sz w:val="20"/>
        </w:rPr>
        <w:t>5.1  Lessee shall operate the Aircraft solely in commercial air transport under Lessee's FAA Part 121 certificate and operations specifications.</w:t>
      </w:r>
    </w:p>
    <w:p>
      <w:pPr>
        <w:spacing w:after="100"/>
      </w:pPr>
      <w:r>
        <w:rPr>
          <w:rFonts w:ascii="Calibri" w:hAnsi="Calibri"/>
          <w:i w:val="0"/>
          <w:sz w:val="20"/>
        </w:rPr>
        <w:t>5.2  No sub-lease, wet lease, dry lease, charter, or other use by a third party without Lessor's prior written consent.</w:t>
      </w:r>
    </w:p>
    <w:p>
      <w:pPr>
        <w:spacing w:after="100"/>
      </w:pPr>
      <w:r>
        <w:rPr>
          <w:rFonts w:ascii="Calibri" w:hAnsi="Calibri"/>
          <w:i w:val="0"/>
          <w:sz w:val="20"/>
        </w:rPr>
        <w:t>5.3  No operation to/from/over sanctioned territories (OFAC, EU, UN).</w:t>
      </w:r>
    </w:p>
    <w:p>
      <w:pPr>
        <w:spacing w:after="100"/>
      </w:pPr>
      <w:r>
        <w:rPr>
          <w:rFonts w:ascii="Calibri" w:hAnsi="Calibri"/>
          <w:i w:val="0"/>
          <w:sz w:val="20"/>
        </w:rPr>
        <w:t>5.4  No operation in areas of active military conflict or areas prohibited by Lessee's hull war insurers.</w:t>
      </w:r>
    </w:p>
    <w:p>
      <w:pPr>
        <w:pStyle w:val="Heading2"/>
      </w:pPr>
      <w:r>
        <w:rPr>
          <w:rFonts w:ascii="Calibri" w:hAnsi="Calibri"/>
          <w:b/>
          <w:color w:val="0D2B55"/>
          <w:sz w:val="24"/>
        </w:rPr>
        <w:t>ARTICLE 6 — RENT AND PAYMENT</w:t>
      </w:r>
    </w:p>
    <w:p>
      <w:pPr>
        <w:pBdr>
          <w:bottom w:val="single" w:sz="6" w:space="1" w:color="0D2B55"/>
        </w:pBdr>
        <w:spacing w:before="40" w:after="120"/>
      </w:pPr>
    </w:p>
    <w:p>
      <w:pPr>
        <w:spacing w:after="100"/>
      </w:pPr>
      <w:r>
        <w:rPr>
          <w:rFonts w:ascii="Calibri" w:hAnsi="Calibri"/>
          <w:i w:val="0"/>
          <w:sz w:val="20"/>
        </w:rPr>
        <w:t>6.1  Base Rent of USD 295,000 per calendar month is payable in advance on the 1st of each month. Partial-month rent is prorated on a per-diem basis.</w:t>
      </w:r>
    </w:p>
    <w:p>
      <w:pPr>
        <w:spacing w:after="100"/>
      </w:pPr>
      <w:r>
        <w:rPr>
          <w:rFonts w:ascii="Calibri" w:hAnsi="Calibri"/>
          <w:i w:val="0"/>
          <w:sz w:val="20"/>
        </w:rPr>
        <w:t>6.2  Base Rent escalates annually per CPI-U, with a floor of 0% and no ceiling.</w:t>
      </w:r>
    </w:p>
    <w:p>
      <w:pPr>
        <w:spacing w:after="100"/>
      </w:pPr>
      <w:r>
        <w:rPr>
          <w:rFonts w:ascii="Calibri" w:hAnsi="Calibri"/>
          <w:i w:val="0"/>
          <w:sz w:val="20"/>
        </w:rPr>
        <w:t>6.3  All payments by wire transfer to:</w:t>
      </w:r>
    </w:p>
    <w:tbl>
      <w:tblPr>
        <w:tblStyle w:val="TableGrid"/>
        <w:tblW w:type="auto" w:w="0"/>
        <w:tblLook w:firstColumn="1" w:firstRow="1" w:lastColumn="0" w:lastRow="0" w:noHBand="0" w:noVBand="1" w:val="04A0"/>
      </w:tblPr>
      <w:tblGrid>
        <w:gridCol w:w="4320"/>
        <w:gridCol w:w="4320"/>
      </w:tblGrid>
      <w:tr>
        <w:tc>
          <w:tcPr>
            <w:tcW w:type="dxa" w:w="2592"/>
            <w:shd w:val="clear" w:color="auto" w:fill="0D2B55"/>
          </w:tcPr>
          <w:p>
            <w:pPr>
              <w:spacing w:before="40" w:after="40"/>
            </w:pPr>
            <w:r>
              <w:rPr>
                <w:rFonts w:ascii="Calibri" w:hAnsi="Calibri"/>
                <w:b/>
                <w:color w:val="FFFFFF"/>
                <w:sz w:val="18"/>
              </w:rPr>
              <w:t>Field</w:t>
            </w:r>
          </w:p>
        </w:tc>
        <w:tc>
          <w:tcPr>
            <w:tcW w:type="dxa" w:w="6768"/>
            <w:shd w:val="clear" w:color="auto" w:fill="0D2B55"/>
          </w:tcPr>
          <w:p>
            <w:pPr>
              <w:spacing w:before="40" w:after="40"/>
            </w:pPr>
            <w:r>
              <w:rPr>
                <w:rFonts w:ascii="Calibri" w:hAnsi="Calibri"/>
                <w:b/>
                <w:color w:val="FFFFFF"/>
                <w:sz w:val="18"/>
              </w:rPr>
              <w:t>Details</w:t>
            </w:r>
          </w:p>
        </w:tc>
      </w:tr>
      <w:tr>
        <w:tc>
          <w:tcPr>
            <w:tcW w:type="dxa" w:w="2592"/>
            <w:shd w:val="clear" w:color="auto" w:fill="FFFFFF"/>
          </w:tcPr>
          <w:p>
            <w:pPr>
              <w:spacing w:before="20" w:after="20"/>
            </w:pPr>
            <w:r>
              <w:rPr>
                <w:rFonts w:ascii="Calibri" w:hAnsi="Calibri"/>
                <w:sz w:val="18"/>
              </w:rPr>
              <w:t>Bank</w:t>
            </w:r>
          </w:p>
        </w:tc>
        <w:tc>
          <w:tcPr>
            <w:tcW w:type="dxa" w:w="6768"/>
            <w:shd w:val="clear" w:color="auto" w:fill="FFFFFF"/>
          </w:tcPr>
          <w:p>
            <w:pPr>
              <w:spacing w:before="20" w:after="20"/>
            </w:pPr>
            <w:r>
              <w:rPr>
                <w:rFonts w:ascii="Calibri" w:hAnsi="Calibri"/>
                <w:sz w:val="18"/>
              </w:rPr>
              <w:t>J.P. Morgan Chase Bank N.A.</w:t>
            </w:r>
          </w:p>
        </w:tc>
      </w:tr>
      <w:tr>
        <w:tc>
          <w:tcPr>
            <w:tcW w:type="dxa" w:w="2592"/>
            <w:shd w:val="clear" w:color="auto" w:fill="F4F7FC"/>
          </w:tcPr>
          <w:p>
            <w:pPr>
              <w:spacing w:before="20" w:after="20"/>
            </w:pPr>
            <w:r>
              <w:rPr>
                <w:rFonts w:ascii="Calibri" w:hAnsi="Calibri"/>
                <w:sz w:val="18"/>
              </w:rPr>
              <w:t>ABA</w:t>
            </w:r>
          </w:p>
        </w:tc>
        <w:tc>
          <w:tcPr>
            <w:tcW w:type="dxa" w:w="6768"/>
            <w:shd w:val="clear" w:color="auto" w:fill="F4F7FC"/>
          </w:tcPr>
          <w:p>
            <w:pPr>
              <w:spacing w:before="20" w:after="20"/>
            </w:pPr>
            <w:r>
              <w:rPr>
                <w:rFonts w:ascii="Calibri" w:hAnsi="Calibri"/>
                <w:sz w:val="18"/>
              </w:rPr>
              <w:t>021000021</w:t>
            </w:r>
          </w:p>
        </w:tc>
      </w:tr>
      <w:tr>
        <w:tc>
          <w:tcPr>
            <w:tcW w:type="dxa" w:w="2592"/>
            <w:shd w:val="clear" w:color="auto" w:fill="FFFFFF"/>
          </w:tcPr>
          <w:p>
            <w:pPr>
              <w:spacing w:before="20" w:after="20"/>
            </w:pPr>
            <w:r>
              <w:rPr>
                <w:rFonts w:ascii="Calibri" w:hAnsi="Calibri"/>
                <w:sz w:val="18"/>
              </w:rPr>
              <w:t>SWIFT</w:t>
            </w:r>
          </w:p>
        </w:tc>
        <w:tc>
          <w:tcPr>
            <w:tcW w:type="dxa" w:w="6768"/>
            <w:shd w:val="clear" w:color="auto" w:fill="FFFFFF"/>
          </w:tcPr>
          <w:p>
            <w:pPr>
              <w:spacing w:before="20" w:after="20"/>
            </w:pPr>
            <w:r>
              <w:rPr>
                <w:rFonts w:ascii="Calibri" w:hAnsi="Calibri"/>
                <w:sz w:val="18"/>
              </w:rPr>
              <w:t>CHASUS33</w:t>
            </w:r>
          </w:p>
        </w:tc>
      </w:tr>
      <w:tr>
        <w:tc>
          <w:tcPr>
            <w:tcW w:type="dxa" w:w="2592"/>
            <w:shd w:val="clear" w:color="auto" w:fill="F4F7FC"/>
          </w:tcPr>
          <w:p>
            <w:pPr>
              <w:spacing w:before="20" w:after="20"/>
            </w:pPr>
            <w:r>
              <w:rPr>
                <w:rFonts w:ascii="Calibri" w:hAnsi="Calibri"/>
                <w:sz w:val="18"/>
              </w:rPr>
              <w:t>Account Name</w:t>
            </w:r>
          </w:p>
        </w:tc>
        <w:tc>
          <w:tcPr>
            <w:tcW w:type="dxa" w:w="6768"/>
            <w:shd w:val="clear" w:color="auto" w:fill="F4F7FC"/>
          </w:tcPr>
          <w:p>
            <w:pPr>
              <w:spacing w:before="20" w:after="20"/>
            </w:pPr>
            <w:r>
              <w:rPr>
                <w:rFonts w:ascii="Calibri" w:hAnsi="Calibri"/>
                <w:sz w:val="18"/>
              </w:rPr>
              <w:t>Global Wing Finance BV — Aircraft Trust 7203</w:t>
            </w:r>
          </w:p>
        </w:tc>
      </w:tr>
      <w:tr>
        <w:tc>
          <w:tcPr>
            <w:tcW w:type="dxa" w:w="2592"/>
            <w:shd w:val="clear" w:color="auto" w:fill="FFFFFF"/>
          </w:tcPr>
          <w:p>
            <w:pPr>
              <w:spacing w:before="20" w:after="20"/>
            </w:pPr>
            <w:r>
              <w:rPr>
                <w:rFonts w:ascii="Calibri" w:hAnsi="Calibri"/>
                <w:sz w:val="18"/>
              </w:rPr>
              <w:t>Account No.</w:t>
            </w:r>
          </w:p>
        </w:tc>
        <w:tc>
          <w:tcPr>
            <w:tcW w:type="dxa" w:w="6768"/>
            <w:shd w:val="clear" w:color="auto" w:fill="FFFFFF"/>
          </w:tcPr>
          <w:p>
            <w:pPr>
              <w:spacing w:before="20" w:after="20"/>
            </w:pPr>
            <w:r>
              <w:rPr>
                <w:rFonts w:ascii="Calibri" w:hAnsi="Calibri"/>
                <w:sz w:val="18"/>
              </w:rPr>
              <w:t>12345678907203</w:t>
            </w:r>
          </w:p>
        </w:tc>
      </w:tr>
      <w:tr>
        <w:tc>
          <w:tcPr>
            <w:tcW w:type="dxa" w:w="2592"/>
            <w:shd w:val="clear" w:color="auto" w:fill="F4F7FC"/>
          </w:tcPr>
          <w:p>
            <w:pPr>
              <w:spacing w:before="20" w:after="20"/>
            </w:pPr>
            <w:r>
              <w:rPr>
                <w:rFonts w:ascii="Calibri" w:hAnsi="Calibri"/>
                <w:sz w:val="18"/>
              </w:rPr>
              <w:t>Reference</w:t>
            </w:r>
          </w:p>
        </w:tc>
        <w:tc>
          <w:tcPr>
            <w:tcW w:type="dxa" w:w="6768"/>
            <w:shd w:val="clear" w:color="auto" w:fill="F4F7FC"/>
          </w:tcPr>
          <w:p>
            <w:pPr>
              <w:spacing w:before="20" w:after="20"/>
            </w:pPr>
            <w:r>
              <w:rPr>
                <w:rFonts w:ascii="Calibri" w:hAnsi="Calibri"/>
                <w:sz w:val="18"/>
              </w:rPr>
              <w:t>ALA-2029-005 / N67890 / Month MMYYYY</w:t>
            </w:r>
          </w:p>
        </w:tc>
      </w:tr>
    </w:tbl>
    <w:p/>
    <w:p>
      <w:pPr>
        <w:spacing w:after="100"/>
      </w:pPr>
      <w:r>
        <w:rPr>
          <w:rFonts w:ascii="Calibri" w:hAnsi="Calibri"/>
          <w:i w:val="0"/>
          <w:sz w:val="20"/>
        </w:rPr>
        <w:t>6.4  Late payment interest: SOFR + 4.00% p.a. on a 365-day basis from the due date to actual payment date.</w:t>
      </w:r>
    </w:p>
    <w:p>
      <w:pPr>
        <w:spacing w:after="100"/>
      </w:pPr>
      <w:r>
        <w:rPr>
          <w:rFonts w:ascii="Calibri" w:hAnsi="Calibri"/>
          <w:i w:val="0"/>
          <w:sz w:val="20"/>
        </w:rPr>
        <w:t>6.5  All payments are without set-off, counterclaim, deduction, or withholding of any nature.</w:t>
      </w:r>
    </w:p>
    <w:p>
      <w:r>
        <w:br w:type="page"/>
      </w:r>
    </w:p>
    <w:p>
      <w:pPr>
        <w:pStyle w:val="Heading2"/>
      </w:pPr>
      <w:r>
        <w:rPr>
          <w:rFonts w:ascii="Calibri" w:hAnsi="Calibri"/>
          <w:b/>
          <w:color w:val="0D2B55"/>
          <w:sz w:val="24"/>
        </w:rPr>
        <w:t>ARTICLE 7 — SECURITY DEPOSIT</w:t>
      </w:r>
    </w:p>
    <w:p>
      <w:pPr>
        <w:pBdr>
          <w:bottom w:val="single" w:sz="6" w:space="1" w:color="0D2B55"/>
        </w:pBdr>
        <w:spacing w:before="40" w:after="120"/>
      </w:pPr>
    </w:p>
    <w:p>
      <w:pPr>
        <w:spacing w:after="100"/>
      </w:pPr>
      <w:r>
        <w:rPr>
          <w:rFonts w:ascii="Calibri" w:hAnsi="Calibri"/>
          <w:i w:val="0"/>
          <w:sz w:val="20"/>
        </w:rPr>
        <w:t>7.1  Cash Security Deposit of USD 1,155,000 (three months' rent) payable before Delivery Date.</w:t>
      </w:r>
    </w:p>
    <w:p>
      <w:pPr>
        <w:spacing w:after="100"/>
      </w:pPr>
      <w:r>
        <w:rPr>
          <w:rFonts w:ascii="Calibri" w:hAnsi="Calibri"/>
          <w:i w:val="0"/>
          <w:sz w:val="20"/>
        </w:rPr>
        <w:t>7.2  Held by Lessor in a segregated interest-bearing account; interest credited to Lessee if no Event of Default.</w:t>
      </w:r>
    </w:p>
    <w:p>
      <w:pPr>
        <w:spacing w:after="100"/>
      </w:pPr>
      <w:r>
        <w:rPr>
          <w:rFonts w:ascii="Calibri" w:hAnsi="Calibri"/>
          <w:i w:val="0"/>
          <w:sz w:val="20"/>
        </w:rPr>
        <w:t>7.3  Lessor may apply any portion against unpaid amounts or losses; Lessee must replenish within 5 Business Days.</w:t>
      </w:r>
    </w:p>
    <w:p>
      <w:pPr>
        <w:spacing w:after="100"/>
      </w:pPr>
      <w:r>
        <w:rPr>
          <w:rFonts w:ascii="Calibri" w:hAnsi="Calibri"/>
          <w:i w:val="0"/>
          <w:sz w:val="20"/>
        </w:rPr>
        <w:t>7.4  Returned within 30 days of redelivery, subject to no continuing defaults and all amounts paid in full.</w:t>
      </w:r>
    </w:p>
    <w:p>
      <w:pPr>
        <w:spacing w:after="100"/>
      </w:pPr>
      <w:r>
        <w:rPr>
          <w:rFonts w:ascii="Calibri" w:hAnsi="Calibri"/>
          <w:i w:val="0"/>
          <w:sz w:val="20"/>
        </w:rPr>
        <w:t>7.5  May be replaced by a standby Letter of Credit from a Lessor-approved bank.</w:t>
      </w:r>
    </w:p>
    <w:p>
      <w:pPr>
        <w:pStyle w:val="Heading2"/>
      </w:pPr>
      <w:r>
        <w:rPr>
          <w:rFonts w:ascii="Calibri" w:hAnsi="Calibri"/>
          <w:b/>
          <w:color w:val="0D2B55"/>
          <w:sz w:val="24"/>
        </w:rPr>
        <w:t>ARTICLE 8 — MAINTENANCE RESERVES</w:t>
      </w:r>
    </w:p>
    <w:p>
      <w:pPr>
        <w:pBdr>
          <w:bottom w:val="single" w:sz="6" w:space="1" w:color="0D2B55"/>
        </w:pBdr>
        <w:spacing w:before="40" w:after="120"/>
      </w:pPr>
    </w:p>
    <w:p>
      <w:pPr>
        <w:spacing w:after="100"/>
      </w:pPr>
      <w:r>
        <w:rPr>
          <w:rFonts w:ascii="Calibri" w:hAnsi="Calibri"/>
          <w:i w:val="0"/>
          <w:sz w:val="20"/>
        </w:rPr>
        <w:t>8.1  In addition to Base Rent, Lessee pays Maintenance Reserves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92"/>
            <w:shd w:val="clear" w:color="auto" w:fill="0D2B55"/>
          </w:tcPr>
          <w:p>
            <w:pPr>
              <w:spacing w:before="40" w:after="40"/>
            </w:pPr>
            <w:r>
              <w:rPr>
                <w:rFonts w:ascii="Calibri" w:hAnsi="Calibri"/>
                <w:b/>
                <w:color w:val="FFFFFF"/>
                <w:sz w:val="18"/>
              </w:rPr>
              <w:t>Reserve Component</w:t>
            </w:r>
          </w:p>
        </w:tc>
        <w:tc>
          <w:tcPr>
            <w:tcW w:type="dxa" w:w="1728"/>
            <w:shd w:val="clear" w:color="auto" w:fill="0D2B55"/>
          </w:tcPr>
          <w:p>
            <w:pPr>
              <w:spacing w:before="40" w:after="40"/>
            </w:pPr>
            <w:r>
              <w:rPr>
                <w:rFonts w:ascii="Calibri" w:hAnsi="Calibri"/>
                <w:b/>
                <w:color w:val="FFFFFF"/>
                <w:sz w:val="18"/>
              </w:rPr>
              <w:t>Rate</w:t>
            </w:r>
          </w:p>
        </w:tc>
        <w:tc>
          <w:tcPr>
            <w:tcW w:type="dxa" w:w="1728"/>
            <w:shd w:val="clear" w:color="auto" w:fill="0D2B55"/>
          </w:tcPr>
          <w:p>
            <w:pPr>
              <w:spacing w:before="40" w:after="40"/>
            </w:pPr>
            <w:r>
              <w:rPr>
                <w:rFonts w:ascii="Calibri" w:hAnsi="Calibri"/>
                <w:b/>
                <w:color w:val="FFFFFF"/>
                <w:sz w:val="18"/>
              </w:rPr>
              <w:t>Trigger</w:t>
            </w:r>
          </w:p>
        </w:tc>
        <w:tc>
          <w:tcPr>
            <w:tcW w:type="dxa" w:w="1728"/>
            <w:shd w:val="clear" w:color="auto" w:fill="0D2B55"/>
          </w:tcPr>
          <w:p>
            <w:pPr>
              <w:spacing w:before="40" w:after="40"/>
            </w:pPr>
            <w:r>
              <w:rPr>
                <w:rFonts w:ascii="Calibri" w:hAnsi="Calibri"/>
                <w:b/>
                <w:color w:val="FFFFFF"/>
                <w:sz w:val="18"/>
              </w:rPr>
              <w:t>Annual Escalation</w:t>
            </w:r>
          </w:p>
        </w:tc>
        <w:tc>
          <w:tcPr>
            <w:tcW w:type="dxa" w:w="1584"/>
            <w:shd w:val="clear" w:color="auto" w:fill="0D2B55"/>
          </w:tcPr>
          <w:p>
            <w:pPr>
              <w:spacing w:before="40" w:after="40"/>
            </w:pPr>
            <w:r>
              <w:rPr>
                <w:rFonts w:ascii="Calibri" w:hAnsi="Calibri"/>
                <w:b/>
                <w:color w:val="FFFFFF"/>
                <w:sz w:val="18"/>
              </w:rPr>
              <w:t>Cap (per event)</w:t>
            </w:r>
          </w:p>
        </w:tc>
      </w:tr>
      <w:tr>
        <w:tc>
          <w:tcPr>
            <w:tcW w:type="dxa" w:w="2592"/>
            <w:shd w:val="clear" w:color="auto" w:fill="FFFFFF"/>
          </w:tcPr>
          <w:p>
            <w:pPr>
              <w:spacing w:before="20" w:after="20"/>
            </w:pPr>
            <w:r>
              <w:rPr>
                <w:rFonts w:ascii="Calibri" w:hAnsi="Calibri"/>
                <w:sz w:val="18"/>
              </w:rPr>
              <w:t>Airframe A/B Check</w:t>
            </w:r>
          </w:p>
        </w:tc>
        <w:tc>
          <w:tcPr>
            <w:tcW w:type="dxa" w:w="1728"/>
            <w:shd w:val="clear" w:color="auto" w:fill="FFFFFF"/>
          </w:tcPr>
          <w:p>
            <w:pPr>
              <w:spacing w:before="20" w:after="20"/>
            </w:pPr>
            <w:r>
              <w:rPr>
                <w:rFonts w:ascii="Calibri" w:hAnsi="Calibri"/>
                <w:sz w:val="18"/>
              </w:rPr>
              <w:t>USD 120/FH</w:t>
            </w:r>
          </w:p>
        </w:tc>
        <w:tc>
          <w:tcPr>
            <w:tcW w:type="dxa" w:w="1728"/>
            <w:shd w:val="clear" w:color="auto" w:fill="FFFFFF"/>
          </w:tcPr>
          <w:p>
            <w:pPr>
              <w:spacing w:before="20" w:after="20"/>
            </w:pPr>
            <w:r>
              <w:rPr>
                <w:rFonts w:ascii="Calibri" w:hAnsi="Calibri"/>
                <w:sz w:val="18"/>
              </w:rPr>
              <w:t>Per FH flown</w:t>
            </w:r>
          </w:p>
        </w:tc>
        <w:tc>
          <w:tcPr>
            <w:tcW w:type="dxa" w:w="1728"/>
            <w:shd w:val="clear" w:color="auto" w:fill="FFFFFF"/>
          </w:tcPr>
          <w:p>
            <w:pPr>
              <w:spacing w:before="20" w:after="20"/>
            </w:pPr>
            <w:r>
              <w:rPr>
                <w:rFonts w:ascii="Calibri" w:hAnsi="Calibri"/>
                <w:sz w:val="18"/>
              </w:rPr>
              <w:t>CPI-U</w:t>
            </w:r>
          </w:p>
        </w:tc>
        <w:tc>
          <w:tcPr>
            <w:tcW w:type="dxa" w:w="1584"/>
            <w:shd w:val="clear" w:color="auto" w:fill="FFFFFF"/>
          </w:tcPr>
          <w:p>
            <w:pPr>
              <w:spacing w:before="20" w:after="20"/>
            </w:pPr>
            <w:r>
              <w:rPr>
                <w:rFonts w:ascii="Calibri" w:hAnsi="Calibri"/>
                <w:sz w:val="18"/>
              </w:rPr>
              <w:t>USD 350,000</w:t>
            </w:r>
          </w:p>
        </w:tc>
      </w:tr>
      <w:tr>
        <w:tc>
          <w:tcPr>
            <w:tcW w:type="dxa" w:w="2592"/>
            <w:shd w:val="clear" w:color="auto" w:fill="F4F7FC"/>
          </w:tcPr>
          <w:p>
            <w:pPr>
              <w:spacing w:before="20" w:after="20"/>
            </w:pPr>
            <w:r>
              <w:rPr>
                <w:rFonts w:ascii="Calibri" w:hAnsi="Calibri"/>
                <w:sz w:val="18"/>
              </w:rPr>
              <w:t>Airframe C Check</w:t>
            </w:r>
          </w:p>
        </w:tc>
        <w:tc>
          <w:tcPr>
            <w:tcW w:type="dxa" w:w="1728"/>
            <w:shd w:val="clear" w:color="auto" w:fill="F4F7FC"/>
          </w:tcPr>
          <w:p>
            <w:pPr>
              <w:spacing w:before="20" w:after="20"/>
            </w:pPr>
            <w:r>
              <w:rPr>
                <w:rFonts w:ascii="Calibri" w:hAnsi="Calibri"/>
                <w:sz w:val="18"/>
              </w:rPr>
              <w:t>USD 360/FH</w:t>
            </w:r>
          </w:p>
        </w:tc>
        <w:tc>
          <w:tcPr>
            <w:tcW w:type="dxa" w:w="1728"/>
            <w:shd w:val="clear" w:color="auto" w:fill="F4F7FC"/>
          </w:tcPr>
          <w:p>
            <w:pPr>
              <w:spacing w:before="20" w:after="20"/>
            </w:pPr>
            <w:r>
              <w:rPr>
                <w:rFonts w:ascii="Calibri" w:hAnsi="Calibri"/>
                <w:sz w:val="18"/>
              </w:rPr>
              <w:t>Per FH flown</w:t>
            </w:r>
          </w:p>
        </w:tc>
        <w:tc>
          <w:tcPr>
            <w:tcW w:type="dxa" w:w="1728"/>
            <w:shd w:val="clear" w:color="auto" w:fill="F4F7FC"/>
          </w:tcPr>
          <w:p>
            <w:pPr>
              <w:spacing w:before="20" w:after="20"/>
            </w:pPr>
            <w:r>
              <w:rPr>
                <w:rFonts w:ascii="Calibri" w:hAnsi="Calibri"/>
                <w:sz w:val="18"/>
              </w:rPr>
              <w:t>CPI-U</w:t>
            </w:r>
          </w:p>
        </w:tc>
        <w:tc>
          <w:tcPr>
            <w:tcW w:type="dxa" w:w="1584"/>
            <w:shd w:val="clear" w:color="auto" w:fill="F4F7FC"/>
          </w:tcPr>
          <w:p>
            <w:pPr>
              <w:spacing w:before="20" w:after="20"/>
            </w:pPr>
            <w:r>
              <w:rPr>
                <w:rFonts w:ascii="Calibri" w:hAnsi="Calibri"/>
                <w:sz w:val="18"/>
              </w:rPr>
              <w:t>USD 4,500,000</w:t>
            </w:r>
          </w:p>
        </w:tc>
      </w:tr>
      <w:tr>
        <w:tc>
          <w:tcPr>
            <w:tcW w:type="dxa" w:w="2592"/>
            <w:shd w:val="clear" w:color="auto" w:fill="FFFFFF"/>
          </w:tcPr>
          <w:p>
            <w:pPr>
              <w:spacing w:before="20" w:after="20"/>
            </w:pPr>
            <w:r>
              <w:rPr>
                <w:rFonts w:ascii="Calibri" w:hAnsi="Calibri"/>
                <w:sz w:val="18"/>
              </w:rPr>
              <w:t>Engine LLP — No. 1</w:t>
            </w:r>
          </w:p>
        </w:tc>
        <w:tc>
          <w:tcPr>
            <w:tcW w:type="dxa" w:w="1728"/>
            <w:shd w:val="clear" w:color="auto" w:fill="FFFFFF"/>
          </w:tcPr>
          <w:p>
            <w:pPr>
              <w:spacing w:before="20" w:after="20"/>
            </w:pPr>
            <w:r>
              <w:rPr>
                <w:rFonts w:ascii="Calibri" w:hAnsi="Calibri"/>
                <w:sz w:val="18"/>
              </w:rPr>
              <w:t>USD 185/FC</w:t>
            </w:r>
          </w:p>
        </w:tc>
        <w:tc>
          <w:tcPr>
            <w:tcW w:type="dxa" w:w="1728"/>
            <w:shd w:val="clear" w:color="auto" w:fill="FFFFFF"/>
          </w:tcPr>
          <w:p>
            <w:pPr>
              <w:spacing w:before="20" w:after="20"/>
            </w:pPr>
            <w:r>
              <w:rPr>
                <w:rFonts w:ascii="Calibri" w:hAnsi="Calibri"/>
                <w:sz w:val="18"/>
              </w:rPr>
              <w:t>Per FC on Eng 1</w:t>
            </w:r>
          </w:p>
        </w:tc>
        <w:tc>
          <w:tcPr>
            <w:tcW w:type="dxa" w:w="1728"/>
            <w:shd w:val="clear" w:color="auto" w:fill="FFFFFF"/>
          </w:tcPr>
          <w:p>
            <w:pPr>
              <w:spacing w:before="20" w:after="20"/>
            </w:pPr>
            <w:r>
              <w:rPr>
                <w:rFonts w:ascii="Calibri" w:hAnsi="Calibri"/>
                <w:sz w:val="18"/>
              </w:rPr>
              <w:t>CPI-U + 1%</w:t>
            </w:r>
          </w:p>
        </w:tc>
        <w:tc>
          <w:tcPr>
            <w:tcW w:type="dxa" w:w="1584"/>
            <w:shd w:val="clear" w:color="auto" w:fill="FFFFFF"/>
          </w:tcPr>
          <w:p>
            <w:pPr>
              <w:spacing w:before="20" w:after="20"/>
            </w:pPr>
            <w:r>
              <w:rPr>
                <w:rFonts w:ascii="Calibri" w:hAnsi="Calibri"/>
                <w:sz w:val="18"/>
              </w:rPr>
              <w:t>USD 2,800,000</w:t>
            </w:r>
          </w:p>
        </w:tc>
      </w:tr>
      <w:tr>
        <w:tc>
          <w:tcPr>
            <w:tcW w:type="dxa" w:w="2592"/>
            <w:shd w:val="clear" w:color="auto" w:fill="F4F7FC"/>
          </w:tcPr>
          <w:p>
            <w:pPr>
              <w:spacing w:before="20" w:after="20"/>
            </w:pPr>
            <w:r>
              <w:rPr>
                <w:rFonts w:ascii="Calibri" w:hAnsi="Calibri"/>
                <w:sz w:val="18"/>
              </w:rPr>
              <w:t>Engine LLP — No. 2</w:t>
            </w:r>
          </w:p>
        </w:tc>
        <w:tc>
          <w:tcPr>
            <w:tcW w:type="dxa" w:w="1728"/>
            <w:shd w:val="clear" w:color="auto" w:fill="F4F7FC"/>
          </w:tcPr>
          <w:p>
            <w:pPr>
              <w:spacing w:before="20" w:after="20"/>
            </w:pPr>
            <w:r>
              <w:rPr>
                <w:rFonts w:ascii="Calibri" w:hAnsi="Calibri"/>
                <w:sz w:val="18"/>
              </w:rPr>
              <w:t>USD 185/FC</w:t>
            </w:r>
          </w:p>
        </w:tc>
        <w:tc>
          <w:tcPr>
            <w:tcW w:type="dxa" w:w="1728"/>
            <w:shd w:val="clear" w:color="auto" w:fill="F4F7FC"/>
          </w:tcPr>
          <w:p>
            <w:pPr>
              <w:spacing w:before="20" w:after="20"/>
            </w:pPr>
            <w:r>
              <w:rPr>
                <w:rFonts w:ascii="Calibri" w:hAnsi="Calibri"/>
                <w:sz w:val="18"/>
              </w:rPr>
              <w:t>Per FC on Eng 2</w:t>
            </w:r>
          </w:p>
        </w:tc>
        <w:tc>
          <w:tcPr>
            <w:tcW w:type="dxa" w:w="1728"/>
            <w:shd w:val="clear" w:color="auto" w:fill="F4F7FC"/>
          </w:tcPr>
          <w:p>
            <w:pPr>
              <w:spacing w:before="20" w:after="20"/>
            </w:pPr>
            <w:r>
              <w:rPr>
                <w:rFonts w:ascii="Calibri" w:hAnsi="Calibri"/>
                <w:sz w:val="18"/>
              </w:rPr>
              <w:t>CPI-U + 1%</w:t>
            </w:r>
          </w:p>
        </w:tc>
        <w:tc>
          <w:tcPr>
            <w:tcW w:type="dxa" w:w="1584"/>
            <w:shd w:val="clear" w:color="auto" w:fill="F4F7FC"/>
          </w:tcPr>
          <w:p>
            <w:pPr>
              <w:spacing w:before="20" w:after="20"/>
            </w:pPr>
            <w:r>
              <w:rPr>
                <w:rFonts w:ascii="Calibri" w:hAnsi="Calibri"/>
                <w:sz w:val="18"/>
              </w:rPr>
              <w:t>USD 2,800,000</w:t>
            </w:r>
          </w:p>
        </w:tc>
      </w:tr>
      <w:tr>
        <w:tc>
          <w:tcPr>
            <w:tcW w:type="dxa" w:w="2592"/>
            <w:shd w:val="clear" w:color="auto" w:fill="FFFFFF"/>
          </w:tcPr>
          <w:p>
            <w:pPr>
              <w:spacing w:before="20" w:after="20"/>
            </w:pPr>
            <w:r>
              <w:rPr>
                <w:rFonts w:ascii="Calibri" w:hAnsi="Calibri"/>
                <w:sz w:val="18"/>
              </w:rPr>
              <w:t>Engine Performance — No. 1</w:t>
            </w:r>
          </w:p>
        </w:tc>
        <w:tc>
          <w:tcPr>
            <w:tcW w:type="dxa" w:w="1728"/>
            <w:shd w:val="clear" w:color="auto" w:fill="FFFFFF"/>
          </w:tcPr>
          <w:p>
            <w:pPr>
              <w:spacing w:before="20" w:after="20"/>
            </w:pPr>
            <w:r>
              <w:rPr>
                <w:rFonts w:ascii="Calibri" w:hAnsi="Calibri"/>
                <w:sz w:val="18"/>
              </w:rPr>
              <w:t>USD 140/FH</w:t>
            </w:r>
          </w:p>
        </w:tc>
        <w:tc>
          <w:tcPr>
            <w:tcW w:type="dxa" w:w="1728"/>
            <w:shd w:val="clear" w:color="auto" w:fill="FFFFFF"/>
          </w:tcPr>
          <w:p>
            <w:pPr>
              <w:spacing w:before="20" w:after="20"/>
            </w:pPr>
            <w:r>
              <w:rPr>
                <w:rFonts w:ascii="Calibri" w:hAnsi="Calibri"/>
                <w:sz w:val="18"/>
              </w:rPr>
              <w:t>Per FH on Eng 1</w:t>
            </w:r>
          </w:p>
        </w:tc>
        <w:tc>
          <w:tcPr>
            <w:tcW w:type="dxa" w:w="1728"/>
            <w:shd w:val="clear" w:color="auto" w:fill="FFFFFF"/>
          </w:tcPr>
          <w:p>
            <w:pPr>
              <w:spacing w:before="20" w:after="20"/>
            </w:pPr>
            <w:r>
              <w:rPr>
                <w:rFonts w:ascii="Calibri" w:hAnsi="Calibri"/>
                <w:sz w:val="18"/>
              </w:rPr>
              <w:t>CPI-U + 1%</w:t>
            </w:r>
          </w:p>
        </w:tc>
        <w:tc>
          <w:tcPr>
            <w:tcW w:type="dxa" w:w="1584"/>
            <w:shd w:val="clear" w:color="auto" w:fill="FFFFFF"/>
          </w:tcPr>
          <w:p>
            <w:pPr>
              <w:spacing w:before="20" w:after="20"/>
            </w:pPr>
            <w:r>
              <w:rPr>
                <w:rFonts w:ascii="Calibri" w:hAnsi="Calibri"/>
                <w:sz w:val="18"/>
              </w:rPr>
              <w:t>USD 5,200,000</w:t>
            </w:r>
          </w:p>
        </w:tc>
      </w:tr>
      <w:tr>
        <w:tc>
          <w:tcPr>
            <w:tcW w:type="dxa" w:w="2592"/>
            <w:shd w:val="clear" w:color="auto" w:fill="F4F7FC"/>
          </w:tcPr>
          <w:p>
            <w:pPr>
              <w:spacing w:before="20" w:after="20"/>
            </w:pPr>
            <w:r>
              <w:rPr>
                <w:rFonts w:ascii="Calibri" w:hAnsi="Calibri"/>
                <w:sz w:val="18"/>
              </w:rPr>
              <w:t>Engine Performance — No. 2</w:t>
            </w:r>
          </w:p>
        </w:tc>
        <w:tc>
          <w:tcPr>
            <w:tcW w:type="dxa" w:w="1728"/>
            <w:shd w:val="clear" w:color="auto" w:fill="F4F7FC"/>
          </w:tcPr>
          <w:p>
            <w:pPr>
              <w:spacing w:before="20" w:after="20"/>
            </w:pPr>
            <w:r>
              <w:rPr>
                <w:rFonts w:ascii="Calibri" w:hAnsi="Calibri"/>
                <w:sz w:val="18"/>
              </w:rPr>
              <w:t>USD 140/FH</w:t>
            </w:r>
          </w:p>
        </w:tc>
        <w:tc>
          <w:tcPr>
            <w:tcW w:type="dxa" w:w="1728"/>
            <w:shd w:val="clear" w:color="auto" w:fill="F4F7FC"/>
          </w:tcPr>
          <w:p>
            <w:pPr>
              <w:spacing w:before="20" w:after="20"/>
            </w:pPr>
            <w:r>
              <w:rPr>
                <w:rFonts w:ascii="Calibri" w:hAnsi="Calibri"/>
                <w:sz w:val="18"/>
              </w:rPr>
              <w:t>Per FH on Eng 2</w:t>
            </w:r>
          </w:p>
        </w:tc>
        <w:tc>
          <w:tcPr>
            <w:tcW w:type="dxa" w:w="1728"/>
            <w:shd w:val="clear" w:color="auto" w:fill="F4F7FC"/>
          </w:tcPr>
          <w:p>
            <w:pPr>
              <w:spacing w:before="20" w:after="20"/>
            </w:pPr>
            <w:r>
              <w:rPr>
                <w:rFonts w:ascii="Calibri" w:hAnsi="Calibri"/>
                <w:sz w:val="18"/>
              </w:rPr>
              <w:t>CPI-U + 1%</w:t>
            </w:r>
          </w:p>
        </w:tc>
        <w:tc>
          <w:tcPr>
            <w:tcW w:type="dxa" w:w="1584"/>
            <w:shd w:val="clear" w:color="auto" w:fill="F4F7FC"/>
          </w:tcPr>
          <w:p>
            <w:pPr>
              <w:spacing w:before="20" w:after="20"/>
            </w:pPr>
            <w:r>
              <w:rPr>
                <w:rFonts w:ascii="Calibri" w:hAnsi="Calibri"/>
                <w:sz w:val="18"/>
              </w:rPr>
              <w:t>USD 5,200,000</w:t>
            </w:r>
          </w:p>
        </w:tc>
      </w:tr>
      <w:tr>
        <w:tc>
          <w:tcPr>
            <w:tcW w:type="dxa" w:w="2592"/>
            <w:shd w:val="clear" w:color="auto" w:fill="FFFFFF"/>
          </w:tcPr>
          <w:p>
            <w:pPr>
              <w:spacing w:before="20" w:after="20"/>
            </w:pPr>
            <w:r>
              <w:rPr>
                <w:rFonts w:ascii="Calibri" w:hAnsi="Calibri"/>
                <w:sz w:val="18"/>
              </w:rPr>
              <w:t>Landing Gear (all legs)</w:t>
            </w:r>
          </w:p>
        </w:tc>
        <w:tc>
          <w:tcPr>
            <w:tcW w:type="dxa" w:w="1728"/>
            <w:shd w:val="clear" w:color="auto" w:fill="FFFFFF"/>
          </w:tcPr>
          <w:p>
            <w:pPr>
              <w:spacing w:before="20" w:after="20"/>
            </w:pPr>
            <w:r>
              <w:rPr>
                <w:rFonts w:ascii="Calibri" w:hAnsi="Calibri"/>
                <w:sz w:val="18"/>
              </w:rPr>
              <w:t>USD 85/FH</w:t>
            </w:r>
          </w:p>
        </w:tc>
        <w:tc>
          <w:tcPr>
            <w:tcW w:type="dxa" w:w="1728"/>
            <w:shd w:val="clear" w:color="auto" w:fill="FFFFFF"/>
          </w:tcPr>
          <w:p>
            <w:pPr>
              <w:spacing w:before="20" w:after="20"/>
            </w:pPr>
            <w:r>
              <w:rPr>
                <w:rFonts w:ascii="Calibri" w:hAnsi="Calibri"/>
                <w:sz w:val="18"/>
              </w:rPr>
              <w:t>Per FH flown</w:t>
            </w:r>
          </w:p>
        </w:tc>
        <w:tc>
          <w:tcPr>
            <w:tcW w:type="dxa" w:w="1728"/>
            <w:shd w:val="clear" w:color="auto" w:fill="FFFFFF"/>
          </w:tcPr>
          <w:p>
            <w:pPr>
              <w:spacing w:before="20" w:after="20"/>
            </w:pPr>
            <w:r>
              <w:rPr>
                <w:rFonts w:ascii="Calibri" w:hAnsi="Calibri"/>
                <w:sz w:val="18"/>
              </w:rPr>
              <w:t>CPI-U</w:t>
            </w:r>
          </w:p>
        </w:tc>
        <w:tc>
          <w:tcPr>
            <w:tcW w:type="dxa" w:w="1584"/>
            <w:shd w:val="clear" w:color="auto" w:fill="FFFFFF"/>
          </w:tcPr>
          <w:p>
            <w:pPr>
              <w:spacing w:before="20" w:after="20"/>
            </w:pPr>
            <w:r>
              <w:rPr>
                <w:rFonts w:ascii="Calibri" w:hAnsi="Calibri"/>
                <w:sz w:val="18"/>
              </w:rPr>
              <w:t>USD 900,000/leg</w:t>
            </w:r>
          </w:p>
        </w:tc>
      </w:tr>
      <w:tr>
        <w:tc>
          <w:tcPr>
            <w:tcW w:type="dxa" w:w="2592"/>
            <w:shd w:val="clear" w:color="auto" w:fill="F4F7FC"/>
          </w:tcPr>
          <w:p>
            <w:pPr>
              <w:spacing w:before="20" w:after="20"/>
            </w:pPr>
            <w:r>
              <w:rPr>
                <w:rFonts w:ascii="Calibri" w:hAnsi="Calibri"/>
                <w:sz w:val="18"/>
              </w:rPr>
              <w:t>APU</w:t>
            </w:r>
          </w:p>
        </w:tc>
        <w:tc>
          <w:tcPr>
            <w:tcW w:type="dxa" w:w="1728"/>
            <w:shd w:val="clear" w:color="auto" w:fill="F4F7FC"/>
          </w:tcPr>
          <w:p>
            <w:pPr>
              <w:spacing w:before="20" w:after="20"/>
            </w:pPr>
            <w:r>
              <w:rPr>
                <w:rFonts w:ascii="Calibri" w:hAnsi="Calibri"/>
                <w:sz w:val="18"/>
              </w:rPr>
              <w:t>USD 45/APU-H</w:t>
            </w:r>
          </w:p>
        </w:tc>
        <w:tc>
          <w:tcPr>
            <w:tcW w:type="dxa" w:w="1728"/>
            <w:shd w:val="clear" w:color="auto" w:fill="F4F7FC"/>
          </w:tcPr>
          <w:p>
            <w:pPr>
              <w:spacing w:before="20" w:after="20"/>
            </w:pPr>
            <w:r>
              <w:rPr>
                <w:rFonts w:ascii="Calibri" w:hAnsi="Calibri"/>
                <w:sz w:val="18"/>
              </w:rPr>
              <w:t>Per APU hour</w:t>
            </w:r>
          </w:p>
        </w:tc>
        <w:tc>
          <w:tcPr>
            <w:tcW w:type="dxa" w:w="1728"/>
            <w:shd w:val="clear" w:color="auto" w:fill="F4F7FC"/>
          </w:tcPr>
          <w:p>
            <w:pPr>
              <w:spacing w:before="20" w:after="20"/>
            </w:pPr>
            <w:r>
              <w:rPr>
                <w:rFonts w:ascii="Calibri" w:hAnsi="Calibri"/>
                <w:sz w:val="18"/>
              </w:rPr>
              <w:t>CPI-U</w:t>
            </w:r>
          </w:p>
        </w:tc>
        <w:tc>
          <w:tcPr>
            <w:tcW w:type="dxa" w:w="1584"/>
            <w:shd w:val="clear" w:color="auto" w:fill="F4F7FC"/>
          </w:tcPr>
          <w:p>
            <w:pPr>
              <w:spacing w:before="20" w:after="20"/>
            </w:pPr>
            <w:r>
              <w:rPr>
                <w:rFonts w:ascii="Calibri" w:hAnsi="Calibri"/>
                <w:sz w:val="18"/>
              </w:rPr>
              <w:t>USD 350,000</w:t>
            </w:r>
          </w:p>
        </w:tc>
      </w:tr>
    </w:tbl>
    <w:p/>
    <w:p>
      <w:pPr>
        <w:spacing w:after="100"/>
      </w:pPr>
      <w:r>
        <w:rPr>
          <w:rFonts w:ascii="Calibri" w:hAnsi="Calibri"/>
          <w:i w:val="0"/>
          <w:sz w:val="20"/>
        </w:rPr>
        <w:t>8.2  Utilisation Report due within 10 Business Days after each month-end (form: Exhibit B).</w:t>
      </w:r>
    </w:p>
    <w:p>
      <w:pPr>
        <w:spacing w:after="100"/>
      </w:pPr>
      <w:r>
        <w:rPr>
          <w:rFonts w:ascii="Calibri" w:hAnsi="Calibri"/>
          <w:i w:val="0"/>
          <w:sz w:val="20"/>
        </w:rPr>
        <w:t>8.3  MR Claim submission within 30 days of maintenance event completion, with full supporting documentation.</w:t>
      </w:r>
    </w:p>
    <w:p>
      <w:pPr>
        <w:spacing w:after="100"/>
      </w:pPr>
      <w:r>
        <w:rPr>
          <w:rFonts w:ascii="Calibri" w:hAnsi="Calibri"/>
          <w:i w:val="0"/>
          <w:sz w:val="20"/>
        </w:rPr>
        <w:t>8.4  Lessor approves or disputes claims within 21 Business Days of receipt; eligible amounts paid within 5 Business Days of approval.</w:t>
      </w:r>
    </w:p>
    <w:p>
      <w:pPr>
        <w:spacing w:after="100"/>
      </w:pPr>
      <w:r>
        <w:rPr>
          <w:rFonts w:ascii="Calibri" w:hAnsi="Calibri"/>
          <w:i w:val="0"/>
          <w:sz w:val="20"/>
        </w:rPr>
        <w:t>8.5  MR balances are non-refundable except as provided in Schedule 3.</w:t>
      </w:r>
    </w:p>
    <w:p>
      <w:r>
        <w:br w:type="page"/>
      </w:r>
    </w:p>
    <w:p>
      <w:pPr>
        <w:pStyle w:val="Heading2"/>
      </w:pPr>
      <w:r>
        <w:rPr>
          <w:rFonts w:ascii="Calibri" w:hAnsi="Calibri"/>
          <w:b/>
          <w:color w:val="0D2B55"/>
          <w:sz w:val="24"/>
        </w:rPr>
        <w:t>ARTICLE 9 — AIRWORTHINESS AND MAINTENANCE</w:t>
      </w:r>
    </w:p>
    <w:p>
      <w:pPr>
        <w:pBdr>
          <w:bottom w:val="single" w:sz="6" w:space="1" w:color="0D2B55"/>
        </w:pBdr>
        <w:spacing w:before="40" w:after="120"/>
      </w:pPr>
    </w:p>
    <w:p>
      <w:pPr>
        <w:spacing w:after="100"/>
      </w:pPr>
      <w:r>
        <w:rPr>
          <w:rFonts w:ascii="Calibri" w:hAnsi="Calibri"/>
          <w:i w:val="0"/>
          <w:sz w:val="20"/>
        </w:rPr>
        <w:t>9.1  Lessee shall maintain the Aircraft in airworthy condition in accordance with: (a) FAA regulations (14 C.F.R. Parts 21, 39, 43, 91, 121); (b) OEM manuals (AMM, IPC, AWM); (c) all applicable FAA and EASA Airworthiness Directives; (d) mandatory/alert Service Bulletins; (e) Lessee's approved Maintenance Programme; and (f) this Agreement.</w:t>
      </w:r>
    </w:p>
    <w:p>
      <w:pPr>
        <w:spacing w:after="100"/>
      </w:pPr>
      <w:r>
        <w:rPr>
          <w:rFonts w:ascii="Calibri" w:hAnsi="Calibri"/>
          <w:i w:val="0"/>
          <w:sz w:val="20"/>
        </w:rPr>
        <w:t>9.2  All maintenance by FAA/EASA Part 145 approved MROs. Lessee to notify Lessor of MRO identity at least 10 Business Days before commencement.</w:t>
      </w:r>
    </w:p>
    <w:p>
      <w:pPr>
        <w:spacing w:after="100"/>
      </w:pPr>
      <w:r>
        <w:rPr>
          <w:rFonts w:ascii="Calibri" w:hAnsi="Calibri"/>
          <w:i w:val="0"/>
          <w:sz w:val="20"/>
        </w:rPr>
        <w:t>9.3  Lessor has right of inspection on 5 Business Days' written notice (immediate for emergencies), without unreasonable interference with Lessee's operations.</w:t>
      </w:r>
    </w:p>
    <w:p>
      <w:pPr>
        <w:pStyle w:val="Heading2"/>
      </w:pPr>
      <w:r>
        <w:rPr>
          <w:rFonts w:ascii="Calibri" w:hAnsi="Calibri"/>
          <w:b/>
          <w:color w:val="0D2B55"/>
          <w:sz w:val="24"/>
        </w:rPr>
        <w:t>ARTICLE 10 — MODIFICATIONS</w:t>
      </w:r>
    </w:p>
    <w:p>
      <w:pPr>
        <w:pBdr>
          <w:bottom w:val="single" w:sz="6" w:space="1" w:color="0D2B55"/>
        </w:pBdr>
        <w:spacing w:before="40" w:after="120"/>
      </w:pPr>
    </w:p>
    <w:p>
      <w:pPr>
        <w:spacing w:after="100"/>
      </w:pPr>
      <w:r>
        <w:rPr>
          <w:rFonts w:ascii="Calibri" w:hAnsi="Calibri"/>
          <w:i w:val="0"/>
          <w:sz w:val="20"/>
        </w:rPr>
        <w:t>10.1  No modifications without Lessor's prior written consent (not unreasonably withheld for AD-mandated modifications).</w:t>
      </w:r>
    </w:p>
    <w:p>
      <w:pPr>
        <w:spacing w:after="100"/>
      </w:pPr>
      <w:r>
        <w:rPr>
          <w:rFonts w:ascii="Calibri" w:hAnsi="Calibri"/>
          <w:i w:val="0"/>
          <w:sz w:val="20"/>
        </w:rPr>
        <w:t>10.2  Approved modifications to be performed per approved data, not adversely affecting airworthiness or market value.</w:t>
      </w:r>
    </w:p>
    <w:p>
      <w:pPr>
        <w:spacing w:after="100"/>
      </w:pPr>
      <w:r>
        <w:rPr>
          <w:rFonts w:ascii="Calibri" w:hAnsi="Calibri"/>
          <w:i w:val="0"/>
          <w:sz w:val="20"/>
        </w:rPr>
        <w:t>10.3  All modifications become Lessor's property. Lessee must restore to pre-modification configuration at redelivery unless Lessor directs otherwise.</w:t>
      </w:r>
    </w:p>
    <w:p>
      <w:pPr>
        <w:pStyle w:val="Heading2"/>
      </w:pPr>
      <w:r>
        <w:rPr>
          <w:rFonts w:ascii="Calibri" w:hAnsi="Calibri"/>
          <w:b/>
          <w:color w:val="0D2B55"/>
          <w:sz w:val="24"/>
        </w:rPr>
        <w:t>ARTICLE 11 — PARTS AND COMPONENTS</w:t>
      </w:r>
    </w:p>
    <w:p>
      <w:pPr>
        <w:pBdr>
          <w:bottom w:val="single" w:sz="6" w:space="1" w:color="0D2B55"/>
        </w:pBdr>
        <w:spacing w:before="40" w:after="120"/>
      </w:pPr>
    </w:p>
    <w:p>
      <w:pPr>
        <w:spacing w:after="100"/>
      </w:pPr>
      <w:r>
        <w:rPr>
          <w:rFonts w:ascii="Calibri" w:hAnsi="Calibri"/>
          <w:i w:val="0"/>
          <w:sz w:val="20"/>
        </w:rPr>
        <w:t>11.1  Parts removed only for maintenance, repair, or replacement per this Agreement.</w:t>
      </w:r>
    </w:p>
    <w:p>
      <w:pPr>
        <w:spacing w:after="100"/>
      </w:pPr>
      <w:r>
        <w:rPr>
          <w:rFonts w:ascii="Calibri" w:hAnsi="Calibri"/>
          <w:i w:val="0"/>
          <w:sz w:val="20"/>
        </w:rPr>
        <w:t>11.2  Replacement parts: like-for-like or better; FAA 8130-3 or EASA Form 1 release certificate required.</w:t>
      </w:r>
    </w:p>
    <w:p>
      <w:pPr>
        <w:spacing w:after="100"/>
      </w:pPr>
      <w:r>
        <w:rPr>
          <w:rFonts w:ascii="Calibri" w:hAnsi="Calibri"/>
          <w:i w:val="0"/>
          <w:sz w:val="20"/>
        </w:rPr>
        <w:t>11.3  Title to replacement parts vests in Lessor upon installation, free and clear of all encumbrances.</w:t>
      </w:r>
    </w:p>
    <w:p>
      <w:r>
        <w:br w:type="page"/>
      </w:r>
    </w:p>
    <w:p>
      <w:pPr>
        <w:pStyle w:val="Heading2"/>
      </w:pPr>
      <w:r>
        <w:rPr>
          <w:rFonts w:ascii="Calibri" w:hAnsi="Calibri"/>
          <w:b/>
          <w:color w:val="0D2B55"/>
          <w:sz w:val="24"/>
        </w:rPr>
        <w:t>ARTICLE 12 — TECHNICAL RECORDS</w:t>
      </w:r>
    </w:p>
    <w:p>
      <w:pPr>
        <w:pBdr>
          <w:bottom w:val="single" w:sz="6" w:space="1" w:color="0D2B55"/>
        </w:pBdr>
        <w:spacing w:before="40" w:after="120"/>
      </w:pPr>
    </w:p>
    <w:p>
      <w:pPr>
        <w:spacing w:after="100"/>
      </w:pPr>
      <w:r>
        <w:rPr>
          <w:rFonts w:ascii="Calibri" w:hAnsi="Calibri"/>
          <w:i w:val="0"/>
          <w:sz w:val="20"/>
        </w:rPr>
        <w:t>12.1  All Technical Records maintained in English, in complete and current paper and electronic form per 14 C.F.R. Part 121 Subpart U.</w:t>
      </w:r>
    </w:p>
    <w:p>
      <w:pPr>
        <w:spacing w:after="100"/>
      </w:pPr>
      <w:r>
        <w:rPr>
          <w:rFonts w:ascii="Calibri" w:hAnsi="Calibri"/>
          <w:i w:val="0"/>
          <w:sz w:val="20"/>
        </w:rPr>
        <w:t>12.2  Copies provided to Lessor on request.</w:t>
      </w:r>
    </w:p>
    <w:p>
      <w:pPr>
        <w:spacing w:after="100"/>
      </w:pPr>
      <w:r>
        <w:rPr>
          <w:rFonts w:ascii="Calibri" w:hAnsi="Calibri"/>
          <w:i w:val="0"/>
          <w:sz w:val="20"/>
        </w:rPr>
        <w:t>12.3  All original Technical Records and electronic back-ups delivered to Lessor at redelivery.</w:t>
      </w:r>
    </w:p>
    <w:p>
      <w:pPr>
        <w:pStyle w:val="Heading2"/>
      </w:pPr>
      <w:r>
        <w:rPr>
          <w:rFonts w:ascii="Calibri" w:hAnsi="Calibri"/>
          <w:b/>
          <w:color w:val="0D2B55"/>
          <w:sz w:val="24"/>
        </w:rPr>
        <w:t>ARTICLE 13 — REGISTRATION AND TITLE</w:t>
      </w:r>
    </w:p>
    <w:p>
      <w:pPr>
        <w:pBdr>
          <w:bottom w:val="single" w:sz="6" w:space="1" w:color="0D2B55"/>
        </w:pBdr>
        <w:spacing w:before="40" w:after="120"/>
      </w:pPr>
    </w:p>
    <w:p>
      <w:pPr>
        <w:spacing w:after="100"/>
      </w:pPr>
      <w:r>
        <w:rPr>
          <w:rFonts w:ascii="Calibri" w:hAnsi="Calibri"/>
          <w:i w:val="0"/>
          <w:sz w:val="20"/>
        </w:rPr>
        <w:t>13.1  Aircraft registered on the FAA Civil Aircraft Register throughout the Lease Period.</w:t>
      </w:r>
    </w:p>
    <w:p>
      <w:pPr>
        <w:spacing w:after="100"/>
      </w:pPr>
      <w:r>
        <w:rPr>
          <w:rFonts w:ascii="Calibri" w:hAnsi="Calibri"/>
          <w:i w:val="0"/>
          <w:sz w:val="20"/>
        </w:rPr>
        <w:t>13.2  Registered in Lessor's name as owner and Lessee's name as operator.</w:t>
      </w:r>
    </w:p>
    <w:p>
      <w:pPr>
        <w:spacing w:after="100"/>
      </w:pPr>
      <w:r>
        <w:rPr>
          <w:rFonts w:ascii="Calibri" w:hAnsi="Calibri"/>
          <w:i w:val="0"/>
          <w:sz w:val="20"/>
        </w:rPr>
        <w:t>13.3  No liens, mortgages, or charges to be registered against the Aircraft.</w:t>
      </w:r>
    </w:p>
    <w:p>
      <w:pPr>
        <w:pStyle w:val="Heading2"/>
      </w:pPr>
      <w:r>
        <w:rPr>
          <w:rFonts w:ascii="Calibri" w:hAnsi="Calibri"/>
          <w:b/>
          <w:color w:val="0D2B55"/>
          <w:sz w:val="24"/>
        </w:rPr>
        <w:t>ARTICLE 14 — LIENS</w:t>
      </w:r>
    </w:p>
    <w:p>
      <w:pPr>
        <w:pBdr>
          <w:bottom w:val="single" w:sz="6" w:space="1" w:color="0D2B55"/>
        </w:pBdr>
        <w:spacing w:before="40" w:after="120"/>
      </w:pPr>
    </w:p>
    <w:p>
      <w:pPr>
        <w:spacing w:after="100"/>
      </w:pPr>
      <w:r>
        <w:rPr>
          <w:rFonts w:ascii="Calibri" w:hAnsi="Calibri"/>
          <w:i w:val="0"/>
          <w:sz w:val="20"/>
        </w:rPr>
        <w:t>14.1  Lessee shall not create or permit any lien on the Aircraft, its components, or Lessee's rights under this Agreement.</w:t>
      </w:r>
    </w:p>
    <w:p>
      <w:pPr>
        <w:spacing w:after="100"/>
      </w:pPr>
      <w:r>
        <w:rPr>
          <w:rFonts w:ascii="Calibri" w:hAnsi="Calibri"/>
          <w:i w:val="0"/>
          <w:sz w:val="20"/>
        </w:rPr>
        <w:t>14.2  Any threatened lien must be discharged or bonded over within 5 Business Days of notification.</w:t>
      </w:r>
    </w:p>
    <w:p>
      <w:r>
        <w:br w:type="page"/>
      </w:r>
    </w:p>
    <w:p>
      <w:pPr>
        <w:pStyle w:val="Heading2"/>
      </w:pPr>
      <w:r>
        <w:rPr>
          <w:rFonts w:ascii="Calibri" w:hAnsi="Calibri"/>
          <w:b/>
          <w:color w:val="0D2B55"/>
          <w:sz w:val="24"/>
        </w:rPr>
        <w:t>ARTICLE 15 — INSURANCE</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160"/>
            <w:shd w:val="clear" w:color="auto" w:fill="0D2B55"/>
          </w:tcPr>
          <w:p>
            <w:pPr>
              <w:spacing w:before="40" w:after="40"/>
            </w:pPr>
            <w:r>
              <w:rPr>
                <w:rFonts w:ascii="Calibri" w:hAnsi="Calibri"/>
                <w:b/>
                <w:color w:val="FFFFFF"/>
                <w:sz w:val="18"/>
              </w:rPr>
              <w:t>Coverage</w:t>
            </w:r>
          </w:p>
        </w:tc>
        <w:tc>
          <w:tcPr>
            <w:tcW w:type="dxa" w:w="1872"/>
            <w:shd w:val="clear" w:color="auto" w:fill="0D2B55"/>
          </w:tcPr>
          <w:p>
            <w:pPr>
              <w:spacing w:before="40" w:after="40"/>
            </w:pPr>
            <w:r>
              <w:rPr>
                <w:rFonts w:ascii="Calibri" w:hAnsi="Calibri"/>
                <w:b/>
                <w:color w:val="FFFFFF"/>
                <w:sz w:val="18"/>
              </w:rPr>
              <w:t>Minimum Limit</w:t>
            </w:r>
          </w:p>
        </w:tc>
        <w:tc>
          <w:tcPr>
            <w:tcW w:type="dxa" w:w="1440"/>
            <w:shd w:val="clear" w:color="auto" w:fill="0D2B55"/>
          </w:tcPr>
          <w:p>
            <w:pPr>
              <w:spacing w:before="40" w:after="40"/>
            </w:pPr>
            <w:r>
              <w:rPr>
                <w:rFonts w:ascii="Calibri" w:hAnsi="Calibri"/>
                <w:b/>
                <w:color w:val="FFFFFF"/>
                <w:sz w:val="18"/>
              </w:rPr>
              <w:t>Form / Terms</w:t>
            </w:r>
          </w:p>
        </w:tc>
        <w:tc>
          <w:tcPr>
            <w:tcW w:type="dxa" w:w="1296"/>
            <w:shd w:val="clear" w:color="auto" w:fill="0D2B55"/>
          </w:tcPr>
          <w:p>
            <w:pPr>
              <w:spacing w:before="40" w:after="40"/>
            </w:pPr>
            <w:r>
              <w:rPr>
                <w:rFonts w:ascii="Calibri" w:hAnsi="Calibri"/>
                <w:b/>
                <w:color w:val="FFFFFF"/>
                <w:sz w:val="18"/>
              </w:rPr>
              <w:t>Deductible</w:t>
            </w:r>
          </w:p>
        </w:tc>
        <w:tc>
          <w:tcPr>
            <w:tcW w:type="dxa" w:w="4032"/>
            <w:shd w:val="clear" w:color="auto" w:fill="0D2B55"/>
          </w:tcPr>
          <w:p>
            <w:pPr>
              <w:spacing w:before="40" w:after="40"/>
            </w:pPr>
            <w:r>
              <w:rPr>
                <w:rFonts w:ascii="Calibri" w:hAnsi="Calibri"/>
                <w:b/>
                <w:color w:val="FFFFFF"/>
                <w:sz w:val="18"/>
              </w:rPr>
              <w:t>Key Endorsements</w:t>
            </w:r>
          </w:p>
        </w:tc>
      </w:tr>
      <w:tr>
        <w:tc>
          <w:tcPr>
            <w:tcW w:type="dxa" w:w="2160"/>
            <w:shd w:val="clear" w:color="auto" w:fill="FFFFFF"/>
          </w:tcPr>
          <w:p>
            <w:pPr>
              <w:spacing w:before="20" w:after="20"/>
            </w:pPr>
            <w:r>
              <w:rPr>
                <w:rFonts w:ascii="Calibri" w:hAnsi="Calibri"/>
                <w:sz w:val="18"/>
              </w:rPr>
              <w:t>Hull All Risks</w:t>
            </w:r>
          </w:p>
        </w:tc>
        <w:tc>
          <w:tcPr>
            <w:tcW w:type="dxa" w:w="1872"/>
            <w:shd w:val="clear" w:color="auto" w:fill="FFFFFF"/>
          </w:tcPr>
          <w:p>
            <w:pPr>
              <w:spacing w:before="20" w:after="20"/>
            </w:pPr>
            <w:r>
              <w:rPr>
                <w:rFonts w:ascii="Calibri" w:hAnsi="Calibri"/>
                <w:sz w:val="18"/>
              </w:rPr>
              <w:t>USD 52,000,000 Agreed Value</w:t>
            </w:r>
          </w:p>
        </w:tc>
        <w:tc>
          <w:tcPr>
            <w:tcW w:type="dxa" w:w="1440"/>
            <w:shd w:val="clear" w:color="auto" w:fill="FFFFFF"/>
          </w:tcPr>
          <w:p>
            <w:pPr>
              <w:spacing w:before="20" w:after="20"/>
            </w:pPr>
            <w:r>
              <w:rPr>
                <w:rFonts w:ascii="Calibri" w:hAnsi="Calibri"/>
                <w:sz w:val="18"/>
              </w:rPr>
              <w:t>AV1A + AVN52H</w:t>
            </w:r>
          </w:p>
        </w:tc>
        <w:tc>
          <w:tcPr>
            <w:tcW w:type="dxa" w:w="1296"/>
            <w:shd w:val="clear" w:color="auto" w:fill="FFFFFF"/>
          </w:tcPr>
          <w:p>
            <w:pPr>
              <w:spacing w:before="20" w:after="20"/>
            </w:pPr>
            <w:r>
              <w:rPr>
                <w:rFonts w:ascii="Calibri" w:hAnsi="Calibri"/>
                <w:sz w:val="18"/>
              </w:rPr>
              <w:t>USD 250,000</w:t>
            </w:r>
          </w:p>
        </w:tc>
        <w:tc>
          <w:tcPr>
            <w:tcW w:type="dxa" w:w="4032"/>
            <w:shd w:val="clear" w:color="auto" w:fill="FFFFFF"/>
          </w:tcPr>
          <w:p>
            <w:pPr>
              <w:spacing w:before="20" w:after="20"/>
            </w:pPr>
            <w:r>
              <w:rPr>
                <w:rFonts w:ascii="Calibri" w:hAnsi="Calibri"/>
                <w:sz w:val="18"/>
              </w:rPr>
              <w:t>Lessor loss payee; waiver of subrogation; no co-insurance</w:t>
            </w:r>
          </w:p>
        </w:tc>
      </w:tr>
      <w:tr>
        <w:tc>
          <w:tcPr>
            <w:tcW w:type="dxa" w:w="2160"/>
            <w:shd w:val="clear" w:color="auto" w:fill="F4F7FC"/>
          </w:tcPr>
          <w:p>
            <w:pPr>
              <w:spacing w:before="20" w:after="20"/>
            </w:pPr>
            <w:r>
              <w:rPr>
                <w:rFonts w:ascii="Calibri" w:hAnsi="Calibri"/>
                <w:sz w:val="18"/>
              </w:rPr>
              <w:t>Hull War and Allied Perils</w:t>
            </w:r>
          </w:p>
        </w:tc>
        <w:tc>
          <w:tcPr>
            <w:tcW w:type="dxa" w:w="1872"/>
            <w:shd w:val="clear" w:color="auto" w:fill="F4F7FC"/>
          </w:tcPr>
          <w:p>
            <w:pPr>
              <w:spacing w:before="20" w:after="20"/>
            </w:pPr>
            <w:r>
              <w:rPr>
                <w:rFonts w:ascii="Calibri" w:hAnsi="Calibri"/>
                <w:sz w:val="18"/>
              </w:rPr>
              <w:t>USD 52,000,000 Agreed Value</w:t>
            </w:r>
          </w:p>
        </w:tc>
        <w:tc>
          <w:tcPr>
            <w:tcW w:type="dxa" w:w="1440"/>
            <w:shd w:val="clear" w:color="auto" w:fill="F4F7FC"/>
          </w:tcPr>
          <w:p>
            <w:pPr>
              <w:spacing w:before="20" w:after="20"/>
            </w:pPr>
            <w:r>
              <w:rPr>
                <w:rFonts w:ascii="Calibri" w:hAnsi="Calibri"/>
                <w:sz w:val="18"/>
              </w:rPr>
              <w:t>AVN52H</w:t>
            </w:r>
          </w:p>
        </w:tc>
        <w:tc>
          <w:tcPr>
            <w:tcW w:type="dxa" w:w="1296"/>
            <w:shd w:val="clear" w:color="auto" w:fill="F4F7FC"/>
          </w:tcPr>
          <w:p>
            <w:pPr>
              <w:spacing w:before="20" w:after="20"/>
            </w:pPr>
            <w:r>
              <w:rPr>
                <w:rFonts w:ascii="Calibri" w:hAnsi="Calibri"/>
                <w:sz w:val="18"/>
              </w:rPr>
              <w:t>USD 500,000</w:t>
            </w:r>
          </w:p>
        </w:tc>
        <w:tc>
          <w:tcPr>
            <w:tcW w:type="dxa" w:w="4032"/>
            <w:shd w:val="clear" w:color="auto" w:fill="F4F7FC"/>
          </w:tcPr>
          <w:p>
            <w:pPr>
              <w:spacing w:before="20" w:after="20"/>
            </w:pPr>
            <w:r>
              <w:rPr>
                <w:rFonts w:ascii="Calibri" w:hAnsi="Calibri"/>
                <w:sz w:val="18"/>
              </w:rPr>
              <w:t>Confiscation/requisition; 7 days' notice</w:t>
            </w:r>
          </w:p>
        </w:tc>
      </w:tr>
      <w:tr>
        <w:tc>
          <w:tcPr>
            <w:tcW w:type="dxa" w:w="2160"/>
            <w:shd w:val="clear" w:color="auto" w:fill="FFFFFF"/>
          </w:tcPr>
          <w:p>
            <w:pPr>
              <w:spacing w:before="20" w:after="20"/>
            </w:pPr>
            <w:r>
              <w:rPr>
                <w:rFonts w:ascii="Calibri" w:hAnsi="Calibri"/>
                <w:sz w:val="18"/>
              </w:rPr>
              <w:t>Third-Party Liability</w:t>
            </w:r>
          </w:p>
        </w:tc>
        <w:tc>
          <w:tcPr>
            <w:tcW w:type="dxa" w:w="1872"/>
            <w:shd w:val="clear" w:color="auto" w:fill="FFFFFF"/>
          </w:tcPr>
          <w:p>
            <w:pPr>
              <w:spacing w:before="20" w:after="20"/>
            </w:pPr>
            <w:r>
              <w:rPr>
                <w:rFonts w:ascii="Calibri" w:hAnsi="Calibri"/>
                <w:sz w:val="18"/>
              </w:rPr>
              <w:t>USD 750,000,000 per occurrence</w:t>
            </w:r>
          </w:p>
        </w:tc>
        <w:tc>
          <w:tcPr>
            <w:tcW w:type="dxa" w:w="1440"/>
            <w:shd w:val="clear" w:color="auto" w:fill="FFFFFF"/>
          </w:tcPr>
          <w:p>
            <w:pPr>
              <w:spacing w:before="20" w:after="20"/>
            </w:pPr>
            <w:r>
              <w:rPr>
                <w:rFonts w:ascii="Calibri" w:hAnsi="Calibri"/>
                <w:sz w:val="18"/>
              </w:rPr>
              <w:t>AVN1C</w:t>
            </w:r>
          </w:p>
        </w:tc>
        <w:tc>
          <w:tcPr>
            <w:tcW w:type="dxa" w:w="1296"/>
            <w:shd w:val="clear" w:color="auto" w:fill="FFFFFF"/>
          </w:tcPr>
          <w:p>
            <w:pPr>
              <w:spacing w:before="20" w:after="20"/>
            </w:pPr>
            <w:r>
              <w:rPr>
                <w:rFonts w:ascii="Calibri" w:hAnsi="Calibri"/>
                <w:sz w:val="18"/>
              </w:rPr>
              <w:t>Nil</w:t>
            </w:r>
          </w:p>
        </w:tc>
        <w:tc>
          <w:tcPr>
            <w:tcW w:type="dxa" w:w="4032"/>
            <w:shd w:val="clear" w:color="auto" w:fill="FFFFFF"/>
          </w:tcPr>
          <w:p>
            <w:pPr>
              <w:spacing w:before="20" w:after="20"/>
            </w:pPr>
            <w:r>
              <w:rPr>
                <w:rFonts w:ascii="Calibri" w:hAnsi="Calibri"/>
                <w:sz w:val="18"/>
              </w:rPr>
              <w:t>Lessor additional insured; cross-liability; severability</w:t>
            </w:r>
          </w:p>
        </w:tc>
      </w:tr>
      <w:tr>
        <w:tc>
          <w:tcPr>
            <w:tcW w:type="dxa" w:w="2160"/>
            <w:shd w:val="clear" w:color="auto" w:fill="F4F7FC"/>
          </w:tcPr>
          <w:p>
            <w:pPr>
              <w:spacing w:before="20" w:after="20"/>
            </w:pPr>
            <w:r>
              <w:rPr>
                <w:rFonts w:ascii="Calibri" w:hAnsi="Calibri"/>
                <w:sz w:val="18"/>
              </w:rPr>
              <w:t>Passenger Liability</w:t>
            </w:r>
          </w:p>
        </w:tc>
        <w:tc>
          <w:tcPr>
            <w:tcW w:type="dxa" w:w="1872"/>
            <w:shd w:val="clear" w:color="auto" w:fill="F4F7FC"/>
          </w:tcPr>
          <w:p>
            <w:pPr>
              <w:spacing w:before="20" w:after="20"/>
            </w:pPr>
            <w:r>
              <w:rPr>
                <w:rFonts w:ascii="Calibri" w:hAnsi="Calibri"/>
                <w:sz w:val="18"/>
              </w:rPr>
              <w:t>USD 300,000 per seat (168 seats)</w:t>
            </w:r>
          </w:p>
        </w:tc>
        <w:tc>
          <w:tcPr>
            <w:tcW w:type="dxa" w:w="1440"/>
            <w:shd w:val="clear" w:color="auto" w:fill="F4F7FC"/>
          </w:tcPr>
          <w:p>
            <w:pPr>
              <w:spacing w:before="20" w:after="20"/>
            </w:pPr>
            <w:r>
              <w:rPr>
                <w:rFonts w:ascii="Calibri" w:hAnsi="Calibri"/>
                <w:sz w:val="18"/>
              </w:rPr>
              <w:t>Montreal Convention</w:t>
            </w:r>
          </w:p>
        </w:tc>
        <w:tc>
          <w:tcPr>
            <w:tcW w:type="dxa" w:w="1296"/>
            <w:shd w:val="clear" w:color="auto" w:fill="F4F7FC"/>
          </w:tcPr>
          <w:p>
            <w:pPr>
              <w:spacing w:before="20" w:after="20"/>
            </w:pPr>
            <w:r>
              <w:rPr>
                <w:rFonts w:ascii="Calibri" w:hAnsi="Calibri"/>
                <w:sz w:val="18"/>
              </w:rPr>
              <w:t>Nil</w:t>
            </w:r>
          </w:p>
        </w:tc>
        <w:tc>
          <w:tcPr>
            <w:tcW w:type="dxa" w:w="4032"/>
            <w:shd w:val="clear" w:color="auto" w:fill="F4F7FC"/>
          </w:tcPr>
          <w:p>
            <w:pPr>
              <w:spacing w:before="20" w:after="20"/>
            </w:pPr>
            <w:r>
              <w:rPr>
                <w:rFonts w:ascii="Calibri" w:hAnsi="Calibri"/>
                <w:sz w:val="18"/>
              </w:rPr>
              <w:t>IATA minimum compliant</w:t>
            </w:r>
          </w:p>
        </w:tc>
      </w:tr>
      <w:tr>
        <w:tc>
          <w:tcPr>
            <w:tcW w:type="dxa" w:w="2160"/>
            <w:shd w:val="clear" w:color="auto" w:fill="FFFFFF"/>
          </w:tcPr>
          <w:p>
            <w:pPr>
              <w:spacing w:before="20" w:after="20"/>
            </w:pPr>
            <w:r>
              <w:rPr>
                <w:rFonts w:ascii="Calibri" w:hAnsi="Calibri"/>
                <w:sz w:val="18"/>
              </w:rPr>
              <w:t>Baggage and Cargo</w:t>
            </w:r>
          </w:p>
        </w:tc>
        <w:tc>
          <w:tcPr>
            <w:tcW w:type="dxa" w:w="1872"/>
            <w:shd w:val="clear" w:color="auto" w:fill="FFFFFF"/>
          </w:tcPr>
          <w:p>
            <w:pPr>
              <w:spacing w:before="20" w:after="20"/>
            </w:pPr>
            <w:r>
              <w:rPr>
                <w:rFonts w:ascii="Calibri" w:hAnsi="Calibri"/>
                <w:sz w:val="18"/>
              </w:rPr>
              <w:t>USD 15,000,000 per occurrence</w:t>
            </w:r>
          </w:p>
        </w:tc>
        <w:tc>
          <w:tcPr>
            <w:tcW w:type="dxa" w:w="1440"/>
            <w:shd w:val="clear" w:color="auto" w:fill="FFFFFF"/>
          </w:tcPr>
          <w:p>
            <w:pPr>
              <w:spacing w:before="20" w:after="20"/>
            </w:pPr>
            <w:r>
              <w:rPr>
                <w:rFonts w:ascii="Calibri" w:hAnsi="Calibri"/>
                <w:sz w:val="18"/>
              </w:rPr>
              <w:t>Montreal Convention</w:t>
            </w:r>
          </w:p>
        </w:tc>
        <w:tc>
          <w:tcPr>
            <w:tcW w:type="dxa" w:w="1296"/>
            <w:shd w:val="clear" w:color="auto" w:fill="FFFFFF"/>
          </w:tcPr>
          <w:p>
            <w:pPr>
              <w:spacing w:before="20" w:after="20"/>
            </w:pPr>
            <w:r>
              <w:rPr>
                <w:rFonts w:ascii="Calibri" w:hAnsi="Calibri"/>
                <w:sz w:val="18"/>
              </w:rPr>
              <w:t>Nil</w:t>
            </w:r>
          </w:p>
        </w:tc>
        <w:tc>
          <w:tcPr>
            <w:tcW w:type="dxa" w:w="4032"/>
            <w:shd w:val="clear" w:color="auto" w:fill="FFFFFF"/>
          </w:tcPr>
          <w:p>
            <w:pPr>
              <w:spacing w:before="20" w:after="20"/>
            </w:pPr>
            <w:r>
              <w:rPr>
                <w:rFonts w:ascii="Calibri" w:hAnsi="Calibri"/>
                <w:sz w:val="18"/>
              </w:rPr>
              <w:t>—</w:t>
            </w:r>
          </w:p>
        </w:tc>
      </w:tr>
      <w:tr>
        <w:tc>
          <w:tcPr>
            <w:tcW w:type="dxa" w:w="2160"/>
            <w:shd w:val="clear" w:color="auto" w:fill="F4F7FC"/>
          </w:tcPr>
          <w:p>
            <w:pPr>
              <w:spacing w:before="20" w:after="20"/>
            </w:pPr>
            <w:r>
              <w:rPr>
                <w:rFonts w:ascii="Calibri" w:hAnsi="Calibri"/>
                <w:sz w:val="18"/>
              </w:rPr>
              <w:t>Workers' Comp / EL</w:t>
            </w:r>
          </w:p>
        </w:tc>
        <w:tc>
          <w:tcPr>
            <w:tcW w:type="dxa" w:w="1872"/>
            <w:shd w:val="clear" w:color="auto" w:fill="F4F7FC"/>
          </w:tcPr>
          <w:p>
            <w:pPr>
              <w:spacing w:before="20" w:after="20"/>
            </w:pPr>
            <w:r>
              <w:rPr>
                <w:rFonts w:ascii="Calibri" w:hAnsi="Calibri"/>
                <w:sz w:val="18"/>
              </w:rPr>
              <w:t>Statutory + USD 10M EL</w:t>
            </w:r>
          </w:p>
        </w:tc>
        <w:tc>
          <w:tcPr>
            <w:tcW w:type="dxa" w:w="1440"/>
            <w:shd w:val="clear" w:color="auto" w:fill="F4F7FC"/>
          </w:tcPr>
          <w:p>
            <w:pPr>
              <w:spacing w:before="20" w:after="20"/>
            </w:pPr>
            <w:r>
              <w:rPr>
                <w:rFonts w:ascii="Calibri" w:hAnsi="Calibri"/>
                <w:sz w:val="18"/>
              </w:rPr>
              <w:t>Standard endorsement</w:t>
            </w:r>
          </w:p>
        </w:tc>
        <w:tc>
          <w:tcPr>
            <w:tcW w:type="dxa" w:w="1296"/>
            <w:shd w:val="clear" w:color="auto" w:fill="F4F7FC"/>
          </w:tcPr>
          <w:p>
            <w:pPr>
              <w:spacing w:before="20" w:after="20"/>
            </w:pPr>
            <w:r>
              <w:rPr>
                <w:rFonts w:ascii="Calibri" w:hAnsi="Calibri"/>
                <w:sz w:val="18"/>
              </w:rPr>
              <w:t>Nil</w:t>
            </w:r>
          </w:p>
        </w:tc>
        <w:tc>
          <w:tcPr>
            <w:tcW w:type="dxa" w:w="4032"/>
            <w:shd w:val="clear" w:color="auto" w:fill="F4F7FC"/>
          </w:tcPr>
          <w:p>
            <w:pPr>
              <w:spacing w:before="20" w:after="20"/>
            </w:pPr>
            <w:r>
              <w:rPr>
                <w:rFonts w:ascii="Calibri" w:hAnsi="Calibri"/>
                <w:sz w:val="18"/>
              </w:rPr>
              <w:t>Waiver of subrogation</w:t>
            </w:r>
          </w:p>
        </w:tc>
      </w:tr>
      <w:tr>
        <w:tc>
          <w:tcPr>
            <w:tcW w:type="dxa" w:w="2160"/>
            <w:shd w:val="clear" w:color="auto" w:fill="FFFFFF"/>
          </w:tcPr>
          <w:p>
            <w:pPr>
              <w:spacing w:before="20" w:after="20"/>
            </w:pPr>
            <w:r>
              <w:rPr>
                <w:rFonts w:ascii="Calibri" w:hAnsi="Calibri"/>
                <w:sz w:val="18"/>
              </w:rPr>
              <w:t>Terrorism</w:t>
            </w:r>
          </w:p>
        </w:tc>
        <w:tc>
          <w:tcPr>
            <w:tcW w:type="dxa" w:w="1872"/>
            <w:shd w:val="clear" w:color="auto" w:fill="FFFFFF"/>
          </w:tcPr>
          <w:p>
            <w:pPr>
              <w:spacing w:before="20" w:after="20"/>
            </w:pPr>
            <w:r>
              <w:rPr>
                <w:rFonts w:ascii="Calibri" w:hAnsi="Calibri"/>
                <w:sz w:val="18"/>
              </w:rPr>
              <w:t>USD 52,000,000</w:t>
            </w:r>
          </w:p>
        </w:tc>
        <w:tc>
          <w:tcPr>
            <w:tcW w:type="dxa" w:w="1440"/>
            <w:shd w:val="clear" w:color="auto" w:fill="FFFFFF"/>
          </w:tcPr>
          <w:p>
            <w:pPr>
              <w:spacing w:before="20" w:after="20"/>
            </w:pPr>
            <w:r>
              <w:rPr>
                <w:rFonts w:ascii="Calibri" w:hAnsi="Calibri"/>
                <w:sz w:val="18"/>
              </w:rPr>
              <w:t>AVN52H</w:t>
            </w:r>
          </w:p>
        </w:tc>
        <w:tc>
          <w:tcPr>
            <w:tcW w:type="dxa" w:w="1296"/>
            <w:shd w:val="clear" w:color="auto" w:fill="FFFFFF"/>
          </w:tcPr>
          <w:p>
            <w:pPr>
              <w:spacing w:before="20" w:after="20"/>
            </w:pPr>
            <w:r>
              <w:rPr>
                <w:rFonts w:ascii="Calibri" w:hAnsi="Calibri"/>
                <w:sz w:val="18"/>
              </w:rPr>
              <w:t>USD 250,000</w:t>
            </w:r>
          </w:p>
        </w:tc>
        <w:tc>
          <w:tcPr>
            <w:tcW w:type="dxa" w:w="4032"/>
            <w:shd w:val="clear" w:color="auto" w:fill="FFFFFF"/>
          </w:tcPr>
          <w:p>
            <w:pPr>
              <w:spacing w:before="20" w:after="20"/>
            </w:pPr>
            <w:r>
              <w:rPr>
                <w:rFonts w:ascii="Calibri" w:hAnsi="Calibri"/>
                <w:sz w:val="18"/>
              </w:rPr>
              <w:t>7 days' cancellation notice</w:t>
            </w:r>
          </w:p>
        </w:tc>
      </w:tr>
    </w:tbl>
    <w:p/>
    <w:p>
      <w:pPr>
        <w:spacing w:after="100"/>
      </w:pPr>
      <w:r>
        <w:rPr>
          <w:rFonts w:ascii="Calibri" w:hAnsi="Calibri"/>
          <w:i w:val="0"/>
          <w:sz w:val="20"/>
        </w:rPr>
        <w:t>15.2  All insurers rated minimum A-/VII by A.M. Best.</w:t>
      </w:r>
    </w:p>
    <w:p>
      <w:pPr>
        <w:spacing w:after="100"/>
      </w:pPr>
      <w:r>
        <w:rPr>
          <w:rFonts w:ascii="Calibri" w:hAnsi="Calibri"/>
          <w:i w:val="0"/>
          <w:sz w:val="20"/>
        </w:rPr>
        <w:t>15.3  Certificate of Insurance and endorsements to Lessor at least 5 Business Days before each policy period.</w:t>
      </w:r>
    </w:p>
    <w:p>
      <w:pPr>
        <w:spacing w:after="100"/>
      </w:pPr>
      <w:r>
        <w:rPr>
          <w:rFonts w:ascii="Calibri" w:hAnsi="Calibri"/>
          <w:i w:val="0"/>
          <w:sz w:val="20"/>
        </w:rPr>
        <w:t>15.4  30 days' (7 days for war risk) cancellation notice to Lessor required under all policies.</w:t>
      </w:r>
    </w:p>
    <w:p>
      <w:r>
        <w:br w:type="page"/>
      </w:r>
    </w:p>
    <w:p>
      <w:pPr>
        <w:pStyle w:val="Heading2"/>
      </w:pPr>
      <w:r>
        <w:rPr>
          <w:rFonts w:ascii="Calibri" w:hAnsi="Calibri"/>
          <w:b/>
          <w:color w:val="0D2B55"/>
          <w:sz w:val="24"/>
        </w:rPr>
        <w:t>ARTICLE 16 — INDEMNITIES</w:t>
      </w:r>
    </w:p>
    <w:p>
      <w:pPr>
        <w:pBdr>
          <w:bottom w:val="single" w:sz="6" w:space="1" w:color="0D2B55"/>
        </w:pBdr>
        <w:spacing w:before="40" w:after="120"/>
      </w:pPr>
    </w:p>
    <w:p>
      <w:pPr>
        <w:spacing w:after="100"/>
      </w:pPr>
      <w:r>
        <w:rPr>
          <w:rFonts w:ascii="Calibri" w:hAnsi="Calibri"/>
          <w:i w:val="0"/>
          <w:sz w:val="20"/>
        </w:rPr>
        <w:t>16.1  General Indemnity. Lessee indemnifies each Indemnitee against all Claims arising out of: (a) manufacture, purchase, delivery, condition, use, maintenance, or redelivery of the Aircraft; (b) any breach by Lessee; (c) any act or omission of Lessee; (d) any third-party claim from Lessee's operations.</w:t>
      </w:r>
    </w:p>
    <w:p>
      <w:pPr>
        <w:spacing w:after="100"/>
      </w:pPr>
      <w:r>
        <w:rPr>
          <w:rFonts w:ascii="Calibri" w:hAnsi="Calibri"/>
          <w:i w:val="0"/>
          <w:sz w:val="20"/>
        </w:rPr>
        <w:t>16.2  Tax Indemnity. Lessee to gross-up all payments against any withholding or deduction imposed by any Governmental Authority, other than taxes on Lessor's net income in its jurisdiction of incorporation.</w:t>
      </w:r>
    </w:p>
    <w:p>
      <w:pPr>
        <w:pStyle w:val="Heading2"/>
      </w:pPr>
      <w:r>
        <w:rPr>
          <w:rFonts w:ascii="Calibri" w:hAnsi="Calibri"/>
          <w:b/>
          <w:color w:val="0D2B55"/>
          <w:sz w:val="24"/>
        </w:rPr>
        <w:t>ARTICLE 17 — TOTAL LOSS</w:t>
      </w:r>
    </w:p>
    <w:p>
      <w:pPr>
        <w:pBdr>
          <w:bottom w:val="single" w:sz="6" w:space="1" w:color="0D2B55"/>
        </w:pBdr>
        <w:spacing w:before="40" w:after="120"/>
      </w:pPr>
    </w:p>
    <w:p>
      <w:pPr>
        <w:spacing w:after="100"/>
      </w:pPr>
      <w:r>
        <w:rPr>
          <w:rFonts w:ascii="Calibri" w:hAnsi="Calibri"/>
          <w:i w:val="0"/>
          <w:sz w:val="20"/>
        </w:rPr>
        <w:t>17.1  Agreement terminates on the Total Loss Date. Lessee must immediately notify Lessor.</w:t>
      </w:r>
    </w:p>
    <w:p>
      <w:pPr>
        <w:spacing w:after="100"/>
      </w:pPr>
      <w:r>
        <w:rPr>
          <w:rFonts w:ascii="Calibri" w:hAnsi="Calibri"/>
          <w:i w:val="0"/>
          <w:sz w:val="20"/>
        </w:rPr>
        <w:t>17.2  All insurance proceeds payable to Lessor. Surplus above Agreed Value paid to Lessee after discharge of all outstanding amounts.</w:t>
      </w:r>
    </w:p>
    <w:p>
      <w:pPr>
        <w:spacing w:after="100"/>
      </w:pPr>
      <w:r>
        <w:rPr>
          <w:rFonts w:ascii="Calibri" w:hAnsi="Calibri"/>
          <w:i w:val="0"/>
          <w:sz w:val="20"/>
        </w:rPr>
        <w:t>17.3  Partial damage proceeds held by Lessor and released for repairs upon verification of airworthiness.</w:t>
      </w:r>
    </w:p>
    <w:p>
      <w:r>
        <w:br w:type="page"/>
      </w:r>
    </w:p>
    <w:p>
      <w:pPr>
        <w:pStyle w:val="Heading2"/>
      </w:pPr>
      <w:r>
        <w:rPr>
          <w:rFonts w:ascii="Calibri" w:hAnsi="Calibri"/>
          <w:b/>
          <w:color w:val="0D2B55"/>
          <w:sz w:val="24"/>
        </w:rPr>
        <w:t>ARTICLE 18 — RETURN AND REDELIVERY</w:t>
      </w:r>
    </w:p>
    <w:p>
      <w:pPr>
        <w:pBdr>
          <w:bottom w:val="single" w:sz="6" w:space="1" w:color="0D2B55"/>
        </w:pBdr>
        <w:spacing w:before="40" w:after="120"/>
      </w:pPr>
    </w:p>
    <w:p>
      <w:pPr>
        <w:spacing w:after="100"/>
      </w:pPr>
      <w:r>
        <w:rPr>
          <w:rFonts w:ascii="Calibri" w:hAnsi="Calibri"/>
          <w:i w:val="0"/>
          <w:sz w:val="20"/>
        </w:rPr>
        <w:t>18.1  Aircraft redelivered to Lessor on 2028-10-31 (or earlier termination date) at a location to be agreed in the Continental United States or Western Europe.</w:t>
      </w:r>
    </w:p>
    <w:p>
      <w:pPr>
        <w:spacing w:after="100"/>
      </w:pPr>
      <w:r>
        <w:rPr>
          <w:rFonts w:ascii="Calibri" w:hAnsi="Calibri"/>
          <w:i w:val="0"/>
          <w:sz w:val="20"/>
        </w:rPr>
        <w:t>18.2  Redelivery schedule agreed 180 days in advance, covering: (i) final maintenance check; (ii) technical inspection; (iii) redelivery flight.</w:t>
      </w:r>
    </w:p>
    <w:p>
      <w:pPr>
        <w:spacing w:after="100"/>
      </w:pPr>
      <w:r>
        <w:rPr>
          <w:rFonts w:ascii="Calibri" w:hAnsi="Calibri"/>
          <w:i w:val="0"/>
          <w:sz w:val="20"/>
        </w:rPr>
        <w:t>18.3  Return Condition standards include: (a) valid FAA Airworthiness Certificate; (b) C-Check within 24 months; (c) each Engine PRSV within 36 months or &lt;2,500 cycles since SV; (d) LLPs with &gt;2,500 FC remaining; (e) Landing Gear &gt;24 months/2,000 FC to next overhaul; (f) APU HSI within 24 months; (g) cabin in Delivery configuration or better; (h) exterior paint no primer visible.</w:t>
      </w:r>
    </w:p>
    <w:p>
      <w:pPr>
        <w:spacing w:after="100"/>
      </w:pPr>
      <w:r>
        <w:rPr>
          <w:rFonts w:ascii="Calibri" w:hAnsi="Calibri"/>
          <w:i w:val="0"/>
          <w:sz w:val="20"/>
        </w:rPr>
        <w:t>18.4  Compensation in lieu payable per Schedule 5, Part II if Return Conditions are not met.</w:t>
      </w:r>
    </w:p>
    <w:p>
      <w:pPr>
        <w:pStyle w:val="Heading2"/>
      </w:pPr>
      <w:r>
        <w:rPr>
          <w:rFonts w:ascii="Calibri" w:hAnsi="Calibri"/>
          <w:b/>
          <w:color w:val="0D2B55"/>
          <w:sz w:val="24"/>
        </w:rPr>
        <w:t>ARTICLE 19 — REPRESENTATIONS AND WARRANTIES</w:t>
      </w:r>
    </w:p>
    <w:p>
      <w:pPr>
        <w:pBdr>
          <w:bottom w:val="single" w:sz="6" w:space="1" w:color="0D2B55"/>
        </w:pBdr>
        <w:spacing w:before="40" w:after="120"/>
      </w:pPr>
    </w:p>
    <w:p>
      <w:pPr>
        <w:spacing w:after="100"/>
      </w:pPr>
      <w:r>
        <w:rPr>
          <w:rFonts w:ascii="Calibri" w:hAnsi="Calibri"/>
          <w:i w:val="0"/>
          <w:sz w:val="20"/>
        </w:rPr>
        <w:t>19.1  Each Party represents and warrants that: (a) duly incorporated and validly existing; (b) full authority to enter into and perform this Agreement; (c) Agreement constitutes its legal, valid, and binding obligation; (d) no consents outstanding; and (e) no conflict with applicable law.</w:t>
      </w:r>
    </w:p>
    <w:p>
      <w:r>
        <w:br w:type="page"/>
      </w:r>
    </w:p>
    <w:p>
      <w:pPr>
        <w:pStyle w:val="Heading2"/>
      </w:pPr>
      <w:r>
        <w:rPr>
          <w:rFonts w:ascii="Calibri" w:hAnsi="Calibri"/>
          <w:b/>
          <w:color w:val="0D2B55"/>
          <w:sz w:val="24"/>
        </w:rPr>
        <w:t>ARTICLE 20 — EVENTS OF DEFAULT</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720"/>
            <w:shd w:val="clear" w:color="auto" w:fill="0D2B55"/>
          </w:tcPr>
          <w:p>
            <w:pPr>
              <w:spacing w:before="40" w:after="40"/>
            </w:pPr>
            <w:r>
              <w:rPr>
                <w:rFonts w:ascii="Calibri" w:hAnsi="Calibri"/>
                <w:b/>
                <w:color w:val="FFFFFF"/>
                <w:sz w:val="18"/>
              </w:rPr>
              <w:t>Ref</w:t>
            </w:r>
          </w:p>
        </w:tc>
        <w:tc>
          <w:tcPr>
            <w:tcW w:type="dxa" w:w="2016"/>
            <w:shd w:val="clear" w:color="auto" w:fill="0D2B55"/>
          </w:tcPr>
          <w:p>
            <w:pPr>
              <w:spacing w:before="40" w:after="40"/>
            </w:pPr>
            <w:r>
              <w:rPr>
                <w:rFonts w:ascii="Calibri" w:hAnsi="Calibri"/>
                <w:b/>
                <w:color w:val="FFFFFF"/>
                <w:sz w:val="18"/>
              </w:rPr>
              <w:t>Event</w:t>
            </w:r>
          </w:p>
        </w:tc>
        <w:tc>
          <w:tcPr>
            <w:tcW w:type="dxa" w:w="4032"/>
            <w:shd w:val="clear" w:color="auto" w:fill="0D2B55"/>
          </w:tcPr>
          <w:p>
            <w:pPr>
              <w:spacing w:before="40" w:after="40"/>
            </w:pPr>
            <w:r>
              <w:rPr>
                <w:rFonts w:ascii="Calibri" w:hAnsi="Calibri"/>
                <w:b/>
                <w:color w:val="FFFFFF"/>
                <w:sz w:val="18"/>
              </w:rPr>
              <w:t>Description</w:t>
            </w:r>
          </w:p>
        </w:tc>
        <w:tc>
          <w:tcPr>
            <w:tcW w:type="dxa" w:w="2592"/>
            <w:shd w:val="clear" w:color="auto" w:fill="0D2B55"/>
          </w:tcPr>
          <w:p>
            <w:pPr>
              <w:spacing w:before="40" w:after="40"/>
            </w:pPr>
            <w:r>
              <w:rPr>
                <w:rFonts w:ascii="Calibri" w:hAnsi="Calibri"/>
                <w:b/>
                <w:color w:val="FFFFFF"/>
                <w:sz w:val="18"/>
              </w:rPr>
              <w:t>Cure Period</w:t>
            </w:r>
          </w:p>
        </w:tc>
      </w:tr>
      <w:tr>
        <w:tc>
          <w:tcPr>
            <w:tcW w:type="dxa" w:w="720"/>
            <w:shd w:val="clear" w:color="auto" w:fill="FFFFFF"/>
          </w:tcPr>
          <w:p>
            <w:pPr>
              <w:spacing w:before="20" w:after="20"/>
            </w:pPr>
            <w:r>
              <w:rPr>
                <w:rFonts w:ascii="Calibri" w:hAnsi="Calibri"/>
                <w:sz w:val="18"/>
              </w:rPr>
              <w:t>20.1(a)</w:t>
            </w:r>
          </w:p>
        </w:tc>
        <w:tc>
          <w:tcPr>
            <w:tcW w:type="dxa" w:w="2016"/>
            <w:shd w:val="clear" w:color="auto" w:fill="FFFFFF"/>
          </w:tcPr>
          <w:p>
            <w:pPr>
              <w:spacing w:before="20" w:after="20"/>
            </w:pPr>
            <w:r>
              <w:rPr>
                <w:rFonts w:ascii="Calibri" w:hAnsi="Calibri"/>
                <w:sz w:val="18"/>
              </w:rPr>
              <w:t>Payment Default</w:t>
            </w:r>
          </w:p>
        </w:tc>
        <w:tc>
          <w:tcPr>
            <w:tcW w:type="dxa" w:w="4032"/>
            <w:shd w:val="clear" w:color="auto" w:fill="FFFFFF"/>
          </w:tcPr>
          <w:p>
            <w:pPr>
              <w:spacing w:before="20" w:after="20"/>
            </w:pPr>
            <w:r>
              <w:rPr>
                <w:rFonts w:ascii="Calibri" w:hAnsi="Calibri"/>
                <w:sz w:val="18"/>
              </w:rPr>
              <w:t>Failure to pay any amount on its due date</w:t>
            </w:r>
          </w:p>
        </w:tc>
        <w:tc>
          <w:tcPr>
            <w:tcW w:type="dxa" w:w="2592"/>
            <w:shd w:val="clear" w:color="auto" w:fill="FFFFFF"/>
          </w:tcPr>
          <w:p>
            <w:pPr>
              <w:spacing w:before="20" w:after="20"/>
            </w:pPr>
            <w:r>
              <w:rPr>
                <w:rFonts w:ascii="Calibri" w:hAnsi="Calibri"/>
                <w:sz w:val="18"/>
              </w:rPr>
              <w:t>5 Business Days from written notice</w:t>
            </w:r>
          </w:p>
        </w:tc>
      </w:tr>
      <w:tr>
        <w:tc>
          <w:tcPr>
            <w:tcW w:type="dxa" w:w="720"/>
            <w:shd w:val="clear" w:color="auto" w:fill="F4F7FC"/>
          </w:tcPr>
          <w:p>
            <w:pPr>
              <w:spacing w:before="20" w:after="20"/>
            </w:pPr>
            <w:r>
              <w:rPr>
                <w:rFonts w:ascii="Calibri" w:hAnsi="Calibri"/>
                <w:sz w:val="18"/>
              </w:rPr>
              <w:t>20.1(b)</w:t>
            </w:r>
          </w:p>
        </w:tc>
        <w:tc>
          <w:tcPr>
            <w:tcW w:type="dxa" w:w="2016"/>
            <w:shd w:val="clear" w:color="auto" w:fill="F4F7FC"/>
          </w:tcPr>
          <w:p>
            <w:pPr>
              <w:spacing w:before="20" w:after="20"/>
            </w:pPr>
            <w:r>
              <w:rPr>
                <w:rFonts w:ascii="Calibri" w:hAnsi="Calibri"/>
                <w:sz w:val="18"/>
              </w:rPr>
              <w:t>Maintenance Default</w:t>
            </w:r>
          </w:p>
        </w:tc>
        <w:tc>
          <w:tcPr>
            <w:tcW w:type="dxa" w:w="4032"/>
            <w:shd w:val="clear" w:color="auto" w:fill="F4F7FC"/>
          </w:tcPr>
          <w:p>
            <w:pPr>
              <w:spacing w:before="20" w:after="20"/>
            </w:pPr>
            <w:r>
              <w:rPr>
                <w:rFonts w:ascii="Calibri" w:hAnsi="Calibri"/>
                <w:sz w:val="18"/>
              </w:rPr>
              <w:t>Failure to perform any maintenance obligation</w:t>
            </w:r>
          </w:p>
        </w:tc>
        <w:tc>
          <w:tcPr>
            <w:tcW w:type="dxa" w:w="2592"/>
            <w:shd w:val="clear" w:color="auto" w:fill="F4F7FC"/>
          </w:tcPr>
          <w:p>
            <w:pPr>
              <w:spacing w:before="20" w:after="20"/>
            </w:pPr>
            <w:r>
              <w:rPr>
                <w:rFonts w:ascii="Calibri" w:hAnsi="Calibri"/>
                <w:sz w:val="18"/>
              </w:rPr>
              <w:t>15 days (or longer if diligently pursuing remedy)</w:t>
            </w:r>
          </w:p>
        </w:tc>
      </w:tr>
      <w:tr>
        <w:tc>
          <w:tcPr>
            <w:tcW w:type="dxa" w:w="720"/>
            <w:shd w:val="clear" w:color="auto" w:fill="FFFFFF"/>
          </w:tcPr>
          <w:p>
            <w:pPr>
              <w:spacing w:before="20" w:after="20"/>
            </w:pPr>
            <w:r>
              <w:rPr>
                <w:rFonts w:ascii="Calibri" w:hAnsi="Calibri"/>
                <w:sz w:val="18"/>
              </w:rPr>
              <w:t>20.1(c)</w:t>
            </w:r>
          </w:p>
        </w:tc>
        <w:tc>
          <w:tcPr>
            <w:tcW w:type="dxa" w:w="2016"/>
            <w:shd w:val="clear" w:color="auto" w:fill="FFFFFF"/>
          </w:tcPr>
          <w:p>
            <w:pPr>
              <w:spacing w:before="20" w:after="20"/>
            </w:pPr>
            <w:r>
              <w:rPr>
                <w:rFonts w:ascii="Calibri" w:hAnsi="Calibri"/>
                <w:sz w:val="18"/>
              </w:rPr>
              <w:t>Insurance Default</w:t>
            </w:r>
          </w:p>
        </w:tc>
        <w:tc>
          <w:tcPr>
            <w:tcW w:type="dxa" w:w="4032"/>
            <w:shd w:val="clear" w:color="auto" w:fill="FFFFFF"/>
          </w:tcPr>
          <w:p>
            <w:pPr>
              <w:spacing w:before="20" w:after="20"/>
            </w:pPr>
            <w:r>
              <w:rPr>
                <w:rFonts w:ascii="Calibri" w:hAnsi="Calibri"/>
                <w:sz w:val="18"/>
              </w:rPr>
              <w:t>Insurance lapses, cancelled, or fails to cover required risks</w:t>
            </w:r>
          </w:p>
        </w:tc>
        <w:tc>
          <w:tcPr>
            <w:tcW w:type="dxa" w:w="2592"/>
            <w:shd w:val="clear" w:color="auto" w:fill="FFFFFF"/>
          </w:tcPr>
          <w:p>
            <w:pPr>
              <w:spacing w:before="20" w:after="20"/>
            </w:pPr>
            <w:r>
              <w:rPr>
                <w:rFonts w:ascii="Calibri" w:hAnsi="Calibri"/>
                <w:sz w:val="18"/>
              </w:rPr>
              <w:t>3 Business Days</w:t>
            </w:r>
          </w:p>
        </w:tc>
      </w:tr>
      <w:tr>
        <w:tc>
          <w:tcPr>
            <w:tcW w:type="dxa" w:w="720"/>
            <w:shd w:val="clear" w:color="auto" w:fill="F4F7FC"/>
          </w:tcPr>
          <w:p>
            <w:pPr>
              <w:spacing w:before="20" w:after="20"/>
            </w:pPr>
            <w:r>
              <w:rPr>
                <w:rFonts w:ascii="Calibri" w:hAnsi="Calibri"/>
                <w:sz w:val="18"/>
              </w:rPr>
              <w:t>20.1(d)</w:t>
            </w:r>
          </w:p>
        </w:tc>
        <w:tc>
          <w:tcPr>
            <w:tcW w:type="dxa" w:w="2016"/>
            <w:shd w:val="clear" w:color="auto" w:fill="F4F7FC"/>
          </w:tcPr>
          <w:p>
            <w:pPr>
              <w:spacing w:before="20" w:after="20"/>
            </w:pPr>
            <w:r>
              <w:rPr>
                <w:rFonts w:ascii="Calibri" w:hAnsi="Calibri"/>
                <w:sz w:val="18"/>
              </w:rPr>
              <w:t>Registration Default</w:t>
            </w:r>
          </w:p>
        </w:tc>
        <w:tc>
          <w:tcPr>
            <w:tcW w:type="dxa" w:w="4032"/>
            <w:shd w:val="clear" w:color="auto" w:fill="F4F7FC"/>
          </w:tcPr>
          <w:p>
            <w:pPr>
              <w:spacing w:before="20" w:after="20"/>
            </w:pPr>
            <w:r>
              <w:rPr>
                <w:rFonts w:ascii="Calibri" w:hAnsi="Calibri"/>
                <w:sz w:val="18"/>
              </w:rPr>
              <w:t>Airworthiness Certificate or registration suspended or revoked</w:t>
            </w:r>
          </w:p>
        </w:tc>
        <w:tc>
          <w:tcPr>
            <w:tcW w:type="dxa" w:w="2592"/>
            <w:shd w:val="clear" w:color="auto" w:fill="F4F7FC"/>
          </w:tcPr>
          <w:p>
            <w:pPr>
              <w:spacing w:before="20" w:after="20"/>
            </w:pPr>
            <w:r>
              <w:rPr>
                <w:rFonts w:ascii="Calibri" w:hAnsi="Calibri"/>
                <w:sz w:val="18"/>
              </w:rPr>
              <w:t>Immediate</w:t>
            </w:r>
          </w:p>
        </w:tc>
      </w:tr>
      <w:tr>
        <w:tc>
          <w:tcPr>
            <w:tcW w:type="dxa" w:w="720"/>
            <w:shd w:val="clear" w:color="auto" w:fill="FFFFFF"/>
          </w:tcPr>
          <w:p>
            <w:pPr>
              <w:spacing w:before="20" w:after="20"/>
            </w:pPr>
            <w:r>
              <w:rPr>
                <w:rFonts w:ascii="Calibri" w:hAnsi="Calibri"/>
                <w:sz w:val="18"/>
              </w:rPr>
              <w:t>20.1(e)</w:t>
            </w:r>
          </w:p>
        </w:tc>
        <w:tc>
          <w:tcPr>
            <w:tcW w:type="dxa" w:w="2016"/>
            <w:shd w:val="clear" w:color="auto" w:fill="FFFFFF"/>
          </w:tcPr>
          <w:p>
            <w:pPr>
              <w:spacing w:before="20" w:after="20"/>
            </w:pPr>
            <w:r>
              <w:rPr>
                <w:rFonts w:ascii="Calibri" w:hAnsi="Calibri"/>
                <w:sz w:val="18"/>
              </w:rPr>
              <w:t>Insolvency</w:t>
            </w:r>
          </w:p>
        </w:tc>
        <w:tc>
          <w:tcPr>
            <w:tcW w:type="dxa" w:w="4032"/>
            <w:shd w:val="clear" w:color="auto" w:fill="FFFFFF"/>
          </w:tcPr>
          <w:p>
            <w:pPr>
              <w:spacing w:before="20" w:after="20"/>
            </w:pPr>
            <w:r>
              <w:rPr>
                <w:rFonts w:ascii="Calibri" w:hAnsi="Calibri"/>
                <w:sz w:val="18"/>
              </w:rPr>
              <w:t>General assignment for benefit of creditors, adjudicated bankrupt, receiver appointed</w:t>
            </w:r>
          </w:p>
        </w:tc>
        <w:tc>
          <w:tcPr>
            <w:tcW w:type="dxa" w:w="2592"/>
            <w:shd w:val="clear" w:color="auto" w:fill="FFFFFF"/>
          </w:tcPr>
          <w:p>
            <w:pPr>
              <w:spacing w:before="20" w:after="20"/>
            </w:pPr>
            <w:r>
              <w:rPr>
                <w:rFonts w:ascii="Calibri" w:hAnsi="Calibri"/>
                <w:sz w:val="18"/>
              </w:rPr>
              <w:t>None</w:t>
            </w:r>
          </w:p>
        </w:tc>
      </w:tr>
      <w:tr>
        <w:tc>
          <w:tcPr>
            <w:tcW w:type="dxa" w:w="720"/>
            <w:shd w:val="clear" w:color="auto" w:fill="F4F7FC"/>
          </w:tcPr>
          <w:p>
            <w:pPr>
              <w:spacing w:before="20" w:after="20"/>
            </w:pPr>
            <w:r>
              <w:rPr>
                <w:rFonts w:ascii="Calibri" w:hAnsi="Calibri"/>
                <w:sz w:val="18"/>
              </w:rPr>
              <w:t>20.1(f)</w:t>
            </w:r>
          </w:p>
        </w:tc>
        <w:tc>
          <w:tcPr>
            <w:tcW w:type="dxa" w:w="2016"/>
            <w:shd w:val="clear" w:color="auto" w:fill="F4F7FC"/>
          </w:tcPr>
          <w:p>
            <w:pPr>
              <w:spacing w:before="20" w:after="20"/>
            </w:pPr>
            <w:r>
              <w:rPr>
                <w:rFonts w:ascii="Calibri" w:hAnsi="Calibri"/>
                <w:sz w:val="18"/>
              </w:rPr>
              <w:t>Cessation of Business</w:t>
            </w:r>
          </w:p>
        </w:tc>
        <w:tc>
          <w:tcPr>
            <w:tcW w:type="dxa" w:w="4032"/>
            <w:shd w:val="clear" w:color="auto" w:fill="F4F7FC"/>
          </w:tcPr>
          <w:p>
            <w:pPr>
              <w:spacing w:before="20" w:after="20"/>
            </w:pPr>
            <w:r>
              <w:rPr>
                <w:rFonts w:ascii="Calibri" w:hAnsi="Calibri"/>
                <w:sz w:val="18"/>
              </w:rPr>
              <w:t>Ceases commercial aviation or surrenders operating certificates</w:t>
            </w:r>
          </w:p>
        </w:tc>
        <w:tc>
          <w:tcPr>
            <w:tcW w:type="dxa" w:w="2592"/>
            <w:shd w:val="clear" w:color="auto" w:fill="F4F7FC"/>
          </w:tcPr>
          <w:p>
            <w:pPr>
              <w:spacing w:before="20" w:after="20"/>
            </w:pPr>
            <w:r>
              <w:rPr>
                <w:rFonts w:ascii="Calibri" w:hAnsi="Calibri"/>
                <w:sz w:val="18"/>
              </w:rPr>
              <w:t>None</w:t>
            </w:r>
          </w:p>
        </w:tc>
      </w:tr>
      <w:tr>
        <w:tc>
          <w:tcPr>
            <w:tcW w:type="dxa" w:w="720"/>
            <w:shd w:val="clear" w:color="auto" w:fill="FFFFFF"/>
          </w:tcPr>
          <w:p>
            <w:pPr>
              <w:spacing w:before="20" w:after="20"/>
            </w:pPr>
            <w:r>
              <w:rPr>
                <w:rFonts w:ascii="Calibri" w:hAnsi="Calibri"/>
                <w:sz w:val="18"/>
              </w:rPr>
              <w:t>20.1(g)</w:t>
            </w:r>
          </w:p>
        </w:tc>
        <w:tc>
          <w:tcPr>
            <w:tcW w:type="dxa" w:w="2016"/>
            <w:shd w:val="clear" w:color="auto" w:fill="FFFFFF"/>
          </w:tcPr>
          <w:p>
            <w:pPr>
              <w:spacing w:before="20" w:after="20"/>
            </w:pPr>
            <w:r>
              <w:rPr>
                <w:rFonts w:ascii="Calibri" w:hAnsi="Calibri"/>
                <w:sz w:val="18"/>
              </w:rPr>
              <w:t>Cross-Default</w:t>
            </w:r>
          </w:p>
        </w:tc>
        <w:tc>
          <w:tcPr>
            <w:tcW w:type="dxa" w:w="4032"/>
            <w:shd w:val="clear" w:color="auto" w:fill="FFFFFF"/>
          </w:tcPr>
          <w:p>
            <w:pPr>
              <w:spacing w:before="20" w:after="20"/>
            </w:pPr>
            <w:r>
              <w:rPr>
                <w:rFonts w:ascii="Calibri" w:hAnsi="Calibri"/>
                <w:sz w:val="18"/>
              </w:rPr>
              <w:t>Default under any other agreement with Lessor or affiliate</w:t>
            </w:r>
          </w:p>
        </w:tc>
        <w:tc>
          <w:tcPr>
            <w:tcW w:type="dxa" w:w="2592"/>
            <w:shd w:val="clear" w:color="auto" w:fill="FFFFFF"/>
          </w:tcPr>
          <w:p>
            <w:pPr>
              <w:spacing w:before="20" w:after="20"/>
            </w:pPr>
            <w:r>
              <w:rPr>
                <w:rFonts w:ascii="Calibri" w:hAnsi="Calibri"/>
                <w:sz w:val="18"/>
              </w:rPr>
              <w:t>Per applicable grace period</w:t>
            </w:r>
          </w:p>
        </w:tc>
      </w:tr>
      <w:tr>
        <w:tc>
          <w:tcPr>
            <w:tcW w:type="dxa" w:w="720"/>
            <w:shd w:val="clear" w:color="auto" w:fill="F4F7FC"/>
          </w:tcPr>
          <w:p>
            <w:pPr>
              <w:spacing w:before="20" w:after="20"/>
            </w:pPr>
            <w:r>
              <w:rPr>
                <w:rFonts w:ascii="Calibri" w:hAnsi="Calibri"/>
                <w:sz w:val="18"/>
              </w:rPr>
              <w:t>20.1(h)</w:t>
            </w:r>
          </w:p>
        </w:tc>
        <w:tc>
          <w:tcPr>
            <w:tcW w:type="dxa" w:w="2016"/>
            <w:shd w:val="clear" w:color="auto" w:fill="F4F7FC"/>
          </w:tcPr>
          <w:p>
            <w:pPr>
              <w:spacing w:before="20" w:after="20"/>
            </w:pPr>
            <w:r>
              <w:rPr>
                <w:rFonts w:ascii="Calibri" w:hAnsi="Calibri"/>
                <w:sz w:val="18"/>
              </w:rPr>
              <w:t>Misrepresentation</w:t>
            </w:r>
          </w:p>
        </w:tc>
        <w:tc>
          <w:tcPr>
            <w:tcW w:type="dxa" w:w="4032"/>
            <w:shd w:val="clear" w:color="auto" w:fill="F4F7FC"/>
          </w:tcPr>
          <w:p>
            <w:pPr>
              <w:spacing w:before="20" w:after="20"/>
            </w:pPr>
            <w:r>
              <w:rPr>
                <w:rFonts w:ascii="Calibri" w:hAnsi="Calibri"/>
                <w:sz w:val="18"/>
              </w:rPr>
              <w:t>Any representation proves materially false when made</w:t>
            </w:r>
          </w:p>
        </w:tc>
        <w:tc>
          <w:tcPr>
            <w:tcW w:type="dxa" w:w="2592"/>
            <w:shd w:val="clear" w:color="auto" w:fill="F4F7FC"/>
          </w:tcPr>
          <w:p>
            <w:pPr>
              <w:spacing w:before="20" w:after="20"/>
            </w:pPr>
            <w:r>
              <w:rPr>
                <w:rFonts w:ascii="Calibri" w:hAnsi="Calibri"/>
                <w:sz w:val="18"/>
              </w:rPr>
              <w:t>None</w:t>
            </w:r>
          </w:p>
        </w:tc>
      </w:tr>
      <w:tr>
        <w:tc>
          <w:tcPr>
            <w:tcW w:type="dxa" w:w="720"/>
            <w:shd w:val="clear" w:color="auto" w:fill="FFFFFF"/>
          </w:tcPr>
          <w:p>
            <w:pPr>
              <w:spacing w:before="20" w:after="20"/>
            </w:pPr>
            <w:r>
              <w:rPr>
                <w:rFonts w:ascii="Calibri" w:hAnsi="Calibri"/>
                <w:sz w:val="18"/>
              </w:rPr>
              <w:t>20.1(i)</w:t>
            </w:r>
          </w:p>
        </w:tc>
        <w:tc>
          <w:tcPr>
            <w:tcW w:type="dxa" w:w="2016"/>
            <w:shd w:val="clear" w:color="auto" w:fill="FFFFFF"/>
          </w:tcPr>
          <w:p>
            <w:pPr>
              <w:spacing w:before="20" w:after="20"/>
            </w:pPr>
            <w:r>
              <w:rPr>
                <w:rFonts w:ascii="Calibri" w:hAnsi="Calibri"/>
                <w:sz w:val="18"/>
              </w:rPr>
              <w:t>Sanctions</w:t>
            </w:r>
          </w:p>
        </w:tc>
        <w:tc>
          <w:tcPr>
            <w:tcW w:type="dxa" w:w="4032"/>
            <w:shd w:val="clear" w:color="auto" w:fill="FFFFFF"/>
          </w:tcPr>
          <w:p>
            <w:pPr>
              <w:spacing w:before="20" w:after="20"/>
            </w:pPr>
            <w:r>
              <w:rPr>
                <w:rFonts w:ascii="Calibri" w:hAnsi="Calibri"/>
                <w:sz w:val="18"/>
              </w:rPr>
              <w:t>Lessee or operator becomes a Sanctioned Person</w:t>
            </w:r>
          </w:p>
        </w:tc>
        <w:tc>
          <w:tcPr>
            <w:tcW w:type="dxa" w:w="2592"/>
            <w:shd w:val="clear" w:color="auto" w:fill="FFFFFF"/>
          </w:tcPr>
          <w:p>
            <w:pPr>
              <w:spacing w:before="20" w:after="20"/>
            </w:pPr>
            <w:r>
              <w:rPr>
                <w:rFonts w:ascii="Calibri" w:hAnsi="Calibri"/>
                <w:sz w:val="18"/>
              </w:rPr>
              <w:t>None</w:t>
            </w:r>
          </w:p>
        </w:tc>
      </w:tr>
      <w:tr>
        <w:tc>
          <w:tcPr>
            <w:tcW w:type="dxa" w:w="720"/>
            <w:shd w:val="clear" w:color="auto" w:fill="F4F7FC"/>
          </w:tcPr>
          <w:p>
            <w:pPr>
              <w:spacing w:before="20" w:after="20"/>
            </w:pPr>
            <w:r>
              <w:rPr>
                <w:rFonts w:ascii="Calibri" w:hAnsi="Calibri"/>
                <w:sz w:val="18"/>
              </w:rPr>
              <w:t>20.1(j)</w:t>
            </w:r>
          </w:p>
        </w:tc>
        <w:tc>
          <w:tcPr>
            <w:tcW w:type="dxa" w:w="2016"/>
            <w:shd w:val="clear" w:color="auto" w:fill="F4F7FC"/>
          </w:tcPr>
          <w:p>
            <w:pPr>
              <w:spacing w:before="20" w:after="20"/>
            </w:pPr>
            <w:r>
              <w:rPr>
                <w:rFonts w:ascii="Calibri" w:hAnsi="Calibri"/>
                <w:sz w:val="18"/>
              </w:rPr>
              <w:t>General Breach</w:t>
            </w:r>
          </w:p>
        </w:tc>
        <w:tc>
          <w:tcPr>
            <w:tcW w:type="dxa" w:w="4032"/>
            <w:shd w:val="clear" w:color="auto" w:fill="F4F7FC"/>
          </w:tcPr>
          <w:p>
            <w:pPr>
              <w:spacing w:before="20" w:after="20"/>
            </w:pPr>
            <w:r>
              <w:rPr>
                <w:rFonts w:ascii="Calibri" w:hAnsi="Calibri"/>
                <w:sz w:val="18"/>
              </w:rPr>
              <w:t>Material breach of any other obligation</w:t>
            </w:r>
          </w:p>
        </w:tc>
        <w:tc>
          <w:tcPr>
            <w:tcW w:type="dxa" w:w="2592"/>
            <w:shd w:val="clear" w:color="auto" w:fill="F4F7FC"/>
          </w:tcPr>
          <w:p>
            <w:pPr>
              <w:spacing w:before="20" w:after="20"/>
            </w:pPr>
            <w:r>
              <w:rPr>
                <w:rFonts w:ascii="Calibri" w:hAnsi="Calibri"/>
                <w:sz w:val="18"/>
              </w:rPr>
              <w:t>21 days from written notice</w:t>
            </w:r>
          </w:p>
        </w:tc>
      </w:tr>
    </w:tbl>
    <w:p/>
    <w:p>
      <w:pPr>
        <w:spacing w:after="100"/>
      </w:pPr>
      <w:r>
        <w:rPr>
          <w:rFonts w:ascii="Calibri" w:hAnsi="Calibri"/>
          <w:i w:val="0"/>
          <w:sz w:val="20"/>
        </w:rPr>
        <w:t>20.2  Upon Event of Default, Lessor may: (a) terminate by written notice; (b) demand immediate redelivery; (c) repossess the Aircraft; (d) draw on Security Deposit/Letter of Credit; (e) claim all amounts due plus damages for unexpired Lease Period; and/or (f) exercise any other remedy available at law.</w:t>
      </w:r>
    </w:p>
    <w:p>
      <w:pPr>
        <w:spacing w:after="100"/>
      </w:pPr>
      <w:r>
        <w:rPr>
          <w:rFonts w:ascii="Calibri" w:hAnsi="Calibri"/>
          <w:i w:val="0"/>
          <w:sz w:val="20"/>
        </w:rPr>
        <w:t>20.3  Lessee grants Lessor an irrevocable power of attorney, operative only upon Event of Default and termination, to repossess, deregister, and export the Aircraft.</w:t>
      </w:r>
    </w:p>
    <w:p>
      <w:r>
        <w:br w:type="page"/>
      </w:r>
    </w:p>
    <w:p>
      <w:pPr>
        <w:pStyle w:val="Heading2"/>
      </w:pPr>
      <w:r>
        <w:rPr>
          <w:rFonts w:ascii="Calibri" w:hAnsi="Calibri"/>
          <w:b/>
          <w:color w:val="0D2B55"/>
          <w:sz w:val="24"/>
        </w:rPr>
        <w:t>ARTICLE 21 — ASSIGNMENT</w:t>
      </w:r>
    </w:p>
    <w:p>
      <w:pPr>
        <w:pBdr>
          <w:bottom w:val="single" w:sz="6" w:space="1" w:color="0D2B55"/>
        </w:pBdr>
        <w:spacing w:before="40" w:after="120"/>
      </w:pPr>
    </w:p>
    <w:p>
      <w:pPr>
        <w:spacing w:after="100"/>
      </w:pPr>
      <w:r>
        <w:rPr>
          <w:rFonts w:ascii="Calibri" w:hAnsi="Calibri"/>
          <w:i w:val="0"/>
          <w:sz w:val="20"/>
        </w:rPr>
        <w:t>21.1  Lessor may assign all rights and interests to any financial institution as security for financing without Lessee's consent.</w:t>
      </w:r>
    </w:p>
    <w:p>
      <w:pPr>
        <w:spacing w:after="100"/>
      </w:pPr>
      <w:r>
        <w:rPr>
          <w:rFonts w:ascii="Calibri" w:hAnsi="Calibri"/>
          <w:i w:val="0"/>
          <w:sz w:val="20"/>
        </w:rPr>
        <w:t>21.2  Lessee may not assign, transfer, or sub-lease any interest without Lessor's prior written consent (absolute discretion).</w:t>
      </w:r>
    </w:p>
    <w:p>
      <w:pPr>
        <w:pStyle w:val="Heading2"/>
      </w:pPr>
      <w:r>
        <w:rPr>
          <w:rFonts w:ascii="Calibri" w:hAnsi="Calibri"/>
          <w:b/>
          <w:color w:val="0D2B55"/>
          <w:sz w:val="24"/>
        </w:rPr>
        <w:t>ARTICLE 22 — GOVERNING LAW AND DISPUTE RESOLUTION</w:t>
      </w:r>
    </w:p>
    <w:p>
      <w:pPr>
        <w:pBdr>
          <w:bottom w:val="single" w:sz="6" w:space="1" w:color="0D2B55"/>
        </w:pBdr>
        <w:spacing w:before="40" w:after="120"/>
      </w:pPr>
    </w:p>
    <w:p>
      <w:pPr>
        <w:spacing w:after="100"/>
      </w:pPr>
      <w:r>
        <w:rPr>
          <w:rFonts w:ascii="Calibri" w:hAnsi="Calibri"/>
          <w:i w:val="0"/>
          <w:sz w:val="20"/>
        </w:rPr>
        <w:t>22.1  New York law governs, without reference to conflict of laws principles.</w:t>
      </w:r>
    </w:p>
    <w:p>
      <w:pPr>
        <w:spacing w:after="100"/>
      </w:pPr>
      <w:r>
        <w:rPr>
          <w:rFonts w:ascii="Calibri" w:hAnsi="Calibri"/>
          <w:i w:val="0"/>
          <w:sz w:val="20"/>
        </w:rPr>
        <w:t>22.2  Disputes resolved by ICC arbitration in New York (3 arbitrators, English language).</w:t>
      </w:r>
    </w:p>
    <w:p>
      <w:pPr>
        <w:spacing w:after="100"/>
      </w:pPr>
      <w:r>
        <w:rPr>
          <w:rFonts w:ascii="Calibri" w:hAnsi="Calibri"/>
          <w:i w:val="0"/>
          <w:sz w:val="20"/>
        </w:rPr>
        <w:t>22.3  Emergency or interim relief from courts of competent jurisdiction is not precluded.</w:t>
      </w:r>
    </w:p>
    <w:p>
      <w:pPr>
        <w:pStyle w:val="Heading2"/>
      </w:pPr>
      <w:r>
        <w:rPr>
          <w:rFonts w:ascii="Calibri" w:hAnsi="Calibri"/>
          <w:b/>
          <w:color w:val="0D2B55"/>
          <w:sz w:val="24"/>
        </w:rPr>
        <w:t>ARTICLES 23–24 — NOTICES / MISCELLANEOUS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1728"/>
            <w:shd w:val="clear" w:color="auto" w:fill="0D2B55"/>
          </w:tcPr>
          <w:p>
            <w:pPr>
              <w:spacing w:before="40" w:after="40"/>
            </w:pPr>
            <w:r>
              <w:rPr>
                <w:rFonts w:ascii="Calibri" w:hAnsi="Calibri"/>
                <w:b/>
                <w:color w:val="FFFFFF"/>
                <w:sz w:val="18"/>
              </w:rPr>
              <w:t>Party</w:t>
            </w:r>
          </w:p>
        </w:tc>
        <w:tc>
          <w:tcPr>
            <w:tcW w:type="dxa" w:w="3168"/>
            <w:shd w:val="clear" w:color="auto" w:fill="0D2B55"/>
          </w:tcPr>
          <w:p>
            <w:pPr>
              <w:spacing w:before="40" w:after="40"/>
            </w:pPr>
            <w:r>
              <w:rPr>
                <w:rFonts w:ascii="Calibri" w:hAnsi="Calibri"/>
                <w:b/>
                <w:color w:val="FFFFFF"/>
                <w:sz w:val="18"/>
              </w:rPr>
              <w:t>Address</w:t>
            </w:r>
          </w:p>
        </w:tc>
        <w:tc>
          <w:tcPr>
            <w:tcW w:type="dxa" w:w="2592"/>
            <w:shd w:val="clear" w:color="auto" w:fill="0D2B55"/>
          </w:tcPr>
          <w:p>
            <w:pPr>
              <w:spacing w:before="40" w:after="40"/>
            </w:pPr>
            <w:r>
              <w:rPr>
                <w:rFonts w:ascii="Calibri" w:hAnsi="Calibri"/>
                <w:b/>
                <w:color w:val="FFFFFF"/>
                <w:sz w:val="18"/>
              </w:rPr>
              <w:t>Email</w:t>
            </w:r>
          </w:p>
        </w:tc>
        <w:tc>
          <w:tcPr>
            <w:tcW w:type="dxa" w:w="1872"/>
            <w:shd w:val="clear" w:color="auto" w:fill="0D2B55"/>
          </w:tcPr>
          <w:p>
            <w:pPr>
              <w:spacing w:before="40" w:after="40"/>
            </w:pPr>
            <w:r>
              <w:rPr>
                <w:rFonts w:ascii="Calibri" w:hAnsi="Calibri"/>
                <w:b/>
                <w:color w:val="FFFFFF"/>
                <w:sz w:val="18"/>
              </w:rPr>
              <w:t>Attention</w:t>
            </w:r>
          </w:p>
        </w:tc>
      </w:tr>
      <w:tr>
        <w:tc>
          <w:tcPr>
            <w:tcW w:type="dxa" w:w="1728"/>
            <w:shd w:val="clear" w:color="auto" w:fill="FFFFFF"/>
          </w:tcPr>
          <w:p>
            <w:pPr>
              <w:spacing w:before="20" w:after="20"/>
            </w:pPr>
            <w:r>
              <w:rPr>
                <w:rFonts w:ascii="Calibri" w:hAnsi="Calibri"/>
                <w:sz w:val="18"/>
              </w:rPr>
              <w:t>Lessor</w:t>
            </w:r>
          </w:p>
        </w:tc>
        <w:tc>
          <w:tcPr>
            <w:tcW w:type="dxa" w:w="3168"/>
            <w:shd w:val="clear" w:color="auto" w:fill="FFFFFF"/>
          </w:tcPr>
          <w:p>
            <w:pPr>
              <w:spacing w:before="20" w:after="20"/>
            </w:pPr>
            <w:r>
              <w:rPr>
                <w:rFonts w:ascii="Calibri" w:hAnsi="Calibri"/>
                <w:sz w:val="18"/>
              </w:rPr>
              <w:t>Global Wing Finance BV, 1 Grand Canal Square, Dublin 2, Ireland</w:t>
            </w:r>
          </w:p>
        </w:tc>
        <w:tc>
          <w:tcPr>
            <w:tcW w:type="dxa" w:w="2592"/>
            <w:shd w:val="clear" w:color="auto" w:fill="FFFFFF"/>
          </w:tcPr>
          <w:p>
            <w:pPr>
              <w:spacing w:before="20" w:after="20"/>
            </w:pPr>
            <w:r>
              <w:rPr>
                <w:rFonts w:ascii="Calibri" w:hAnsi="Calibri"/>
                <w:sz w:val="18"/>
              </w:rPr>
              <w:t>leases@lessor.ie</w:t>
            </w:r>
          </w:p>
        </w:tc>
        <w:tc>
          <w:tcPr>
            <w:tcW w:type="dxa" w:w="1872"/>
            <w:shd w:val="clear" w:color="auto" w:fill="FFFFFF"/>
          </w:tcPr>
          <w:p>
            <w:pPr>
              <w:spacing w:before="20" w:after="20"/>
            </w:pPr>
            <w:r>
              <w:rPr>
                <w:rFonts w:ascii="Calibri" w:hAnsi="Calibri"/>
                <w:sz w:val="18"/>
              </w:rPr>
              <w:t>Head of Portfolio Management</w:t>
            </w:r>
          </w:p>
        </w:tc>
      </w:tr>
      <w:tr>
        <w:tc>
          <w:tcPr>
            <w:tcW w:type="dxa" w:w="1728"/>
            <w:shd w:val="clear" w:color="auto" w:fill="F4F7FC"/>
          </w:tcPr>
          <w:p>
            <w:pPr>
              <w:spacing w:before="20" w:after="20"/>
            </w:pPr>
            <w:r>
              <w:rPr>
                <w:rFonts w:ascii="Calibri" w:hAnsi="Calibri"/>
                <w:sz w:val="18"/>
              </w:rPr>
              <w:t>Lessee</w:t>
            </w:r>
          </w:p>
        </w:tc>
        <w:tc>
          <w:tcPr>
            <w:tcW w:type="dxa" w:w="3168"/>
            <w:shd w:val="clear" w:color="auto" w:fill="F4F7FC"/>
          </w:tcPr>
          <w:p>
            <w:pPr>
              <w:spacing w:before="20" w:after="20"/>
            </w:pPr>
            <w:r>
              <w:rPr>
                <w:rFonts w:ascii="Calibri" w:hAnsi="Calibri"/>
                <w:sz w:val="18"/>
              </w:rPr>
              <w:t>Coastal Charter Services Ltd., 123 Aviation Blvd, Dallas TX 75201</w:t>
            </w:r>
          </w:p>
        </w:tc>
        <w:tc>
          <w:tcPr>
            <w:tcW w:type="dxa" w:w="2592"/>
            <w:shd w:val="clear" w:color="auto" w:fill="F4F7FC"/>
          </w:tcPr>
          <w:p>
            <w:pPr>
              <w:spacing w:before="20" w:after="20"/>
            </w:pPr>
            <w:r>
              <w:rPr>
                <w:rFonts w:ascii="Calibri" w:hAnsi="Calibri"/>
                <w:sz w:val="18"/>
              </w:rPr>
              <w:t>leasing@lessee.com</w:t>
            </w:r>
          </w:p>
        </w:tc>
        <w:tc>
          <w:tcPr>
            <w:tcW w:type="dxa" w:w="1872"/>
            <w:shd w:val="clear" w:color="auto" w:fill="F4F7FC"/>
          </w:tcPr>
          <w:p>
            <w:pPr>
              <w:spacing w:before="20" w:after="20"/>
            </w:pPr>
            <w:r>
              <w:rPr>
                <w:rFonts w:ascii="Calibri" w:hAnsi="Calibri"/>
                <w:sz w:val="18"/>
              </w:rPr>
              <w:t>VP Finance &amp; Leasing</w:t>
            </w:r>
          </w:p>
        </w:tc>
      </w:tr>
    </w:tbl>
    <w:p/>
    <w:p>
      <w:pPr>
        <w:spacing w:after="100"/>
      </w:pPr>
      <w:r>
        <w:rPr>
          <w:rFonts w:ascii="Calibri" w:hAnsi="Calibri"/>
          <w:i w:val="0"/>
          <w:sz w:val="20"/>
        </w:rPr>
        <w:t>This Agreement constitutes the entire agreement and supersedes all prior negotiations. Amendments require a signed written instrument. Counterparts with electronic signatures are originals.</w:t>
      </w:r>
    </w:p>
    <w:p>
      <w:r>
        <w:br w:type="page"/>
      </w:r>
    </w:p>
    <w:p>
      <w:pPr>
        <w:pStyle w:val="Heading2"/>
      </w:pPr>
      <w:r>
        <w:rPr>
          <w:rFonts w:ascii="Calibri" w:hAnsi="Calibri"/>
          <w:b/>
          <w:color w:val="0D2B55"/>
          <w:sz w:val="24"/>
        </w:rPr>
        <w:t>SCHEDULE 1 — AIRCRAFT DESCRIPTION</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600"/>
            <w:shd w:val="clear" w:color="auto" w:fill="0D2B55"/>
          </w:tcPr>
          <w:p>
            <w:pPr>
              <w:spacing w:before="40" w:after="40"/>
            </w:pPr>
            <w:r>
              <w:rPr>
                <w:rFonts w:ascii="Calibri" w:hAnsi="Calibri"/>
                <w:b/>
                <w:color w:val="FFFFFF"/>
                <w:sz w:val="18"/>
              </w:rPr>
              <w:t>Parameter</w:t>
            </w:r>
          </w:p>
        </w:tc>
        <w:tc>
          <w:tcPr>
            <w:tcW w:type="dxa" w:w="5760"/>
            <w:shd w:val="clear" w:color="auto" w:fill="0D2B55"/>
          </w:tcPr>
          <w:p>
            <w:pPr>
              <w:spacing w:before="40" w:after="40"/>
            </w:pPr>
            <w:r>
              <w:rPr>
                <w:rFonts w:ascii="Calibri" w:hAnsi="Calibri"/>
                <w:b/>
                <w:color w:val="FFFFFF"/>
                <w:sz w:val="18"/>
              </w:rPr>
              <w:t>Detail</w:t>
            </w:r>
          </w:p>
        </w:tc>
      </w:tr>
      <w:tr>
        <w:tc>
          <w:tcPr>
            <w:tcW w:type="dxa" w:w="3600"/>
            <w:shd w:val="clear" w:color="auto" w:fill="FFFFFF"/>
          </w:tcPr>
          <w:p>
            <w:pPr>
              <w:spacing w:before="20" w:after="20"/>
            </w:pPr>
            <w:r>
              <w:rPr>
                <w:rFonts w:ascii="Calibri" w:hAnsi="Calibri"/>
                <w:sz w:val="18"/>
              </w:rPr>
              <w:t>Aircraft Type</w:t>
            </w:r>
          </w:p>
        </w:tc>
        <w:tc>
          <w:tcPr>
            <w:tcW w:type="dxa" w:w="5760"/>
            <w:shd w:val="clear" w:color="auto" w:fill="FFFFFF"/>
          </w:tcPr>
          <w:p>
            <w:pPr>
              <w:spacing w:before="20" w:after="20"/>
            </w:pPr>
            <w:r>
              <w:rPr>
                <w:rFonts w:ascii="Calibri" w:hAnsi="Calibri"/>
                <w:sz w:val="18"/>
              </w:rPr>
              <w:t>Airbus A319-100</w:t>
            </w:r>
          </w:p>
        </w:tc>
      </w:tr>
      <w:tr>
        <w:tc>
          <w:tcPr>
            <w:tcW w:type="dxa" w:w="3600"/>
            <w:shd w:val="clear" w:color="auto" w:fill="F4F7FC"/>
          </w:tcPr>
          <w:p>
            <w:pPr>
              <w:spacing w:before="20" w:after="20"/>
            </w:pPr>
            <w:r>
              <w:rPr>
                <w:rFonts w:ascii="Calibri" w:hAnsi="Calibri"/>
                <w:sz w:val="18"/>
              </w:rPr>
              <w:t>Manufacturer</w:t>
            </w:r>
          </w:p>
        </w:tc>
        <w:tc>
          <w:tcPr>
            <w:tcW w:type="dxa" w:w="5760"/>
            <w:shd w:val="clear" w:color="auto" w:fill="F4F7FC"/>
          </w:tcPr>
          <w:p>
            <w:pPr>
              <w:spacing w:before="20" w:after="20"/>
            </w:pPr>
            <w:r>
              <w:rPr>
                <w:rFonts w:ascii="Calibri" w:hAnsi="Calibri"/>
                <w:sz w:val="18"/>
              </w:rPr>
              <w:t>Airbus SAS</w:t>
            </w:r>
          </w:p>
        </w:tc>
      </w:tr>
      <w:tr>
        <w:tc>
          <w:tcPr>
            <w:tcW w:type="dxa" w:w="3600"/>
            <w:shd w:val="clear" w:color="auto" w:fill="FFFFFF"/>
          </w:tcPr>
          <w:p>
            <w:pPr>
              <w:spacing w:before="20" w:after="20"/>
            </w:pPr>
            <w:r>
              <w:rPr>
                <w:rFonts w:ascii="Calibri" w:hAnsi="Calibri"/>
                <w:sz w:val="18"/>
              </w:rPr>
              <w:t>MSN</w:t>
            </w:r>
          </w:p>
        </w:tc>
        <w:tc>
          <w:tcPr>
            <w:tcW w:type="dxa" w:w="5760"/>
            <w:shd w:val="clear" w:color="auto" w:fill="FFFFFF"/>
          </w:tcPr>
          <w:p>
            <w:pPr>
              <w:spacing w:before="20" w:after="20"/>
            </w:pPr>
            <w:r>
              <w:rPr>
                <w:rFonts w:ascii="Calibri" w:hAnsi="Calibri"/>
                <w:sz w:val="18"/>
              </w:rPr>
              <w:t>7203</w:t>
            </w:r>
          </w:p>
        </w:tc>
      </w:tr>
      <w:tr>
        <w:tc>
          <w:tcPr>
            <w:tcW w:type="dxa" w:w="3600"/>
            <w:shd w:val="clear" w:color="auto" w:fill="F4F7FC"/>
          </w:tcPr>
          <w:p>
            <w:pPr>
              <w:spacing w:before="20" w:after="20"/>
            </w:pPr>
            <w:r>
              <w:rPr>
                <w:rFonts w:ascii="Calibri" w:hAnsi="Calibri"/>
                <w:sz w:val="18"/>
              </w:rPr>
              <w:t>Registration Mark</w:t>
            </w:r>
          </w:p>
        </w:tc>
        <w:tc>
          <w:tcPr>
            <w:tcW w:type="dxa" w:w="5760"/>
            <w:shd w:val="clear" w:color="auto" w:fill="F4F7FC"/>
          </w:tcPr>
          <w:p>
            <w:pPr>
              <w:spacing w:before="20" w:after="20"/>
            </w:pPr>
            <w:r>
              <w:rPr>
                <w:rFonts w:ascii="Calibri" w:hAnsi="Calibri"/>
                <w:sz w:val="18"/>
              </w:rPr>
              <w:t>N67890</w:t>
            </w:r>
          </w:p>
        </w:tc>
      </w:tr>
      <w:tr>
        <w:tc>
          <w:tcPr>
            <w:tcW w:type="dxa" w:w="3600"/>
            <w:shd w:val="clear" w:color="auto" w:fill="FFFFFF"/>
          </w:tcPr>
          <w:p>
            <w:pPr>
              <w:spacing w:before="20" w:after="20"/>
            </w:pPr>
            <w:r>
              <w:rPr>
                <w:rFonts w:ascii="Calibri" w:hAnsi="Calibri"/>
                <w:sz w:val="18"/>
              </w:rPr>
              <w:t>Year of Manufacture</w:t>
            </w:r>
          </w:p>
        </w:tc>
        <w:tc>
          <w:tcPr>
            <w:tcW w:type="dxa" w:w="5760"/>
            <w:shd w:val="clear" w:color="auto" w:fill="FFFFFF"/>
          </w:tcPr>
          <w:p>
            <w:pPr>
              <w:spacing w:before="20" w:after="20"/>
            </w:pPr>
            <w:r>
              <w:rPr>
                <w:rFonts w:ascii="Calibri" w:hAnsi="Calibri"/>
                <w:sz w:val="18"/>
              </w:rPr>
              <w:t>2016</w:t>
            </w:r>
          </w:p>
        </w:tc>
      </w:tr>
      <w:tr>
        <w:tc>
          <w:tcPr>
            <w:tcW w:type="dxa" w:w="3600"/>
            <w:shd w:val="clear" w:color="auto" w:fill="F4F7FC"/>
          </w:tcPr>
          <w:p>
            <w:pPr>
              <w:spacing w:before="20" w:after="20"/>
            </w:pPr>
            <w:r>
              <w:rPr>
                <w:rFonts w:ascii="Calibri" w:hAnsi="Calibri"/>
                <w:sz w:val="18"/>
              </w:rPr>
              <w:t>Engine Type</w:t>
            </w:r>
          </w:p>
        </w:tc>
        <w:tc>
          <w:tcPr>
            <w:tcW w:type="dxa" w:w="5760"/>
            <w:shd w:val="clear" w:color="auto" w:fill="F4F7FC"/>
          </w:tcPr>
          <w:p>
            <w:pPr>
              <w:spacing w:before="20" w:after="20"/>
            </w:pPr>
            <w:r>
              <w:rPr>
                <w:rFonts w:ascii="Calibri" w:hAnsi="Calibri"/>
                <w:sz w:val="18"/>
              </w:rPr>
              <w:t>CFM56-5B5/P</w:t>
            </w:r>
          </w:p>
        </w:tc>
      </w:tr>
      <w:tr>
        <w:tc>
          <w:tcPr>
            <w:tcW w:type="dxa" w:w="3600"/>
            <w:shd w:val="clear" w:color="auto" w:fill="FFFFFF"/>
          </w:tcPr>
          <w:p>
            <w:pPr>
              <w:spacing w:before="20" w:after="20"/>
            </w:pPr>
            <w:r>
              <w:rPr>
                <w:rFonts w:ascii="Calibri" w:hAnsi="Calibri"/>
                <w:sz w:val="18"/>
              </w:rPr>
              <w:t>Engine Serial No. 1 (Position 1)</w:t>
            </w:r>
          </w:p>
        </w:tc>
        <w:tc>
          <w:tcPr>
            <w:tcW w:type="dxa" w:w="5760"/>
            <w:shd w:val="clear" w:color="auto" w:fill="FFFFFF"/>
          </w:tcPr>
          <w:p>
            <w:pPr>
              <w:spacing w:before="20" w:after="20"/>
            </w:pPr>
            <w:r>
              <w:rPr>
                <w:rFonts w:ascii="Calibri" w:hAnsi="Calibri"/>
                <w:sz w:val="18"/>
              </w:rPr>
              <w:t>ESN-334455</w:t>
            </w:r>
          </w:p>
        </w:tc>
      </w:tr>
      <w:tr>
        <w:tc>
          <w:tcPr>
            <w:tcW w:type="dxa" w:w="3600"/>
            <w:shd w:val="clear" w:color="auto" w:fill="F4F7FC"/>
          </w:tcPr>
          <w:p>
            <w:pPr>
              <w:spacing w:before="20" w:after="20"/>
            </w:pPr>
            <w:r>
              <w:rPr>
                <w:rFonts w:ascii="Calibri" w:hAnsi="Calibri"/>
                <w:sz w:val="18"/>
              </w:rPr>
              <w:t>Engine Serial No. 2 (Position 2)</w:t>
            </w:r>
          </w:p>
        </w:tc>
        <w:tc>
          <w:tcPr>
            <w:tcW w:type="dxa" w:w="5760"/>
            <w:shd w:val="clear" w:color="auto" w:fill="F4F7FC"/>
          </w:tcPr>
          <w:p>
            <w:pPr>
              <w:spacing w:before="20" w:after="20"/>
            </w:pPr>
            <w:r>
              <w:rPr>
                <w:rFonts w:ascii="Calibri" w:hAnsi="Calibri"/>
                <w:sz w:val="18"/>
              </w:rPr>
              <w:t>ESN-334456</w:t>
            </w:r>
          </w:p>
        </w:tc>
      </w:tr>
      <w:tr>
        <w:tc>
          <w:tcPr>
            <w:tcW w:type="dxa" w:w="3600"/>
            <w:shd w:val="clear" w:color="auto" w:fill="FFFFFF"/>
          </w:tcPr>
          <w:p>
            <w:pPr>
              <w:spacing w:before="20" w:after="20"/>
            </w:pPr>
            <w:r>
              <w:rPr>
                <w:rFonts w:ascii="Calibri" w:hAnsi="Calibri"/>
                <w:sz w:val="18"/>
              </w:rPr>
              <w:t>APU Model</w:t>
            </w:r>
          </w:p>
        </w:tc>
        <w:tc>
          <w:tcPr>
            <w:tcW w:type="dxa" w:w="5760"/>
            <w:shd w:val="clear" w:color="auto" w:fill="FFFFFF"/>
          </w:tcPr>
          <w:p>
            <w:pPr>
              <w:spacing w:before="20" w:after="20"/>
            </w:pPr>
            <w:r>
              <w:rPr>
                <w:rFonts w:ascii="Calibri" w:hAnsi="Calibri"/>
                <w:sz w:val="18"/>
              </w:rPr>
              <w:t>Pratt &amp; Whitney APS3200</w:t>
            </w:r>
          </w:p>
        </w:tc>
      </w:tr>
      <w:tr>
        <w:tc>
          <w:tcPr>
            <w:tcW w:type="dxa" w:w="3600"/>
            <w:shd w:val="clear" w:color="auto" w:fill="F4F7FC"/>
          </w:tcPr>
          <w:p>
            <w:pPr>
              <w:spacing w:before="20" w:after="20"/>
            </w:pPr>
            <w:r>
              <w:rPr>
                <w:rFonts w:ascii="Calibri" w:hAnsi="Calibri"/>
                <w:sz w:val="18"/>
              </w:rPr>
              <w:t>APU Serial No.</w:t>
            </w:r>
          </w:p>
        </w:tc>
        <w:tc>
          <w:tcPr>
            <w:tcW w:type="dxa" w:w="5760"/>
            <w:shd w:val="clear" w:color="auto" w:fill="F4F7FC"/>
          </w:tcPr>
          <w:p>
            <w:pPr>
              <w:spacing w:before="20" w:after="20"/>
            </w:pPr>
            <w:r>
              <w:rPr>
                <w:rFonts w:ascii="Calibri" w:hAnsi="Calibri"/>
                <w:sz w:val="18"/>
              </w:rPr>
              <w:t>APU-720301</w:t>
            </w:r>
          </w:p>
        </w:tc>
      </w:tr>
      <w:tr>
        <w:tc>
          <w:tcPr>
            <w:tcW w:type="dxa" w:w="3600"/>
            <w:shd w:val="clear" w:color="auto" w:fill="FFFFFF"/>
          </w:tcPr>
          <w:p>
            <w:pPr>
              <w:spacing w:before="20" w:after="20"/>
            </w:pPr>
            <w:r>
              <w:rPr>
                <w:rFonts w:ascii="Calibri" w:hAnsi="Calibri"/>
                <w:sz w:val="18"/>
              </w:rPr>
              <w:t>NLG Serial No.</w:t>
            </w:r>
          </w:p>
        </w:tc>
        <w:tc>
          <w:tcPr>
            <w:tcW w:type="dxa" w:w="5760"/>
            <w:shd w:val="clear" w:color="auto" w:fill="FFFFFF"/>
          </w:tcPr>
          <w:p>
            <w:pPr>
              <w:spacing w:before="20" w:after="20"/>
            </w:pPr>
            <w:r>
              <w:rPr>
                <w:rFonts w:ascii="Calibri" w:hAnsi="Calibri"/>
                <w:sz w:val="18"/>
              </w:rPr>
              <w:t>NLG-7203</w:t>
            </w:r>
          </w:p>
        </w:tc>
      </w:tr>
      <w:tr>
        <w:tc>
          <w:tcPr>
            <w:tcW w:type="dxa" w:w="3600"/>
            <w:shd w:val="clear" w:color="auto" w:fill="F4F7FC"/>
          </w:tcPr>
          <w:p>
            <w:pPr>
              <w:spacing w:before="20" w:after="20"/>
            </w:pPr>
            <w:r>
              <w:rPr>
                <w:rFonts w:ascii="Calibri" w:hAnsi="Calibri"/>
                <w:sz w:val="18"/>
              </w:rPr>
              <w:t>LH MLG Serial No.</w:t>
            </w:r>
          </w:p>
        </w:tc>
        <w:tc>
          <w:tcPr>
            <w:tcW w:type="dxa" w:w="5760"/>
            <w:shd w:val="clear" w:color="auto" w:fill="F4F7FC"/>
          </w:tcPr>
          <w:p>
            <w:pPr>
              <w:spacing w:before="20" w:after="20"/>
            </w:pPr>
            <w:r>
              <w:rPr>
                <w:rFonts w:ascii="Calibri" w:hAnsi="Calibri"/>
                <w:sz w:val="18"/>
              </w:rPr>
              <w:t>LH-7203</w:t>
            </w:r>
          </w:p>
        </w:tc>
      </w:tr>
      <w:tr>
        <w:tc>
          <w:tcPr>
            <w:tcW w:type="dxa" w:w="3600"/>
            <w:shd w:val="clear" w:color="auto" w:fill="FFFFFF"/>
          </w:tcPr>
          <w:p>
            <w:pPr>
              <w:spacing w:before="20" w:after="20"/>
            </w:pPr>
            <w:r>
              <w:rPr>
                <w:rFonts w:ascii="Calibri" w:hAnsi="Calibri"/>
                <w:sz w:val="18"/>
              </w:rPr>
              <w:t>RH MLG Serial No.</w:t>
            </w:r>
          </w:p>
        </w:tc>
        <w:tc>
          <w:tcPr>
            <w:tcW w:type="dxa" w:w="5760"/>
            <w:shd w:val="clear" w:color="auto" w:fill="FFFFFF"/>
          </w:tcPr>
          <w:p>
            <w:pPr>
              <w:spacing w:before="20" w:after="20"/>
            </w:pPr>
            <w:r>
              <w:rPr>
                <w:rFonts w:ascii="Calibri" w:hAnsi="Calibri"/>
                <w:sz w:val="18"/>
              </w:rPr>
              <w:t>RH-7203</w:t>
            </w:r>
          </w:p>
        </w:tc>
      </w:tr>
      <w:tr>
        <w:tc>
          <w:tcPr>
            <w:tcW w:type="dxa" w:w="3600"/>
            <w:shd w:val="clear" w:color="auto" w:fill="F4F7FC"/>
          </w:tcPr>
          <w:p>
            <w:pPr>
              <w:spacing w:before="20" w:after="20"/>
            </w:pPr>
            <w:r>
              <w:rPr>
                <w:rFonts w:ascii="Calibri" w:hAnsi="Calibri"/>
                <w:sz w:val="18"/>
              </w:rPr>
              <w:t>Interior Config.</w:t>
            </w:r>
          </w:p>
        </w:tc>
        <w:tc>
          <w:tcPr>
            <w:tcW w:type="dxa" w:w="5760"/>
            <w:shd w:val="clear" w:color="auto" w:fill="F4F7FC"/>
          </w:tcPr>
          <w:p>
            <w:pPr>
              <w:spacing w:before="20" w:after="20"/>
            </w:pPr>
            <w:r>
              <w:rPr>
                <w:rFonts w:ascii="Calibri" w:hAnsi="Calibri"/>
                <w:sz w:val="18"/>
              </w:rPr>
              <w:t>168 passengers (16 Business / 152 Economy)</w:t>
            </w:r>
          </w:p>
        </w:tc>
      </w:tr>
      <w:tr>
        <w:tc>
          <w:tcPr>
            <w:tcW w:type="dxa" w:w="3600"/>
            <w:shd w:val="clear" w:color="auto" w:fill="FFFFFF"/>
          </w:tcPr>
          <w:p>
            <w:pPr>
              <w:spacing w:before="20" w:after="20"/>
            </w:pPr>
            <w:r>
              <w:rPr>
                <w:rFonts w:ascii="Calibri" w:hAnsi="Calibri"/>
                <w:sz w:val="18"/>
              </w:rPr>
              <w:t>MTOW</w:t>
            </w:r>
          </w:p>
        </w:tc>
        <w:tc>
          <w:tcPr>
            <w:tcW w:type="dxa" w:w="5760"/>
            <w:shd w:val="clear" w:color="auto" w:fill="FFFFFF"/>
          </w:tcPr>
          <w:p>
            <w:pPr>
              <w:spacing w:before="20" w:after="20"/>
            </w:pPr>
            <w:r>
              <w:rPr>
                <w:rFonts w:ascii="Calibri" w:hAnsi="Calibri"/>
                <w:sz w:val="18"/>
              </w:rPr>
              <w:t>78,000 kg</w:t>
            </w:r>
          </w:p>
        </w:tc>
      </w:tr>
      <w:tr>
        <w:tc>
          <w:tcPr>
            <w:tcW w:type="dxa" w:w="3600"/>
            <w:shd w:val="clear" w:color="auto" w:fill="F4F7FC"/>
          </w:tcPr>
          <w:p>
            <w:pPr>
              <w:spacing w:before="20" w:after="20"/>
            </w:pPr>
            <w:r>
              <w:rPr>
                <w:rFonts w:ascii="Calibri" w:hAnsi="Calibri"/>
                <w:sz w:val="18"/>
              </w:rPr>
              <w:t>Operating Empty Weight</w:t>
            </w:r>
          </w:p>
        </w:tc>
        <w:tc>
          <w:tcPr>
            <w:tcW w:type="dxa" w:w="5760"/>
            <w:shd w:val="clear" w:color="auto" w:fill="F4F7FC"/>
          </w:tcPr>
          <w:p>
            <w:pPr>
              <w:spacing w:before="20" w:after="20"/>
            </w:pPr>
            <w:r>
              <w:rPr>
                <w:rFonts w:ascii="Calibri" w:hAnsi="Calibri"/>
                <w:sz w:val="18"/>
              </w:rPr>
              <w:t>42,600 kg</w:t>
            </w:r>
          </w:p>
        </w:tc>
      </w:tr>
    </w:tbl>
    <w:p/>
    <w:p>
      <w:pPr>
        <w:pStyle w:val="Heading2"/>
      </w:pPr>
      <w:r>
        <w:rPr>
          <w:rFonts w:ascii="Calibri" w:hAnsi="Calibri"/>
          <w:b/>
          <w:color w:val="0D2B55"/>
          <w:sz w:val="24"/>
        </w:rPr>
        <w:t>SCHEDULE 2 — TECHNICAL RECORDS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D2B55"/>
          </w:tcPr>
          <w:p>
            <w:pPr>
              <w:spacing w:before="40" w:after="40"/>
            </w:pPr>
            <w:r>
              <w:rPr>
                <w:rFonts w:ascii="Calibri" w:hAnsi="Calibri"/>
                <w:b/>
                <w:color w:val="FFFFFF"/>
                <w:sz w:val="18"/>
              </w:rPr>
              <w:t>Record Type</w:t>
            </w:r>
          </w:p>
        </w:tc>
        <w:tc>
          <w:tcPr>
            <w:tcW w:type="dxa" w:w="4608"/>
            <w:shd w:val="clear" w:color="auto" w:fill="0D2B55"/>
          </w:tcPr>
          <w:p>
            <w:pPr>
              <w:spacing w:before="40" w:after="40"/>
            </w:pPr>
            <w:r>
              <w:rPr>
                <w:rFonts w:ascii="Calibri" w:hAnsi="Calibri"/>
                <w:b/>
                <w:color w:val="FFFFFF"/>
                <w:sz w:val="18"/>
              </w:rPr>
              <w:t>Description</w:t>
            </w:r>
          </w:p>
        </w:tc>
        <w:tc>
          <w:tcPr>
            <w:tcW w:type="dxa" w:w="1872"/>
            <w:shd w:val="clear" w:color="auto" w:fill="0D2B55"/>
          </w:tcPr>
          <w:p>
            <w:pPr>
              <w:spacing w:before="40" w:after="40"/>
            </w:pPr>
            <w:r>
              <w:rPr>
                <w:rFonts w:ascii="Calibri" w:hAnsi="Calibri"/>
                <w:b/>
                <w:color w:val="FFFFFF"/>
                <w:sz w:val="18"/>
              </w:rPr>
              <w:t>Format</w:t>
            </w:r>
          </w:p>
        </w:tc>
      </w:tr>
      <w:tr>
        <w:tc>
          <w:tcPr>
            <w:tcW w:type="dxa" w:w="2880"/>
            <w:shd w:val="clear" w:color="auto" w:fill="FFFFFF"/>
          </w:tcPr>
          <w:p>
            <w:pPr>
              <w:spacing w:before="20" w:after="20"/>
            </w:pPr>
            <w:r>
              <w:rPr>
                <w:rFonts w:ascii="Calibri" w:hAnsi="Calibri"/>
                <w:sz w:val="18"/>
              </w:rPr>
              <w:t>Aircraft Logbook</w:t>
            </w:r>
          </w:p>
        </w:tc>
        <w:tc>
          <w:tcPr>
            <w:tcW w:type="dxa" w:w="4608"/>
            <w:shd w:val="clear" w:color="auto" w:fill="FFFFFF"/>
          </w:tcPr>
          <w:p>
            <w:pPr>
              <w:spacing w:before="20" w:after="20"/>
            </w:pPr>
            <w:r>
              <w:rPr>
                <w:rFonts w:ascii="Calibri" w:hAnsi="Calibri"/>
                <w:sz w:val="18"/>
              </w:rPr>
              <w:t>Continuous log of FH, FC, modifications, major maintenance</w:t>
            </w:r>
          </w:p>
        </w:tc>
        <w:tc>
          <w:tcPr>
            <w:tcW w:type="dxa" w:w="1872"/>
            <w:shd w:val="clear" w:color="auto" w:fill="FFFFFF"/>
          </w:tcPr>
          <w:p>
            <w:pPr>
              <w:spacing w:before="20" w:after="20"/>
            </w:pPr>
            <w:r>
              <w:rPr>
                <w:rFonts w:ascii="Calibri" w:hAnsi="Calibri"/>
                <w:sz w:val="18"/>
              </w:rPr>
              <w:t>Original + PDF scan</w:t>
            </w:r>
          </w:p>
        </w:tc>
      </w:tr>
      <w:tr>
        <w:tc>
          <w:tcPr>
            <w:tcW w:type="dxa" w:w="2880"/>
            <w:shd w:val="clear" w:color="auto" w:fill="F4F7FC"/>
          </w:tcPr>
          <w:p>
            <w:pPr>
              <w:spacing w:before="20" w:after="20"/>
            </w:pPr>
            <w:r>
              <w:rPr>
                <w:rFonts w:ascii="Calibri" w:hAnsi="Calibri"/>
                <w:sz w:val="18"/>
              </w:rPr>
              <w:t>Engine Logbooks (×2)</w:t>
            </w:r>
          </w:p>
        </w:tc>
        <w:tc>
          <w:tcPr>
            <w:tcW w:type="dxa" w:w="4608"/>
            <w:shd w:val="clear" w:color="auto" w:fill="F4F7FC"/>
          </w:tcPr>
          <w:p>
            <w:pPr>
              <w:spacing w:before="20" w:after="20"/>
            </w:pPr>
            <w:r>
              <w:rPr>
                <w:rFonts w:ascii="Calibri" w:hAnsi="Calibri"/>
                <w:sz w:val="18"/>
              </w:rPr>
              <w:t>Continuous log per engine FH, FC, TSO, shop visit history</w:t>
            </w:r>
          </w:p>
        </w:tc>
        <w:tc>
          <w:tcPr>
            <w:tcW w:type="dxa" w:w="1872"/>
            <w:shd w:val="clear" w:color="auto" w:fill="F4F7FC"/>
          </w:tcPr>
          <w:p>
            <w:pPr>
              <w:spacing w:before="20" w:after="20"/>
            </w:pPr>
            <w:r>
              <w:rPr>
                <w:rFonts w:ascii="Calibri" w:hAnsi="Calibri"/>
                <w:sz w:val="18"/>
              </w:rPr>
              <w:t>Original + PDF scan</w:t>
            </w:r>
          </w:p>
        </w:tc>
      </w:tr>
      <w:tr>
        <w:tc>
          <w:tcPr>
            <w:tcW w:type="dxa" w:w="2880"/>
            <w:shd w:val="clear" w:color="auto" w:fill="FFFFFF"/>
          </w:tcPr>
          <w:p>
            <w:pPr>
              <w:spacing w:before="20" w:after="20"/>
            </w:pPr>
            <w:r>
              <w:rPr>
                <w:rFonts w:ascii="Calibri" w:hAnsi="Calibri"/>
                <w:sz w:val="18"/>
              </w:rPr>
              <w:t>APU Logbook</w:t>
            </w:r>
          </w:p>
        </w:tc>
        <w:tc>
          <w:tcPr>
            <w:tcW w:type="dxa" w:w="4608"/>
            <w:shd w:val="clear" w:color="auto" w:fill="FFFFFF"/>
          </w:tcPr>
          <w:p>
            <w:pPr>
              <w:spacing w:before="20" w:after="20"/>
            </w:pPr>
            <w:r>
              <w:rPr>
                <w:rFonts w:ascii="Calibri" w:hAnsi="Calibri"/>
                <w:sz w:val="18"/>
              </w:rPr>
              <w:t>APU hours, cycles, shop visit history</w:t>
            </w:r>
          </w:p>
        </w:tc>
        <w:tc>
          <w:tcPr>
            <w:tcW w:type="dxa" w:w="1872"/>
            <w:shd w:val="clear" w:color="auto" w:fill="FFFFFF"/>
          </w:tcPr>
          <w:p>
            <w:pPr>
              <w:spacing w:before="20" w:after="20"/>
            </w:pPr>
            <w:r>
              <w:rPr>
                <w:rFonts w:ascii="Calibri" w:hAnsi="Calibri"/>
                <w:sz w:val="18"/>
              </w:rPr>
              <w:t>Original + PDF scan</w:t>
            </w:r>
          </w:p>
        </w:tc>
      </w:tr>
      <w:tr>
        <w:tc>
          <w:tcPr>
            <w:tcW w:type="dxa" w:w="2880"/>
            <w:shd w:val="clear" w:color="auto" w:fill="F4F7FC"/>
          </w:tcPr>
          <w:p>
            <w:pPr>
              <w:spacing w:before="20" w:after="20"/>
            </w:pPr>
            <w:r>
              <w:rPr>
                <w:rFonts w:ascii="Calibri" w:hAnsi="Calibri"/>
                <w:sz w:val="18"/>
              </w:rPr>
              <w:t>Airworthiness Directives</w:t>
            </w:r>
          </w:p>
        </w:tc>
        <w:tc>
          <w:tcPr>
            <w:tcW w:type="dxa" w:w="4608"/>
            <w:shd w:val="clear" w:color="auto" w:fill="F4F7FC"/>
          </w:tcPr>
          <w:p>
            <w:pPr>
              <w:spacing w:before="20" w:after="20"/>
            </w:pPr>
            <w:r>
              <w:rPr>
                <w:rFonts w:ascii="Calibri" w:hAnsi="Calibri"/>
                <w:sz w:val="18"/>
              </w:rPr>
              <w:t>Compliance record for all applicable ADs incl. repetitive items</w:t>
            </w:r>
          </w:p>
        </w:tc>
        <w:tc>
          <w:tcPr>
            <w:tcW w:type="dxa" w:w="1872"/>
            <w:shd w:val="clear" w:color="auto" w:fill="F4F7FC"/>
          </w:tcPr>
          <w:p>
            <w:pPr>
              <w:spacing w:before="20" w:after="20"/>
            </w:pPr>
            <w:r>
              <w:rPr>
                <w:rFonts w:ascii="Calibri" w:hAnsi="Calibri"/>
                <w:sz w:val="18"/>
              </w:rPr>
              <w:t>Electronic DB + paper</w:t>
            </w:r>
          </w:p>
        </w:tc>
      </w:tr>
      <w:tr>
        <w:tc>
          <w:tcPr>
            <w:tcW w:type="dxa" w:w="2880"/>
            <w:shd w:val="clear" w:color="auto" w:fill="FFFFFF"/>
          </w:tcPr>
          <w:p>
            <w:pPr>
              <w:spacing w:before="20" w:after="20"/>
            </w:pPr>
            <w:r>
              <w:rPr>
                <w:rFonts w:ascii="Calibri" w:hAnsi="Calibri"/>
                <w:sz w:val="18"/>
              </w:rPr>
              <w:t>Service Bulletin Status</w:t>
            </w:r>
          </w:p>
        </w:tc>
        <w:tc>
          <w:tcPr>
            <w:tcW w:type="dxa" w:w="4608"/>
            <w:shd w:val="clear" w:color="auto" w:fill="FFFFFF"/>
          </w:tcPr>
          <w:p>
            <w:pPr>
              <w:spacing w:before="20" w:after="20"/>
            </w:pPr>
            <w:r>
              <w:rPr>
                <w:rFonts w:ascii="Calibri" w:hAnsi="Calibri"/>
                <w:sz w:val="18"/>
              </w:rPr>
              <w:t>Master list of applicable SBs with incorporated/not status</w:t>
            </w:r>
          </w:p>
        </w:tc>
        <w:tc>
          <w:tcPr>
            <w:tcW w:type="dxa" w:w="1872"/>
            <w:shd w:val="clear" w:color="auto" w:fill="FFFFFF"/>
          </w:tcPr>
          <w:p>
            <w:pPr>
              <w:spacing w:before="20" w:after="20"/>
            </w:pPr>
            <w:r>
              <w:rPr>
                <w:rFonts w:ascii="Calibri" w:hAnsi="Calibri"/>
                <w:sz w:val="18"/>
              </w:rPr>
              <w:t>Electronic spreadsheet</w:t>
            </w:r>
          </w:p>
        </w:tc>
      </w:tr>
      <w:tr>
        <w:tc>
          <w:tcPr>
            <w:tcW w:type="dxa" w:w="2880"/>
            <w:shd w:val="clear" w:color="auto" w:fill="F4F7FC"/>
          </w:tcPr>
          <w:p>
            <w:pPr>
              <w:spacing w:before="20" w:after="20"/>
            </w:pPr>
            <w:r>
              <w:rPr>
                <w:rFonts w:ascii="Calibri" w:hAnsi="Calibri"/>
                <w:sz w:val="18"/>
              </w:rPr>
              <w:t>Component Status List</w:t>
            </w:r>
          </w:p>
        </w:tc>
        <w:tc>
          <w:tcPr>
            <w:tcW w:type="dxa" w:w="4608"/>
            <w:shd w:val="clear" w:color="auto" w:fill="F4F7FC"/>
          </w:tcPr>
          <w:p>
            <w:pPr>
              <w:spacing w:before="20" w:after="20"/>
            </w:pPr>
            <w:r>
              <w:rPr>
                <w:rFonts w:ascii="Calibri" w:hAnsi="Calibri"/>
                <w:sz w:val="18"/>
              </w:rPr>
              <w:t>All tracked components: P/N, S/N, TSO, TSI, time remaining</w:t>
            </w:r>
          </w:p>
        </w:tc>
        <w:tc>
          <w:tcPr>
            <w:tcW w:type="dxa" w:w="1872"/>
            <w:shd w:val="clear" w:color="auto" w:fill="F4F7FC"/>
          </w:tcPr>
          <w:p>
            <w:pPr>
              <w:spacing w:before="20" w:after="20"/>
            </w:pPr>
            <w:r>
              <w:rPr>
                <w:rFonts w:ascii="Calibri" w:hAnsi="Calibri"/>
                <w:sz w:val="18"/>
              </w:rPr>
              <w:t>Electronic CSV</w:t>
            </w:r>
          </w:p>
        </w:tc>
      </w:tr>
      <w:tr>
        <w:tc>
          <w:tcPr>
            <w:tcW w:type="dxa" w:w="2880"/>
            <w:shd w:val="clear" w:color="auto" w:fill="FFFFFF"/>
          </w:tcPr>
          <w:p>
            <w:pPr>
              <w:spacing w:before="20" w:after="20"/>
            </w:pPr>
            <w:r>
              <w:rPr>
                <w:rFonts w:ascii="Calibri" w:hAnsi="Calibri"/>
                <w:sz w:val="18"/>
              </w:rPr>
              <w:t>LLP Tracking Sheets</w:t>
            </w:r>
          </w:p>
        </w:tc>
        <w:tc>
          <w:tcPr>
            <w:tcW w:type="dxa" w:w="4608"/>
            <w:shd w:val="clear" w:color="auto" w:fill="FFFFFF"/>
          </w:tcPr>
          <w:p>
            <w:pPr>
              <w:spacing w:before="20" w:after="20"/>
            </w:pPr>
            <w:r>
              <w:rPr>
                <w:rFonts w:ascii="Calibri" w:hAnsi="Calibri"/>
                <w:sz w:val="18"/>
              </w:rPr>
              <w:t>Module-by-module LLP tracking per engine</w:t>
            </w:r>
          </w:p>
        </w:tc>
        <w:tc>
          <w:tcPr>
            <w:tcW w:type="dxa" w:w="1872"/>
            <w:shd w:val="clear" w:color="auto" w:fill="FFFFFF"/>
          </w:tcPr>
          <w:p>
            <w:pPr>
              <w:spacing w:before="20" w:after="20"/>
            </w:pPr>
            <w:r>
              <w:rPr>
                <w:rFonts w:ascii="Calibri" w:hAnsi="Calibri"/>
                <w:sz w:val="18"/>
              </w:rPr>
              <w:t>Electronic CSV</w:t>
            </w:r>
          </w:p>
        </w:tc>
      </w:tr>
      <w:tr>
        <w:tc>
          <w:tcPr>
            <w:tcW w:type="dxa" w:w="2880"/>
            <w:shd w:val="clear" w:color="auto" w:fill="F4F7FC"/>
          </w:tcPr>
          <w:p>
            <w:pPr>
              <w:spacing w:before="20" w:after="20"/>
            </w:pPr>
            <w:r>
              <w:rPr>
                <w:rFonts w:ascii="Calibri" w:hAnsi="Calibri"/>
                <w:sz w:val="18"/>
              </w:rPr>
              <w:t>C-Check Work Package</w:t>
            </w:r>
          </w:p>
        </w:tc>
        <w:tc>
          <w:tcPr>
            <w:tcW w:type="dxa" w:w="4608"/>
            <w:shd w:val="clear" w:color="auto" w:fill="F4F7FC"/>
          </w:tcPr>
          <w:p>
            <w:pPr>
              <w:spacing w:before="20" w:after="20"/>
            </w:pPr>
            <w:r>
              <w:rPr>
                <w:rFonts w:ascii="Calibri" w:hAnsi="Calibri"/>
                <w:sz w:val="18"/>
              </w:rPr>
              <w:t>Complete work card archive from last C-Check</w:t>
            </w:r>
          </w:p>
        </w:tc>
        <w:tc>
          <w:tcPr>
            <w:tcW w:type="dxa" w:w="1872"/>
            <w:shd w:val="clear" w:color="auto" w:fill="F4F7FC"/>
          </w:tcPr>
          <w:p>
            <w:pPr>
              <w:spacing w:before="20" w:after="20"/>
            </w:pPr>
            <w:r>
              <w:rPr>
                <w:rFonts w:ascii="Calibri" w:hAnsi="Calibri"/>
                <w:sz w:val="18"/>
              </w:rPr>
              <w:t>PDF, indexed</w:t>
            </w:r>
          </w:p>
        </w:tc>
      </w:tr>
      <w:tr>
        <w:tc>
          <w:tcPr>
            <w:tcW w:type="dxa" w:w="2880"/>
            <w:shd w:val="clear" w:color="auto" w:fill="FFFFFF"/>
          </w:tcPr>
          <w:p>
            <w:pPr>
              <w:spacing w:before="20" w:after="20"/>
            </w:pPr>
            <w:r>
              <w:rPr>
                <w:rFonts w:ascii="Calibri" w:hAnsi="Calibri"/>
                <w:sz w:val="18"/>
              </w:rPr>
              <w:t>Engine SV Reports</w:t>
            </w:r>
          </w:p>
        </w:tc>
        <w:tc>
          <w:tcPr>
            <w:tcW w:type="dxa" w:w="4608"/>
            <w:shd w:val="clear" w:color="auto" w:fill="FFFFFF"/>
          </w:tcPr>
          <w:p>
            <w:pPr>
              <w:spacing w:before="20" w:after="20"/>
            </w:pPr>
            <w:r>
              <w:rPr>
                <w:rFonts w:ascii="Calibri" w:hAnsi="Calibri"/>
                <w:sz w:val="18"/>
              </w:rPr>
              <w:t>Teardown and build-up reports from last PRSV</w:t>
            </w:r>
          </w:p>
        </w:tc>
        <w:tc>
          <w:tcPr>
            <w:tcW w:type="dxa" w:w="1872"/>
            <w:shd w:val="clear" w:color="auto" w:fill="FFFFFF"/>
          </w:tcPr>
          <w:p>
            <w:pPr>
              <w:spacing w:before="20" w:after="20"/>
            </w:pPr>
            <w:r>
              <w:rPr>
                <w:rFonts w:ascii="Calibri" w:hAnsi="Calibri"/>
                <w:sz w:val="18"/>
              </w:rPr>
              <w:t>PDF scans</w:t>
            </w:r>
          </w:p>
        </w:tc>
      </w:tr>
      <w:tr>
        <w:tc>
          <w:tcPr>
            <w:tcW w:type="dxa" w:w="2880"/>
            <w:shd w:val="clear" w:color="auto" w:fill="F4F7FC"/>
          </w:tcPr>
          <w:p>
            <w:pPr>
              <w:spacing w:before="20" w:after="20"/>
            </w:pPr>
            <w:r>
              <w:rPr>
                <w:rFonts w:ascii="Calibri" w:hAnsi="Calibri"/>
                <w:sz w:val="18"/>
              </w:rPr>
              <w:t>Modification / STC Records</w:t>
            </w:r>
          </w:p>
        </w:tc>
        <w:tc>
          <w:tcPr>
            <w:tcW w:type="dxa" w:w="4608"/>
            <w:shd w:val="clear" w:color="auto" w:fill="F4F7FC"/>
          </w:tcPr>
          <w:p>
            <w:pPr>
              <w:spacing w:before="20" w:after="20"/>
            </w:pPr>
            <w:r>
              <w:rPr>
                <w:rFonts w:ascii="Calibri" w:hAnsi="Calibri"/>
                <w:sz w:val="18"/>
              </w:rPr>
              <w:t>All STCs, FAA 337s, approved mod data</w:t>
            </w:r>
          </w:p>
        </w:tc>
        <w:tc>
          <w:tcPr>
            <w:tcW w:type="dxa" w:w="1872"/>
            <w:shd w:val="clear" w:color="auto" w:fill="F4F7FC"/>
          </w:tcPr>
          <w:p>
            <w:pPr>
              <w:spacing w:before="20" w:after="20"/>
            </w:pPr>
            <w:r>
              <w:rPr>
                <w:rFonts w:ascii="Calibri" w:hAnsi="Calibri"/>
                <w:sz w:val="18"/>
              </w:rPr>
              <w:t>Original + PDF</w:t>
            </w:r>
          </w:p>
        </w:tc>
      </w:tr>
      <w:tr>
        <w:tc>
          <w:tcPr>
            <w:tcW w:type="dxa" w:w="2880"/>
            <w:shd w:val="clear" w:color="auto" w:fill="FFFFFF"/>
          </w:tcPr>
          <w:p>
            <w:pPr>
              <w:spacing w:before="20" w:after="20"/>
            </w:pPr>
            <w:r>
              <w:rPr>
                <w:rFonts w:ascii="Calibri" w:hAnsi="Calibri"/>
                <w:sz w:val="18"/>
              </w:rPr>
              <w:t>Weight &amp; Balance Report</w:t>
            </w:r>
          </w:p>
        </w:tc>
        <w:tc>
          <w:tcPr>
            <w:tcW w:type="dxa" w:w="4608"/>
            <w:shd w:val="clear" w:color="auto" w:fill="FFFFFF"/>
          </w:tcPr>
          <w:p>
            <w:pPr>
              <w:spacing w:before="20" w:after="20"/>
            </w:pPr>
            <w:r>
              <w:rPr>
                <w:rFonts w:ascii="Calibri" w:hAnsi="Calibri"/>
                <w:sz w:val="18"/>
              </w:rPr>
              <w:t>Current W&amp;B issued by approved organisation</w:t>
            </w:r>
          </w:p>
        </w:tc>
        <w:tc>
          <w:tcPr>
            <w:tcW w:type="dxa" w:w="1872"/>
            <w:shd w:val="clear" w:color="auto" w:fill="FFFFFF"/>
          </w:tcPr>
          <w:p>
            <w:pPr>
              <w:spacing w:before="20" w:after="20"/>
            </w:pPr>
            <w:r>
              <w:rPr>
                <w:rFonts w:ascii="Calibri" w:hAnsi="Calibri"/>
                <w:sz w:val="18"/>
              </w:rPr>
              <w:t>Original + PDF</w:t>
            </w:r>
          </w:p>
        </w:tc>
      </w:tr>
      <w:tr>
        <w:tc>
          <w:tcPr>
            <w:tcW w:type="dxa" w:w="2880"/>
            <w:shd w:val="clear" w:color="auto" w:fill="F4F7FC"/>
          </w:tcPr>
          <w:p>
            <w:pPr>
              <w:spacing w:before="20" w:after="20"/>
            </w:pPr>
            <w:r>
              <w:rPr>
                <w:rFonts w:ascii="Calibri" w:hAnsi="Calibri"/>
                <w:sz w:val="18"/>
              </w:rPr>
              <w:t>Avionics Software Status</w:t>
            </w:r>
          </w:p>
        </w:tc>
        <w:tc>
          <w:tcPr>
            <w:tcW w:type="dxa" w:w="4608"/>
            <w:shd w:val="clear" w:color="auto" w:fill="F4F7FC"/>
          </w:tcPr>
          <w:p>
            <w:pPr>
              <w:spacing w:before="20" w:after="20"/>
            </w:pPr>
            <w:r>
              <w:rPr>
                <w:rFonts w:ascii="Calibri" w:hAnsi="Calibri"/>
                <w:sz w:val="18"/>
              </w:rPr>
              <w:t>Part numbers and versions of all LRU software</w:t>
            </w:r>
          </w:p>
        </w:tc>
        <w:tc>
          <w:tcPr>
            <w:tcW w:type="dxa" w:w="1872"/>
            <w:shd w:val="clear" w:color="auto" w:fill="F4F7FC"/>
          </w:tcPr>
          <w:p>
            <w:pPr>
              <w:spacing w:before="20" w:after="20"/>
            </w:pPr>
            <w:r>
              <w:rPr>
                <w:rFonts w:ascii="Calibri" w:hAnsi="Calibri"/>
                <w:sz w:val="18"/>
              </w:rPr>
              <w:t>Electronic</w:t>
            </w:r>
          </w:p>
        </w:tc>
      </w:tr>
      <w:tr>
        <w:tc>
          <w:tcPr>
            <w:tcW w:type="dxa" w:w="2880"/>
            <w:shd w:val="clear" w:color="auto" w:fill="FFFFFF"/>
          </w:tcPr>
          <w:p>
            <w:pPr>
              <w:spacing w:before="20" w:after="20"/>
            </w:pPr>
            <w:r>
              <w:rPr>
                <w:rFonts w:ascii="Calibri" w:hAnsi="Calibri"/>
                <w:sz w:val="18"/>
              </w:rPr>
              <w:t>Deferred Defect Log</w:t>
            </w:r>
          </w:p>
        </w:tc>
        <w:tc>
          <w:tcPr>
            <w:tcW w:type="dxa" w:w="4608"/>
            <w:shd w:val="clear" w:color="auto" w:fill="FFFFFF"/>
          </w:tcPr>
          <w:p>
            <w:pPr>
              <w:spacing w:before="20" w:after="20"/>
            </w:pPr>
            <w:r>
              <w:rPr>
                <w:rFonts w:ascii="Calibri" w:hAnsi="Calibri"/>
                <w:sz w:val="18"/>
              </w:rPr>
              <w:t>Open MEL/CDL items at delivery</w:t>
            </w:r>
          </w:p>
        </w:tc>
        <w:tc>
          <w:tcPr>
            <w:tcW w:type="dxa" w:w="1872"/>
            <w:shd w:val="clear" w:color="auto" w:fill="FFFFFF"/>
          </w:tcPr>
          <w:p>
            <w:pPr>
              <w:spacing w:before="20" w:after="20"/>
            </w:pPr>
            <w:r>
              <w:rPr>
                <w:rFonts w:ascii="Calibri" w:hAnsi="Calibri"/>
                <w:sz w:val="18"/>
              </w:rPr>
              <w:t>Electronic + paper</w:t>
            </w:r>
          </w:p>
        </w:tc>
      </w:tr>
    </w:tbl>
    <w:p/>
    <w:p>
      <w:r>
        <w:br w:type="page"/>
      </w:r>
    </w:p>
    <w:p>
      <w:pPr>
        <w:pStyle w:val="Heading2"/>
      </w:pPr>
      <w:r>
        <w:rPr>
          <w:rFonts w:ascii="Calibri" w:hAnsi="Calibri"/>
          <w:b/>
          <w:color w:val="0D2B55"/>
          <w:sz w:val="24"/>
        </w:rPr>
        <w:t>SCHEDULE 3 — MAINTENANCE RESERVE RATES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448"/>
            <w:shd w:val="clear" w:color="auto" w:fill="0D2B55"/>
          </w:tcPr>
          <w:p>
            <w:pPr>
              <w:spacing w:before="40" w:after="40"/>
            </w:pPr>
            <w:r>
              <w:rPr>
                <w:rFonts w:ascii="Calibri" w:hAnsi="Calibri"/>
                <w:b/>
                <w:color w:val="FFFFFF"/>
                <w:sz w:val="18"/>
              </w:rPr>
              <w:t>Component</w:t>
            </w:r>
          </w:p>
        </w:tc>
        <w:tc>
          <w:tcPr>
            <w:tcW w:type="dxa" w:w="1440"/>
            <w:shd w:val="clear" w:color="auto" w:fill="0D2B55"/>
          </w:tcPr>
          <w:p>
            <w:pPr>
              <w:spacing w:before="40" w:after="40"/>
            </w:pPr>
            <w:r>
              <w:rPr>
                <w:rFonts w:ascii="Calibri" w:hAnsi="Calibri"/>
                <w:b/>
                <w:color w:val="FFFFFF"/>
                <w:sz w:val="18"/>
              </w:rPr>
              <w:t>Rate</w:t>
            </w:r>
          </w:p>
        </w:tc>
        <w:tc>
          <w:tcPr>
            <w:tcW w:type="dxa" w:w="1296"/>
            <w:shd w:val="clear" w:color="auto" w:fill="0D2B55"/>
          </w:tcPr>
          <w:p>
            <w:pPr>
              <w:spacing w:before="40" w:after="40"/>
            </w:pPr>
            <w:r>
              <w:rPr>
                <w:rFonts w:ascii="Calibri" w:hAnsi="Calibri"/>
                <w:b/>
                <w:color w:val="FFFFFF"/>
                <w:sz w:val="18"/>
              </w:rPr>
              <w:t>Escalation</w:t>
            </w:r>
          </w:p>
        </w:tc>
        <w:tc>
          <w:tcPr>
            <w:tcW w:type="dxa" w:w="1872"/>
            <w:shd w:val="clear" w:color="auto" w:fill="0D2B55"/>
          </w:tcPr>
          <w:p>
            <w:pPr>
              <w:spacing w:before="40" w:after="40"/>
            </w:pPr>
            <w:r>
              <w:rPr>
                <w:rFonts w:ascii="Calibri" w:hAnsi="Calibri"/>
                <w:b/>
                <w:color w:val="FFFFFF"/>
                <w:sz w:val="18"/>
              </w:rPr>
              <w:t>Cap</w:t>
            </w:r>
          </w:p>
        </w:tc>
        <w:tc>
          <w:tcPr>
            <w:tcW w:type="dxa" w:w="3744"/>
            <w:shd w:val="clear" w:color="auto" w:fill="0D2B55"/>
          </w:tcPr>
          <w:p>
            <w:pPr>
              <w:spacing w:before="40" w:after="40"/>
            </w:pPr>
            <w:r>
              <w:rPr>
                <w:rFonts w:ascii="Calibri" w:hAnsi="Calibri"/>
                <w:b/>
                <w:color w:val="FFFFFF"/>
                <w:sz w:val="18"/>
              </w:rPr>
              <w:t>Eligible Cost Categories</w:t>
            </w:r>
          </w:p>
        </w:tc>
      </w:tr>
      <w:tr>
        <w:tc>
          <w:tcPr>
            <w:tcW w:type="dxa" w:w="2448"/>
            <w:shd w:val="clear" w:color="auto" w:fill="FFFFFF"/>
          </w:tcPr>
          <w:p>
            <w:pPr>
              <w:spacing w:before="20" w:after="20"/>
            </w:pPr>
            <w:r>
              <w:rPr>
                <w:rFonts w:ascii="Calibri" w:hAnsi="Calibri"/>
                <w:sz w:val="18"/>
              </w:rPr>
              <w:t>Airframe A/B Check</w:t>
            </w:r>
          </w:p>
        </w:tc>
        <w:tc>
          <w:tcPr>
            <w:tcW w:type="dxa" w:w="1440"/>
            <w:shd w:val="clear" w:color="auto" w:fill="FFFFFF"/>
          </w:tcPr>
          <w:p>
            <w:pPr>
              <w:spacing w:before="20" w:after="20"/>
            </w:pPr>
            <w:r>
              <w:rPr>
                <w:rFonts w:ascii="Calibri" w:hAnsi="Calibri"/>
                <w:sz w:val="18"/>
              </w:rPr>
              <w:t>USD 120/FH</w:t>
            </w:r>
          </w:p>
        </w:tc>
        <w:tc>
          <w:tcPr>
            <w:tcW w:type="dxa" w:w="1296"/>
            <w:shd w:val="clear" w:color="auto" w:fill="FFFFFF"/>
          </w:tcPr>
          <w:p>
            <w:pPr>
              <w:spacing w:before="20" w:after="20"/>
            </w:pPr>
            <w:r>
              <w:rPr>
                <w:rFonts w:ascii="Calibri" w:hAnsi="Calibri"/>
                <w:sz w:val="18"/>
              </w:rPr>
              <w:t>CPI-U</w:t>
            </w:r>
          </w:p>
        </w:tc>
        <w:tc>
          <w:tcPr>
            <w:tcW w:type="dxa" w:w="1872"/>
            <w:shd w:val="clear" w:color="auto" w:fill="FFFFFF"/>
          </w:tcPr>
          <w:p>
            <w:pPr>
              <w:spacing w:before="20" w:after="20"/>
            </w:pPr>
            <w:r>
              <w:rPr>
                <w:rFonts w:ascii="Calibri" w:hAnsi="Calibri"/>
                <w:sz w:val="18"/>
              </w:rPr>
              <w:t>USD 350,000/event</w:t>
            </w:r>
          </w:p>
        </w:tc>
        <w:tc>
          <w:tcPr>
            <w:tcW w:type="dxa" w:w="3744"/>
            <w:shd w:val="clear" w:color="auto" w:fill="FFFFFF"/>
          </w:tcPr>
          <w:p>
            <w:pPr>
              <w:spacing w:before="20" w:after="20"/>
            </w:pPr>
            <w:r>
              <w:rPr>
                <w:rFonts w:ascii="Calibri" w:hAnsi="Calibri"/>
                <w:sz w:val="18"/>
              </w:rPr>
              <w:t>Labour, parts, NDT, consumables per AMM</w:t>
            </w:r>
          </w:p>
        </w:tc>
      </w:tr>
      <w:tr>
        <w:tc>
          <w:tcPr>
            <w:tcW w:type="dxa" w:w="2448"/>
            <w:shd w:val="clear" w:color="auto" w:fill="F4F7FC"/>
          </w:tcPr>
          <w:p>
            <w:pPr>
              <w:spacing w:before="20" w:after="20"/>
            </w:pPr>
            <w:r>
              <w:rPr>
                <w:rFonts w:ascii="Calibri" w:hAnsi="Calibri"/>
                <w:sz w:val="18"/>
              </w:rPr>
              <w:t>Airframe C Check</w:t>
            </w:r>
          </w:p>
        </w:tc>
        <w:tc>
          <w:tcPr>
            <w:tcW w:type="dxa" w:w="1440"/>
            <w:shd w:val="clear" w:color="auto" w:fill="F4F7FC"/>
          </w:tcPr>
          <w:p>
            <w:pPr>
              <w:spacing w:before="20" w:after="20"/>
            </w:pPr>
            <w:r>
              <w:rPr>
                <w:rFonts w:ascii="Calibri" w:hAnsi="Calibri"/>
                <w:sz w:val="18"/>
              </w:rPr>
              <w:t>USD 360/FH</w:t>
            </w:r>
          </w:p>
        </w:tc>
        <w:tc>
          <w:tcPr>
            <w:tcW w:type="dxa" w:w="1296"/>
            <w:shd w:val="clear" w:color="auto" w:fill="F4F7FC"/>
          </w:tcPr>
          <w:p>
            <w:pPr>
              <w:spacing w:before="20" w:after="20"/>
            </w:pPr>
            <w:r>
              <w:rPr>
                <w:rFonts w:ascii="Calibri" w:hAnsi="Calibri"/>
                <w:sz w:val="18"/>
              </w:rPr>
              <w:t>CPI-U</w:t>
            </w:r>
          </w:p>
        </w:tc>
        <w:tc>
          <w:tcPr>
            <w:tcW w:type="dxa" w:w="1872"/>
            <w:shd w:val="clear" w:color="auto" w:fill="F4F7FC"/>
          </w:tcPr>
          <w:p>
            <w:pPr>
              <w:spacing w:before="20" w:after="20"/>
            </w:pPr>
            <w:r>
              <w:rPr>
                <w:rFonts w:ascii="Calibri" w:hAnsi="Calibri"/>
                <w:sz w:val="18"/>
              </w:rPr>
              <w:t>USD 4,500,000/event</w:t>
            </w:r>
          </w:p>
        </w:tc>
        <w:tc>
          <w:tcPr>
            <w:tcW w:type="dxa" w:w="3744"/>
            <w:shd w:val="clear" w:color="auto" w:fill="F4F7FC"/>
          </w:tcPr>
          <w:p>
            <w:pPr>
              <w:spacing w:before="20" w:after="20"/>
            </w:pPr>
            <w:r>
              <w:rPr>
                <w:rFonts w:ascii="Calibri" w:hAnsi="Calibri"/>
                <w:sz w:val="18"/>
              </w:rPr>
              <w:t>As above plus structural repairs</w:t>
            </w:r>
          </w:p>
        </w:tc>
      </w:tr>
      <w:tr>
        <w:tc>
          <w:tcPr>
            <w:tcW w:type="dxa" w:w="2448"/>
            <w:shd w:val="clear" w:color="auto" w:fill="FFFFFF"/>
          </w:tcPr>
          <w:p>
            <w:pPr>
              <w:spacing w:before="20" w:after="20"/>
            </w:pPr>
            <w:r>
              <w:rPr>
                <w:rFonts w:ascii="Calibri" w:hAnsi="Calibri"/>
                <w:sz w:val="18"/>
              </w:rPr>
              <w:t>Engine LLP – No. 1</w:t>
            </w:r>
          </w:p>
        </w:tc>
        <w:tc>
          <w:tcPr>
            <w:tcW w:type="dxa" w:w="1440"/>
            <w:shd w:val="clear" w:color="auto" w:fill="FFFFFF"/>
          </w:tcPr>
          <w:p>
            <w:pPr>
              <w:spacing w:before="20" w:after="20"/>
            </w:pPr>
            <w:r>
              <w:rPr>
                <w:rFonts w:ascii="Calibri" w:hAnsi="Calibri"/>
                <w:sz w:val="18"/>
              </w:rPr>
              <w:t>USD 185/FC</w:t>
            </w:r>
          </w:p>
        </w:tc>
        <w:tc>
          <w:tcPr>
            <w:tcW w:type="dxa" w:w="1296"/>
            <w:shd w:val="clear" w:color="auto" w:fill="FFFFFF"/>
          </w:tcPr>
          <w:p>
            <w:pPr>
              <w:spacing w:before="20" w:after="20"/>
            </w:pPr>
            <w:r>
              <w:rPr>
                <w:rFonts w:ascii="Calibri" w:hAnsi="Calibri"/>
                <w:sz w:val="18"/>
              </w:rPr>
              <w:t>CPI-U + 1%</w:t>
            </w:r>
          </w:p>
        </w:tc>
        <w:tc>
          <w:tcPr>
            <w:tcW w:type="dxa" w:w="1872"/>
            <w:shd w:val="clear" w:color="auto" w:fill="FFFFFF"/>
          </w:tcPr>
          <w:p>
            <w:pPr>
              <w:spacing w:before="20" w:after="20"/>
            </w:pPr>
            <w:r>
              <w:rPr>
                <w:rFonts w:ascii="Calibri" w:hAnsi="Calibri"/>
                <w:sz w:val="18"/>
              </w:rPr>
              <w:t>USD 2,800,000/module set</w:t>
            </w:r>
          </w:p>
        </w:tc>
        <w:tc>
          <w:tcPr>
            <w:tcW w:type="dxa" w:w="3744"/>
            <w:shd w:val="clear" w:color="auto" w:fill="FFFFFF"/>
          </w:tcPr>
          <w:p>
            <w:pPr>
              <w:spacing w:before="20" w:after="20"/>
            </w:pPr>
            <w:r>
              <w:rPr>
                <w:rFonts w:ascii="Calibri" w:hAnsi="Calibri"/>
                <w:sz w:val="18"/>
              </w:rPr>
              <w:t>OEM LLP parts with 8130-3/Form 1</w:t>
            </w:r>
          </w:p>
        </w:tc>
      </w:tr>
      <w:tr>
        <w:tc>
          <w:tcPr>
            <w:tcW w:type="dxa" w:w="2448"/>
            <w:shd w:val="clear" w:color="auto" w:fill="F4F7FC"/>
          </w:tcPr>
          <w:p>
            <w:pPr>
              <w:spacing w:before="20" w:after="20"/>
            </w:pPr>
            <w:r>
              <w:rPr>
                <w:rFonts w:ascii="Calibri" w:hAnsi="Calibri"/>
                <w:sz w:val="18"/>
              </w:rPr>
              <w:t>Engine LLP – No. 2</w:t>
            </w:r>
          </w:p>
        </w:tc>
        <w:tc>
          <w:tcPr>
            <w:tcW w:type="dxa" w:w="1440"/>
            <w:shd w:val="clear" w:color="auto" w:fill="F4F7FC"/>
          </w:tcPr>
          <w:p>
            <w:pPr>
              <w:spacing w:before="20" w:after="20"/>
            </w:pPr>
            <w:r>
              <w:rPr>
                <w:rFonts w:ascii="Calibri" w:hAnsi="Calibri"/>
                <w:sz w:val="18"/>
              </w:rPr>
              <w:t>USD 185/FC</w:t>
            </w:r>
          </w:p>
        </w:tc>
        <w:tc>
          <w:tcPr>
            <w:tcW w:type="dxa" w:w="1296"/>
            <w:shd w:val="clear" w:color="auto" w:fill="F4F7FC"/>
          </w:tcPr>
          <w:p>
            <w:pPr>
              <w:spacing w:before="20" w:after="20"/>
            </w:pPr>
            <w:r>
              <w:rPr>
                <w:rFonts w:ascii="Calibri" w:hAnsi="Calibri"/>
                <w:sz w:val="18"/>
              </w:rPr>
              <w:t>CPI-U + 1%</w:t>
            </w:r>
          </w:p>
        </w:tc>
        <w:tc>
          <w:tcPr>
            <w:tcW w:type="dxa" w:w="1872"/>
            <w:shd w:val="clear" w:color="auto" w:fill="F4F7FC"/>
          </w:tcPr>
          <w:p>
            <w:pPr>
              <w:spacing w:before="20" w:after="20"/>
            </w:pPr>
            <w:r>
              <w:rPr>
                <w:rFonts w:ascii="Calibri" w:hAnsi="Calibri"/>
                <w:sz w:val="18"/>
              </w:rPr>
              <w:t>USD 2,800,000/module set</w:t>
            </w:r>
          </w:p>
        </w:tc>
        <w:tc>
          <w:tcPr>
            <w:tcW w:type="dxa" w:w="3744"/>
            <w:shd w:val="clear" w:color="auto" w:fill="F4F7FC"/>
          </w:tcPr>
          <w:p>
            <w:pPr>
              <w:spacing w:before="20" w:after="20"/>
            </w:pPr>
            <w:r>
              <w:rPr>
                <w:rFonts w:ascii="Calibri" w:hAnsi="Calibri"/>
                <w:sz w:val="18"/>
              </w:rPr>
              <w:t>OEM LLP parts with 8130-3/Form 1</w:t>
            </w:r>
          </w:p>
        </w:tc>
      </w:tr>
      <w:tr>
        <w:tc>
          <w:tcPr>
            <w:tcW w:type="dxa" w:w="2448"/>
            <w:shd w:val="clear" w:color="auto" w:fill="FFFFFF"/>
          </w:tcPr>
          <w:p>
            <w:pPr>
              <w:spacing w:before="20" w:after="20"/>
            </w:pPr>
            <w:r>
              <w:rPr>
                <w:rFonts w:ascii="Calibri" w:hAnsi="Calibri"/>
                <w:sz w:val="18"/>
              </w:rPr>
              <w:t>Engine Performance – No. 1</w:t>
            </w:r>
          </w:p>
        </w:tc>
        <w:tc>
          <w:tcPr>
            <w:tcW w:type="dxa" w:w="1440"/>
            <w:shd w:val="clear" w:color="auto" w:fill="FFFFFF"/>
          </w:tcPr>
          <w:p>
            <w:pPr>
              <w:spacing w:before="20" w:after="20"/>
            </w:pPr>
            <w:r>
              <w:rPr>
                <w:rFonts w:ascii="Calibri" w:hAnsi="Calibri"/>
                <w:sz w:val="18"/>
              </w:rPr>
              <w:t>USD 140/FH</w:t>
            </w:r>
          </w:p>
        </w:tc>
        <w:tc>
          <w:tcPr>
            <w:tcW w:type="dxa" w:w="1296"/>
            <w:shd w:val="clear" w:color="auto" w:fill="FFFFFF"/>
          </w:tcPr>
          <w:p>
            <w:pPr>
              <w:spacing w:before="20" w:after="20"/>
            </w:pPr>
            <w:r>
              <w:rPr>
                <w:rFonts w:ascii="Calibri" w:hAnsi="Calibri"/>
                <w:sz w:val="18"/>
              </w:rPr>
              <w:t>CPI-U + 1%</w:t>
            </w:r>
          </w:p>
        </w:tc>
        <w:tc>
          <w:tcPr>
            <w:tcW w:type="dxa" w:w="1872"/>
            <w:shd w:val="clear" w:color="auto" w:fill="FFFFFF"/>
          </w:tcPr>
          <w:p>
            <w:pPr>
              <w:spacing w:before="20" w:after="20"/>
            </w:pPr>
            <w:r>
              <w:rPr>
                <w:rFonts w:ascii="Calibri" w:hAnsi="Calibri"/>
                <w:sz w:val="18"/>
              </w:rPr>
              <w:t>USD 5,200,000/SV</w:t>
            </w:r>
          </w:p>
        </w:tc>
        <w:tc>
          <w:tcPr>
            <w:tcW w:type="dxa" w:w="3744"/>
            <w:shd w:val="clear" w:color="auto" w:fill="FFFFFF"/>
          </w:tcPr>
          <w:p>
            <w:pPr>
              <w:spacing w:before="20" w:after="20"/>
            </w:pPr>
            <w:r>
              <w:rPr>
                <w:rFonts w:ascii="Calibri" w:hAnsi="Calibri"/>
                <w:sz w:val="18"/>
              </w:rPr>
              <w:t>PR workscope per PRSV tear-down findings</w:t>
            </w:r>
          </w:p>
        </w:tc>
      </w:tr>
      <w:tr>
        <w:tc>
          <w:tcPr>
            <w:tcW w:type="dxa" w:w="2448"/>
            <w:shd w:val="clear" w:color="auto" w:fill="F4F7FC"/>
          </w:tcPr>
          <w:p>
            <w:pPr>
              <w:spacing w:before="20" w:after="20"/>
            </w:pPr>
            <w:r>
              <w:rPr>
                <w:rFonts w:ascii="Calibri" w:hAnsi="Calibri"/>
                <w:sz w:val="18"/>
              </w:rPr>
              <w:t>Engine Performance – No. 2</w:t>
            </w:r>
          </w:p>
        </w:tc>
        <w:tc>
          <w:tcPr>
            <w:tcW w:type="dxa" w:w="1440"/>
            <w:shd w:val="clear" w:color="auto" w:fill="F4F7FC"/>
          </w:tcPr>
          <w:p>
            <w:pPr>
              <w:spacing w:before="20" w:after="20"/>
            </w:pPr>
            <w:r>
              <w:rPr>
                <w:rFonts w:ascii="Calibri" w:hAnsi="Calibri"/>
                <w:sz w:val="18"/>
              </w:rPr>
              <w:t>USD 140/FH</w:t>
            </w:r>
          </w:p>
        </w:tc>
        <w:tc>
          <w:tcPr>
            <w:tcW w:type="dxa" w:w="1296"/>
            <w:shd w:val="clear" w:color="auto" w:fill="F4F7FC"/>
          </w:tcPr>
          <w:p>
            <w:pPr>
              <w:spacing w:before="20" w:after="20"/>
            </w:pPr>
            <w:r>
              <w:rPr>
                <w:rFonts w:ascii="Calibri" w:hAnsi="Calibri"/>
                <w:sz w:val="18"/>
              </w:rPr>
              <w:t>CPI-U + 1%</w:t>
            </w:r>
          </w:p>
        </w:tc>
        <w:tc>
          <w:tcPr>
            <w:tcW w:type="dxa" w:w="1872"/>
            <w:shd w:val="clear" w:color="auto" w:fill="F4F7FC"/>
          </w:tcPr>
          <w:p>
            <w:pPr>
              <w:spacing w:before="20" w:after="20"/>
            </w:pPr>
            <w:r>
              <w:rPr>
                <w:rFonts w:ascii="Calibri" w:hAnsi="Calibri"/>
                <w:sz w:val="18"/>
              </w:rPr>
              <w:t>USD 5,200,000/SV</w:t>
            </w:r>
          </w:p>
        </w:tc>
        <w:tc>
          <w:tcPr>
            <w:tcW w:type="dxa" w:w="3744"/>
            <w:shd w:val="clear" w:color="auto" w:fill="F4F7FC"/>
          </w:tcPr>
          <w:p>
            <w:pPr>
              <w:spacing w:before="20" w:after="20"/>
            </w:pPr>
            <w:r>
              <w:rPr>
                <w:rFonts w:ascii="Calibri" w:hAnsi="Calibri"/>
                <w:sz w:val="18"/>
              </w:rPr>
              <w:t>PR workscope per PRSV tear-down findings</w:t>
            </w:r>
          </w:p>
        </w:tc>
      </w:tr>
      <w:tr>
        <w:tc>
          <w:tcPr>
            <w:tcW w:type="dxa" w:w="2448"/>
            <w:shd w:val="clear" w:color="auto" w:fill="FFFFFF"/>
          </w:tcPr>
          <w:p>
            <w:pPr>
              <w:spacing w:before="20" w:after="20"/>
            </w:pPr>
            <w:r>
              <w:rPr>
                <w:rFonts w:ascii="Calibri" w:hAnsi="Calibri"/>
                <w:sz w:val="18"/>
              </w:rPr>
              <w:t>Main Landing Gear</w:t>
            </w:r>
          </w:p>
        </w:tc>
        <w:tc>
          <w:tcPr>
            <w:tcW w:type="dxa" w:w="1440"/>
            <w:shd w:val="clear" w:color="auto" w:fill="FFFFFF"/>
          </w:tcPr>
          <w:p>
            <w:pPr>
              <w:spacing w:before="20" w:after="20"/>
            </w:pPr>
            <w:r>
              <w:rPr>
                <w:rFonts w:ascii="Calibri" w:hAnsi="Calibri"/>
                <w:sz w:val="18"/>
              </w:rPr>
              <w:t>USD 85/FH</w:t>
            </w:r>
          </w:p>
        </w:tc>
        <w:tc>
          <w:tcPr>
            <w:tcW w:type="dxa" w:w="1296"/>
            <w:shd w:val="clear" w:color="auto" w:fill="FFFFFF"/>
          </w:tcPr>
          <w:p>
            <w:pPr>
              <w:spacing w:before="20" w:after="20"/>
            </w:pPr>
            <w:r>
              <w:rPr>
                <w:rFonts w:ascii="Calibri" w:hAnsi="Calibri"/>
                <w:sz w:val="18"/>
              </w:rPr>
              <w:t>CPI-U</w:t>
            </w:r>
          </w:p>
        </w:tc>
        <w:tc>
          <w:tcPr>
            <w:tcW w:type="dxa" w:w="1872"/>
            <w:shd w:val="clear" w:color="auto" w:fill="FFFFFF"/>
          </w:tcPr>
          <w:p>
            <w:pPr>
              <w:spacing w:before="20" w:after="20"/>
            </w:pPr>
            <w:r>
              <w:rPr>
                <w:rFonts w:ascii="Calibri" w:hAnsi="Calibri"/>
                <w:sz w:val="18"/>
              </w:rPr>
              <w:t>USD 900,000/leg</w:t>
            </w:r>
          </w:p>
        </w:tc>
        <w:tc>
          <w:tcPr>
            <w:tcW w:type="dxa" w:w="3744"/>
            <w:shd w:val="clear" w:color="auto" w:fill="FFFFFF"/>
          </w:tcPr>
          <w:p>
            <w:pPr>
              <w:spacing w:before="20" w:after="20"/>
            </w:pPr>
            <w:r>
              <w:rPr>
                <w:rFonts w:ascii="Calibri" w:hAnsi="Calibri"/>
                <w:sz w:val="18"/>
              </w:rPr>
              <w:t>Overhaul to OEM spec; NDT; chrome plating</w:t>
            </w:r>
          </w:p>
        </w:tc>
      </w:tr>
      <w:tr>
        <w:tc>
          <w:tcPr>
            <w:tcW w:type="dxa" w:w="2448"/>
            <w:shd w:val="clear" w:color="auto" w:fill="F4F7FC"/>
          </w:tcPr>
          <w:p>
            <w:pPr>
              <w:spacing w:before="20" w:after="20"/>
            </w:pPr>
            <w:r>
              <w:rPr>
                <w:rFonts w:ascii="Calibri" w:hAnsi="Calibri"/>
                <w:sz w:val="18"/>
              </w:rPr>
              <w:t>Nose Landing Gear</w:t>
            </w:r>
          </w:p>
        </w:tc>
        <w:tc>
          <w:tcPr>
            <w:tcW w:type="dxa" w:w="1440"/>
            <w:shd w:val="clear" w:color="auto" w:fill="F4F7FC"/>
          </w:tcPr>
          <w:p>
            <w:pPr>
              <w:spacing w:before="20" w:after="20"/>
            </w:pPr>
            <w:r>
              <w:rPr>
                <w:rFonts w:ascii="Calibri" w:hAnsi="Calibri"/>
                <w:sz w:val="18"/>
              </w:rPr>
              <w:t>USD 51/FH</w:t>
            </w:r>
          </w:p>
        </w:tc>
        <w:tc>
          <w:tcPr>
            <w:tcW w:type="dxa" w:w="1296"/>
            <w:shd w:val="clear" w:color="auto" w:fill="F4F7FC"/>
          </w:tcPr>
          <w:p>
            <w:pPr>
              <w:spacing w:before="20" w:after="20"/>
            </w:pPr>
            <w:r>
              <w:rPr>
                <w:rFonts w:ascii="Calibri" w:hAnsi="Calibri"/>
                <w:sz w:val="18"/>
              </w:rPr>
              <w:t>CPI-U</w:t>
            </w:r>
          </w:p>
        </w:tc>
        <w:tc>
          <w:tcPr>
            <w:tcW w:type="dxa" w:w="1872"/>
            <w:shd w:val="clear" w:color="auto" w:fill="F4F7FC"/>
          </w:tcPr>
          <w:p>
            <w:pPr>
              <w:spacing w:before="20" w:after="20"/>
            </w:pPr>
            <w:r>
              <w:rPr>
                <w:rFonts w:ascii="Calibri" w:hAnsi="Calibri"/>
                <w:sz w:val="18"/>
              </w:rPr>
              <w:t>USD 400,000/overhaul</w:t>
            </w:r>
          </w:p>
        </w:tc>
        <w:tc>
          <w:tcPr>
            <w:tcW w:type="dxa" w:w="3744"/>
            <w:shd w:val="clear" w:color="auto" w:fill="F4F7FC"/>
          </w:tcPr>
          <w:p>
            <w:pPr>
              <w:spacing w:before="20" w:after="20"/>
            </w:pPr>
            <w:r>
              <w:rPr>
                <w:rFonts w:ascii="Calibri" w:hAnsi="Calibri"/>
                <w:sz w:val="18"/>
              </w:rPr>
              <w:t>Overhaul to OEM spec</w:t>
            </w:r>
          </w:p>
        </w:tc>
      </w:tr>
      <w:tr>
        <w:tc>
          <w:tcPr>
            <w:tcW w:type="dxa" w:w="2448"/>
            <w:shd w:val="clear" w:color="auto" w:fill="FFFFFF"/>
          </w:tcPr>
          <w:p>
            <w:pPr>
              <w:spacing w:before="20" w:after="20"/>
            </w:pPr>
            <w:r>
              <w:rPr>
                <w:rFonts w:ascii="Calibri" w:hAnsi="Calibri"/>
                <w:sz w:val="18"/>
              </w:rPr>
              <w:t>APU</w:t>
            </w:r>
          </w:p>
        </w:tc>
        <w:tc>
          <w:tcPr>
            <w:tcW w:type="dxa" w:w="1440"/>
            <w:shd w:val="clear" w:color="auto" w:fill="FFFFFF"/>
          </w:tcPr>
          <w:p>
            <w:pPr>
              <w:spacing w:before="20" w:after="20"/>
            </w:pPr>
            <w:r>
              <w:rPr>
                <w:rFonts w:ascii="Calibri" w:hAnsi="Calibri"/>
                <w:sz w:val="18"/>
              </w:rPr>
              <w:t>USD 45/APU-H</w:t>
            </w:r>
          </w:p>
        </w:tc>
        <w:tc>
          <w:tcPr>
            <w:tcW w:type="dxa" w:w="1296"/>
            <w:shd w:val="clear" w:color="auto" w:fill="FFFFFF"/>
          </w:tcPr>
          <w:p>
            <w:pPr>
              <w:spacing w:before="20" w:after="20"/>
            </w:pPr>
            <w:r>
              <w:rPr>
                <w:rFonts w:ascii="Calibri" w:hAnsi="Calibri"/>
                <w:sz w:val="18"/>
              </w:rPr>
              <w:t>CPI-U</w:t>
            </w:r>
          </w:p>
        </w:tc>
        <w:tc>
          <w:tcPr>
            <w:tcW w:type="dxa" w:w="1872"/>
            <w:shd w:val="clear" w:color="auto" w:fill="FFFFFF"/>
          </w:tcPr>
          <w:p>
            <w:pPr>
              <w:spacing w:before="20" w:after="20"/>
            </w:pPr>
            <w:r>
              <w:rPr>
                <w:rFonts w:ascii="Calibri" w:hAnsi="Calibri"/>
                <w:sz w:val="18"/>
              </w:rPr>
              <w:t>USD 350,000/HSI</w:t>
            </w:r>
          </w:p>
        </w:tc>
        <w:tc>
          <w:tcPr>
            <w:tcW w:type="dxa" w:w="3744"/>
            <w:shd w:val="clear" w:color="auto" w:fill="FFFFFF"/>
          </w:tcPr>
          <w:p>
            <w:pPr>
              <w:spacing w:before="20" w:after="20"/>
            </w:pPr>
            <w:r>
              <w:rPr>
                <w:rFonts w:ascii="Calibri" w:hAnsi="Calibri"/>
                <w:sz w:val="18"/>
              </w:rPr>
              <w:t>HSI parts and labour</w:t>
            </w:r>
          </w:p>
        </w:tc>
      </w:tr>
    </w:tbl>
    <w:p/>
    <w:p>
      <w:pPr>
        <w:spacing w:after="100"/>
      </w:pPr>
      <w:r>
        <w:rPr>
          <w:rFonts w:ascii="Calibri" w:hAnsi="Calibri"/>
          <w:i w:val="0"/>
          <w:sz w:val="20"/>
        </w:rPr>
        <w:t>Ineligible costs: cosmetic improvements beyond Return Condition; operator preference modifications; FOD / bird strike damage (insured events); management fees; ferry costs beyond nearest capable MRO.</w:t>
      </w:r>
    </w:p>
    <w:p>
      <w:pPr>
        <w:pStyle w:val="Heading2"/>
      </w:pPr>
      <w:r>
        <w:rPr>
          <w:rFonts w:ascii="Calibri" w:hAnsi="Calibri"/>
          <w:b/>
          <w:color w:val="0D2B55"/>
          <w:sz w:val="24"/>
        </w:rPr>
        <w:t>SCHEDULE 4 — MINIMUM MAINTENANCE OBLIGATIONS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0D2B55"/>
          </w:tcPr>
          <w:p>
            <w:pPr>
              <w:spacing w:before="40" w:after="40"/>
            </w:pPr>
            <w:r>
              <w:rPr>
                <w:rFonts w:ascii="Calibri" w:hAnsi="Calibri"/>
                <w:b/>
                <w:color w:val="FFFFFF"/>
                <w:sz w:val="18"/>
              </w:rPr>
              <w:t>Check Type</w:t>
            </w:r>
          </w:p>
        </w:tc>
        <w:tc>
          <w:tcPr>
            <w:tcW w:type="dxa" w:w="2592"/>
            <w:shd w:val="clear" w:color="auto" w:fill="0D2B55"/>
          </w:tcPr>
          <w:p>
            <w:pPr>
              <w:spacing w:before="40" w:after="40"/>
            </w:pPr>
            <w:r>
              <w:rPr>
                <w:rFonts w:ascii="Calibri" w:hAnsi="Calibri"/>
                <w:b/>
                <w:color w:val="FFFFFF"/>
                <w:sz w:val="18"/>
              </w:rPr>
              <w:t>Interval</w:t>
            </w:r>
          </w:p>
        </w:tc>
        <w:tc>
          <w:tcPr>
            <w:tcW w:type="dxa" w:w="4176"/>
            <w:shd w:val="clear" w:color="auto" w:fill="0D2B55"/>
          </w:tcPr>
          <w:p>
            <w:pPr>
              <w:spacing w:before="40" w:after="40"/>
            </w:pPr>
            <w:r>
              <w:rPr>
                <w:rFonts w:ascii="Calibri" w:hAnsi="Calibri"/>
                <w:b/>
                <w:color w:val="FFFFFF"/>
                <w:sz w:val="18"/>
              </w:rPr>
              <w:t>Minimum at Redelivery</w:t>
            </w:r>
          </w:p>
        </w:tc>
      </w:tr>
      <w:tr>
        <w:tc>
          <w:tcPr>
            <w:tcW w:type="dxa" w:w="2592"/>
            <w:shd w:val="clear" w:color="auto" w:fill="FFFFFF"/>
          </w:tcPr>
          <w:p>
            <w:pPr>
              <w:spacing w:before="20" w:after="20"/>
            </w:pPr>
            <w:r>
              <w:rPr>
                <w:rFonts w:ascii="Calibri" w:hAnsi="Calibri"/>
                <w:sz w:val="18"/>
              </w:rPr>
              <w:t>Transit / Pre-flight</w:t>
            </w:r>
          </w:p>
        </w:tc>
        <w:tc>
          <w:tcPr>
            <w:tcW w:type="dxa" w:w="2592"/>
            <w:shd w:val="clear" w:color="auto" w:fill="FFFFFF"/>
          </w:tcPr>
          <w:p>
            <w:pPr>
              <w:spacing w:before="20" w:after="20"/>
            </w:pPr>
            <w:r>
              <w:rPr>
                <w:rFonts w:ascii="Calibri" w:hAnsi="Calibri"/>
                <w:sz w:val="18"/>
              </w:rPr>
              <w:t>Per flight</w:t>
            </w:r>
          </w:p>
        </w:tc>
        <w:tc>
          <w:tcPr>
            <w:tcW w:type="dxa" w:w="4176"/>
            <w:shd w:val="clear" w:color="auto" w:fill="FFFFFF"/>
          </w:tcPr>
          <w:p>
            <w:pPr>
              <w:spacing w:before="20" w:after="20"/>
            </w:pPr>
            <w:r>
              <w:rPr>
                <w:rFonts w:ascii="Calibri" w:hAnsi="Calibri"/>
                <w:sz w:val="18"/>
              </w:rPr>
              <w:t>Per Lessee's approved checks</w:t>
            </w:r>
          </w:p>
        </w:tc>
      </w:tr>
      <w:tr>
        <w:tc>
          <w:tcPr>
            <w:tcW w:type="dxa" w:w="2592"/>
            <w:shd w:val="clear" w:color="auto" w:fill="F4F7FC"/>
          </w:tcPr>
          <w:p>
            <w:pPr>
              <w:spacing w:before="20" w:after="20"/>
            </w:pPr>
            <w:r>
              <w:rPr>
                <w:rFonts w:ascii="Calibri" w:hAnsi="Calibri"/>
                <w:sz w:val="18"/>
              </w:rPr>
              <w:t>Daily Check</w:t>
            </w:r>
          </w:p>
        </w:tc>
        <w:tc>
          <w:tcPr>
            <w:tcW w:type="dxa" w:w="2592"/>
            <w:shd w:val="clear" w:color="auto" w:fill="F4F7FC"/>
          </w:tcPr>
          <w:p>
            <w:pPr>
              <w:spacing w:before="20" w:after="20"/>
            </w:pPr>
            <w:r>
              <w:rPr>
                <w:rFonts w:ascii="Calibri" w:hAnsi="Calibri"/>
                <w:sz w:val="18"/>
              </w:rPr>
              <w:t>Each calendar day</w:t>
            </w:r>
          </w:p>
        </w:tc>
        <w:tc>
          <w:tcPr>
            <w:tcW w:type="dxa" w:w="4176"/>
            <w:shd w:val="clear" w:color="auto" w:fill="F4F7FC"/>
          </w:tcPr>
          <w:p>
            <w:pPr>
              <w:spacing w:before="20" w:after="20"/>
            </w:pPr>
            <w:r>
              <w:rPr>
                <w:rFonts w:ascii="Calibri" w:hAnsi="Calibri"/>
                <w:sz w:val="18"/>
              </w:rPr>
              <w:t>Per AMM Task 05-10-01</w:t>
            </w:r>
          </w:p>
        </w:tc>
      </w:tr>
      <w:tr>
        <w:tc>
          <w:tcPr>
            <w:tcW w:type="dxa" w:w="2592"/>
            <w:shd w:val="clear" w:color="auto" w:fill="FFFFFF"/>
          </w:tcPr>
          <w:p>
            <w:pPr>
              <w:spacing w:before="20" w:after="20"/>
            </w:pPr>
            <w:r>
              <w:rPr>
                <w:rFonts w:ascii="Calibri" w:hAnsi="Calibri"/>
                <w:sz w:val="18"/>
              </w:rPr>
              <w:t>A Check</w:t>
            </w:r>
          </w:p>
        </w:tc>
        <w:tc>
          <w:tcPr>
            <w:tcW w:type="dxa" w:w="2592"/>
            <w:shd w:val="clear" w:color="auto" w:fill="FFFFFF"/>
          </w:tcPr>
          <w:p>
            <w:pPr>
              <w:spacing w:before="20" w:after="20"/>
            </w:pPr>
            <w:r>
              <w:rPr>
                <w:rFonts w:ascii="Calibri" w:hAnsi="Calibri"/>
                <w:sz w:val="18"/>
              </w:rPr>
              <w:t>600 FH or 400 FC or 90 days (earliest)</w:t>
            </w:r>
          </w:p>
        </w:tc>
        <w:tc>
          <w:tcPr>
            <w:tcW w:type="dxa" w:w="4176"/>
            <w:shd w:val="clear" w:color="auto" w:fill="FFFFFF"/>
          </w:tcPr>
          <w:p>
            <w:pPr>
              <w:spacing w:before="20" w:after="20"/>
            </w:pPr>
            <w:r>
              <w:rPr>
                <w:rFonts w:ascii="Calibri" w:hAnsi="Calibri"/>
                <w:sz w:val="18"/>
              </w:rPr>
              <w:t>No open items; all ADs current</w:t>
            </w:r>
          </w:p>
        </w:tc>
      </w:tr>
      <w:tr>
        <w:tc>
          <w:tcPr>
            <w:tcW w:type="dxa" w:w="2592"/>
            <w:shd w:val="clear" w:color="auto" w:fill="F4F7FC"/>
          </w:tcPr>
          <w:p>
            <w:pPr>
              <w:spacing w:before="20" w:after="20"/>
            </w:pPr>
            <w:r>
              <w:rPr>
                <w:rFonts w:ascii="Calibri" w:hAnsi="Calibri"/>
                <w:sz w:val="18"/>
              </w:rPr>
              <w:t>B Check</w:t>
            </w:r>
          </w:p>
        </w:tc>
        <w:tc>
          <w:tcPr>
            <w:tcW w:type="dxa" w:w="2592"/>
            <w:shd w:val="clear" w:color="auto" w:fill="F4F7FC"/>
          </w:tcPr>
          <w:p>
            <w:pPr>
              <w:spacing w:before="20" w:after="20"/>
            </w:pPr>
            <w:r>
              <w:rPr>
                <w:rFonts w:ascii="Calibri" w:hAnsi="Calibri"/>
                <w:sz w:val="18"/>
              </w:rPr>
              <w:t>3,000 FH or 18 months (earliest)</w:t>
            </w:r>
          </w:p>
        </w:tc>
        <w:tc>
          <w:tcPr>
            <w:tcW w:type="dxa" w:w="4176"/>
            <w:shd w:val="clear" w:color="auto" w:fill="F4F7FC"/>
          </w:tcPr>
          <w:p>
            <w:pPr>
              <w:spacing w:before="20" w:after="20"/>
            </w:pPr>
            <w:r>
              <w:rPr>
                <w:rFonts w:ascii="Calibri" w:hAnsi="Calibri"/>
                <w:sz w:val="18"/>
              </w:rPr>
              <w:t>Full systems test; no MEL beyond Cat A</w:t>
            </w:r>
          </w:p>
        </w:tc>
      </w:tr>
      <w:tr>
        <w:tc>
          <w:tcPr>
            <w:tcW w:type="dxa" w:w="2592"/>
            <w:shd w:val="clear" w:color="auto" w:fill="FFFFFF"/>
          </w:tcPr>
          <w:p>
            <w:pPr>
              <w:spacing w:before="20" w:after="20"/>
            </w:pPr>
            <w:r>
              <w:rPr>
                <w:rFonts w:ascii="Calibri" w:hAnsi="Calibri"/>
                <w:sz w:val="18"/>
              </w:rPr>
              <w:t>C Check</w:t>
            </w:r>
          </w:p>
        </w:tc>
        <w:tc>
          <w:tcPr>
            <w:tcW w:type="dxa" w:w="2592"/>
            <w:shd w:val="clear" w:color="auto" w:fill="FFFFFF"/>
          </w:tcPr>
          <w:p>
            <w:pPr>
              <w:spacing w:before="20" w:after="20"/>
            </w:pPr>
            <w:r>
              <w:rPr>
                <w:rFonts w:ascii="Calibri" w:hAnsi="Calibri"/>
                <w:sz w:val="18"/>
              </w:rPr>
              <w:t>6,000 FH or 36 months or 5,000 FC (earliest)</w:t>
            </w:r>
          </w:p>
        </w:tc>
        <w:tc>
          <w:tcPr>
            <w:tcW w:type="dxa" w:w="4176"/>
            <w:shd w:val="clear" w:color="auto" w:fill="FFFFFF"/>
          </w:tcPr>
          <w:p>
            <w:pPr>
              <w:spacing w:before="20" w:after="20"/>
            </w:pPr>
            <w:r>
              <w:rPr>
                <w:rFonts w:ascii="Calibri" w:hAnsi="Calibri"/>
                <w:sz w:val="18"/>
              </w:rPr>
              <w:t>CPCP tasks; SRM repairs; NDT</w:t>
            </w:r>
          </w:p>
        </w:tc>
      </w:tr>
      <w:tr>
        <w:tc>
          <w:tcPr>
            <w:tcW w:type="dxa" w:w="2592"/>
            <w:shd w:val="clear" w:color="auto" w:fill="F4F7FC"/>
          </w:tcPr>
          <w:p>
            <w:pPr>
              <w:spacing w:before="20" w:after="20"/>
            </w:pPr>
            <w:r>
              <w:rPr>
                <w:rFonts w:ascii="Calibri" w:hAnsi="Calibri"/>
                <w:sz w:val="18"/>
              </w:rPr>
              <w:t>D Check</w:t>
            </w:r>
          </w:p>
        </w:tc>
        <w:tc>
          <w:tcPr>
            <w:tcW w:type="dxa" w:w="2592"/>
            <w:shd w:val="clear" w:color="auto" w:fill="F4F7FC"/>
          </w:tcPr>
          <w:p>
            <w:pPr>
              <w:spacing w:before="20" w:after="20"/>
            </w:pPr>
            <w:r>
              <w:rPr>
                <w:rFonts w:ascii="Calibri" w:hAnsi="Calibri"/>
                <w:sz w:val="18"/>
              </w:rPr>
              <w:t>24,000 FH or 12 years (earliest)</w:t>
            </w:r>
          </w:p>
        </w:tc>
        <w:tc>
          <w:tcPr>
            <w:tcW w:type="dxa" w:w="4176"/>
            <w:shd w:val="clear" w:color="auto" w:fill="F4F7FC"/>
          </w:tcPr>
          <w:p>
            <w:pPr>
              <w:spacing w:before="20" w:after="20"/>
            </w:pPr>
            <w:r>
              <w:rPr>
                <w:rFonts w:ascii="Calibri" w:hAnsi="Calibri"/>
                <w:sz w:val="18"/>
              </w:rPr>
              <w:t>Full strip and inspection per AMM</w:t>
            </w:r>
          </w:p>
        </w:tc>
      </w:tr>
      <w:tr>
        <w:tc>
          <w:tcPr>
            <w:tcW w:type="dxa" w:w="2592"/>
            <w:shd w:val="clear" w:color="auto" w:fill="FFFFFF"/>
          </w:tcPr>
          <w:p>
            <w:pPr>
              <w:spacing w:before="20" w:after="20"/>
            </w:pPr>
            <w:r>
              <w:rPr>
                <w:rFonts w:ascii="Calibri" w:hAnsi="Calibri"/>
                <w:sz w:val="18"/>
              </w:rPr>
              <w:t>Engine PRSV</w:t>
            </w:r>
          </w:p>
        </w:tc>
        <w:tc>
          <w:tcPr>
            <w:tcW w:type="dxa" w:w="2592"/>
            <w:shd w:val="clear" w:color="auto" w:fill="FFFFFF"/>
          </w:tcPr>
          <w:p>
            <w:pPr>
              <w:spacing w:before="20" w:after="20"/>
            </w:pPr>
            <w:r>
              <w:rPr>
                <w:rFonts w:ascii="Calibri" w:hAnsi="Calibri"/>
                <w:sz w:val="18"/>
              </w:rPr>
              <w:t>On-condition; max 8,000 FH from last SV</w:t>
            </w:r>
          </w:p>
        </w:tc>
        <w:tc>
          <w:tcPr>
            <w:tcW w:type="dxa" w:w="4176"/>
            <w:shd w:val="clear" w:color="auto" w:fill="FFFFFF"/>
          </w:tcPr>
          <w:p>
            <w:pPr>
              <w:spacing w:before="20" w:after="20"/>
            </w:pPr>
            <w:r>
              <w:rPr>
                <w:rFonts w:ascii="Calibri" w:hAnsi="Calibri"/>
                <w:sz w:val="18"/>
              </w:rPr>
              <w:t>Min EGT margin 30°C at delivery</w:t>
            </w:r>
          </w:p>
        </w:tc>
      </w:tr>
      <w:tr>
        <w:tc>
          <w:tcPr>
            <w:tcW w:type="dxa" w:w="2592"/>
            <w:shd w:val="clear" w:color="auto" w:fill="F4F7FC"/>
          </w:tcPr>
          <w:p>
            <w:pPr>
              <w:spacing w:before="20" w:after="20"/>
            </w:pPr>
            <w:r>
              <w:rPr>
                <w:rFonts w:ascii="Calibri" w:hAnsi="Calibri"/>
                <w:sz w:val="18"/>
              </w:rPr>
              <w:t>Engine LLP Replacement</w:t>
            </w:r>
          </w:p>
        </w:tc>
        <w:tc>
          <w:tcPr>
            <w:tcW w:type="dxa" w:w="2592"/>
            <w:shd w:val="clear" w:color="auto" w:fill="F4F7FC"/>
          </w:tcPr>
          <w:p>
            <w:pPr>
              <w:spacing w:before="20" w:after="20"/>
            </w:pPr>
            <w:r>
              <w:rPr>
                <w:rFonts w:ascii="Calibri" w:hAnsi="Calibri"/>
                <w:sz w:val="18"/>
              </w:rPr>
              <w:t>Per OEM life limits</w:t>
            </w:r>
          </w:p>
        </w:tc>
        <w:tc>
          <w:tcPr>
            <w:tcW w:type="dxa" w:w="4176"/>
            <w:shd w:val="clear" w:color="auto" w:fill="F4F7FC"/>
          </w:tcPr>
          <w:p>
            <w:pPr>
              <w:spacing w:before="20" w:after="20"/>
            </w:pPr>
            <w:r>
              <w:rPr>
                <w:rFonts w:ascii="Calibri" w:hAnsi="Calibri"/>
                <w:sz w:val="18"/>
              </w:rPr>
              <w:t>Min 2,500 FC remaining at redelivery</w:t>
            </w:r>
          </w:p>
        </w:tc>
      </w:tr>
      <w:tr>
        <w:tc>
          <w:tcPr>
            <w:tcW w:type="dxa" w:w="2592"/>
            <w:shd w:val="clear" w:color="auto" w:fill="FFFFFF"/>
          </w:tcPr>
          <w:p>
            <w:pPr>
              <w:spacing w:before="20" w:after="20"/>
            </w:pPr>
            <w:r>
              <w:rPr>
                <w:rFonts w:ascii="Calibri" w:hAnsi="Calibri"/>
                <w:sz w:val="18"/>
              </w:rPr>
              <w:t>Landing Gear Overhaul</w:t>
            </w:r>
          </w:p>
        </w:tc>
        <w:tc>
          <w:tcPr>
            <w:tcW w:type="dxa" w:w="2592"/>
            <w:shd w:val="clear" w:color="auto" w:fill="FFFFFF"/>
          </w:tcPr>
          <w:p>
            <w:pPr>
              <w:spacing w:before="20" w:after="20"/>
            </w:pPr>
            <w:r>
              <w:rPr>
                <w:rFonts w:ascii="Calibri" w:hAnsi="Calibri"/>
                <w:sz w:val="18"/>
              </w:rPr>
              <w:t>10 years or per manufacturer limits</w:t>
            </w:r>
          </w:p>
        </w:tc>
        <w:tc>
          <w:tcPr>
            <w:tcW w:type="dxa" w:w="4176"/>
            <w:shd w:val="clear" w:color="auto" w:fill="FFFFFF"/>
          </w:tcPr>
          <w:p>
            <w:pPr>
              <w:spacing w:before="20" w:after="20"/>
            </w:pPr>
            <w:r>
              <w:rPr>
                <w:rFonts w:ascii="Calibri" w:hAnsi="Calibri"/>
                <w:sz w:val="18"/>
              </w:rPr>
              <w:t>Min 24 months remaining at redelivery</w:t>
            </w:r>
          </w:p>
        </w:tc>
      </w:tr>
      <w:tr>
        <w:tc>
          <w:tcPr>
            <w:tcW w:type="dxa" w:w="2592"/>
            <w:shd w:val="clear" w:color="auto" w:fill="F4F7FC"/>
          </w:tcPr>
          <w:p>
            <w:pPr>
              <w:spacing w:before="20" w:after="20"/>
            </w:pPr>
            <w:r>
              <w:rPr>
                <w:rFonts w:ascii="Calibri" w:hAnsi="Calibri"/>
                <w:sz w:val="18"/>
              </w:rPr>
              <w:t>APU Hot Section Inspection</w:t>
            </w:r>
          </w:p>
        </w:tc>
        <w:tc>
          <w:tcPr>
            <w:tcW w:type="dxa" w:w="2592"/>
            <w:shd w:val="clear" w:color="auto" w:fill="F4F7FC"/>
          </w:tcPr>
          <w:p>
            <w:pPr>
              <w:spacing w:before="20" w:after="20"/>
            </w:pPr>
            <w:r>
              <w:rPr>
                <w:rFonts w:ascii="Calibri" w:hAnsi="Calibri"/>
                <w:sz w:val="18"/>
              </w:rPr>
              <w:t>4,000 APU-H or 24 months (earliest)</w:t>
            </w:r>
          </w:p>
        </w:tc>
        <w:tc>
          <w:tcPr>
            <w:tcW w:type="dxa" w:w="4176"/>
            <w:shd w:val="clear" w:color="auto" w:fill="F4F7FC"/>
          </w:tcPr>
          <w:p>
            <w:pPr>
              <w:spacing w:before="20" w:after="20"/>
            </w:pPr>
            <w:r>
              <w:rPr>
                <w:rFonts w:ascii="Calibri" w:hAnsi="Calibri"/>
                <w:sz w:val="18"/>
              </w:rPr>
              <w:t>Min 1,000 APU-H remaining at redelivery</w:t>
            </w:r>
          </w:p>
        </w:tc>
      </w:tr>
    </w:tbl>
    <w:p/>
    <w:p>
      <w:r>
        <w:br w:type="page"/>
      </w:r>
    </w:p>
    <w:p>
      <w:pPr>
        <w:pStyle w:val="Heading2"/>
      </w:pPr>
      <w:r>
        <w:rPr>
          <w:rFonts w:ascii="Calibri" w:hAnsi="Calibri"/>
          <w:b/>
          <w:color w:val="0D2B55"/>
          <w:sz w:val="24"/>
        </w:rPr>
        <w:t>SCHEDULE 5 — RETURN CONDITIONS AND COMPENSATION RATES</w:t>
      </w:r>
    </w:p>
    <w:p>
      <w:pPr>
        <w:pBdr>
          <w:bottom w:val="single" w:sz="6" w:space="1" w:color="0D2B55"/>
        </w:pBdr>
        <w:spacing w:before="40" w:after="120"/>
      </w:pPr>
    </w:p>
    <w:p>
      <w:pPr>
        <w:spacing w:after="100"/>
      </w:pPr>
      <w:r>
        <w:rPr>
          <w:rFonts w:ascii="Calibri" w:hAnsi="Calibri"/>
          <w:i w:val="0"/>
          <w:sz w:val="20"/>
        </w:rPr>
        <w:t>Part I — Return Condition Standards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D2B55"/>
          </w:tcPr>
          <w:p>
            <w:pPr>
              <w:spacing w:before="40" w:after="40"/>
            </w:pPr>
            <w:r>
              <w:rPr>
                <w:rFonts w:ascii="Calibri" w:hAnsi="Calibri"/>
                <w:b/>
                <w:color w:val="FFFFFF"/>
                <w:sz w:val="18"/>
              </w:rPr>
              <w:t>Component</w:t>
            </w:r>
          </w:p>
        </w:tc>
        <w:tc>
          <w:tcPr>
            <w:tcW w:type="dxa" w:w="3600"/>
            <w:shd w:val="clear" w:color="auto" w:fill="0D2B55"/>
          </w:tcPr>
          <w:p>
            <w:pPr>
              <w:spacing w:before="40" w:after="40"/>
            </w:pPr>
            <w:r>
              <w:rPr>
                <w:rFonts w:ascii="Calibri" w:hAnsi="Calibri"/>
                <w:b/>
                <w:color w:val="FFFFFF"/>
                <w:sz w:val="18"/>
              </w:rPr>
              <w:t>Minimum at Redelivery</w:t>
            </w:r>
          </w:p>
        </w:tc>
        <w:tc>
          <w:tcPr>
            <w:tcW w:type="dxa" w:w="2880"/>
            <w:shd w:val="clear" w:color="auto" w:fill="0D2B55"/>
          </w:tcPr>
          <w:p>
            <w:pPr>
              <w:spacing w:before="40" w:after="40"/>
            </w:pPr>
            <w:r>
              <w:rPr>
                <w:rFonts w:ascii="Calibri" w:hAnsi="Calibri"/>
                <w:b/>
                <w:color w:val="FFFFFF"/>
                <w:sz w:val="18"/>
              </w:rPr>
              <w:t>Measurement</w:t>
            </w:r>
          </w:p>
        </w:tc>
      </w:tr>
      <w:tr>
        <w:tc>
          <w:tcPr>
            <w:tcW w:type="dxa" w:w="2880"/>
            <w:shd w:val="clear" w:color="auto" w:fill="FFFFFF"/>
          </w:tcPr>
          <w:p>
            <w:pPr>
              <w:spacing w:before="20" w:after="20"/>
            </w:pPr>
            <w:r>
              <w:rPr>
                <w:rFonts w:ascii="Calibri" w:hAnsi="Calibri"/>
                <w:sz w:val="18"/>
              </w:rPr>
              <w:t>Airframe C Check</w:t>
            </w:r>
          </w:p>
        </w:tc>
        <w:tc>
          <w:tcPr>
            <w:tcW w:type="dxa" w:w="3600"/>
            <w:shd w:val="clear" w:color="auto" w:fill="FFFFFF"/>
          </w:tcPr>
          <w:p>
            <w:pPr>
              <w:spacing w:before="20" w:after="20"/>
            </w:pPr>
            <w:r>
              <w:rPr>
                <w:rFonts w:ascii="Calibri" w:hAnsi="Calibri"/>
                <w:sz w:val="18"/>
              </w:rPr>
              <w:t>Within preceding 24 months</w:t>
            </w:r>
          </w:p>
        </w:tc>
        <w:tc>
          <w:tcPr>
            <w:tcW w:type="dxa" w:w="2880"/>
            <w:shd w:val="clear" w:color="auto" w:fill="FFFFFF"/>
          </w:tcPr>
          <w:p>
            <w:pPr>
              <w:spacing w:before="20" w:after="20"/>
            </w:pPr>
            <w:r>
              <w:rPr>
                <w:rFonts w:ascii="Calibri" w:hAnsi="Calibri"/>
                <w:sz w:val="18"/>
              </w:rPr>
              <w:t>Work package sign-off date</w:t>
            </w:r>
          </w:p>
        </w:tc>
      </w:tr>
      <w:tr>
        <w:tc>
          <w:tcPr>
            <w:tcW w:type="dxa" w:w="2880"/>
            <w:shd w:val="clear" w:color="auto" w:fill="F4F7FC"/>
          </w:tcPr>
          <w:p>
            <w:pPr>
              <w:spacing w:before="20" w:after="20"/>
            </w:pPr>
            <w:r>
              <w:rPr>
                <w:rFonts w:ascii="Calibri" w:hAnsi="Calibri"/>
                <w:sz w:val="18"/>
              </w:rPr>
              <w:t>Structural Repairs</w:t>
            </w:r>
          </w:p>
        </w:tc>
        <w:tc>
          <w:tcPr>
            <w:tcW w:type="dxa" w:w="3600"/>
            <w:shd w:val="clear" w:color="auto" w:fill="F4F7FC"/>
          </w:tcPr>
          <w:p>
            <w:pPr>
              <w:spacing w:before="20" w:after="20"/>
            </w:pPr>
            <w:r>
              <w:rPr>
                <w:rFonts w:ascii="Calibri" w:hAnsi="Calibri"/>
                <w:sz w:val="18"/>
              </w:rPr>
              <w:t>No open deferred structural repairs; all CPCP current</w:t>
            </w:r>
          </w:p>
        </w:tc>
        <w:tc>
          <w:tcPr>
            <w:tcW w:type="dxa" w:w="2880"/>
            <w:shd w:val="clear" w:color="auto" w:fill="F4F7FC"/>
          </w:tcPr>
          <w:p>
            <w:pPr>
              <w:spacing w:before="20" w:after="20"/>
            </w:pPr>
            <w:r>
              <w:rPr>
                <w:rFonts w:ascii="Calibri" w:hAnsi="Calibri"/>
                <w:sz w:val="18"/>
              </w:rPr>
              <w:t>Compliance record</w:t>
            </w:r>
          </w:p>
        </w:tc>
      </w:tr>
      <w:tr>
        <w:tc>
          <w:tcPr>
            <w:tcW w:type="dxa" w:w="2880"/>
            <w:shd w:val="clear" w:color="auto" w:fill="FFFFFF"/>
          </w:tcPr>
          <w:p>
            <w:pPr>
              <w:spacing w:before="20" w:after="20"/>
            </w:pPr>
            <w:r>
              <w:rPr>
                <w:rFonts w:ascii="Calibri" w:hAnsi="Calibri"/>
                <w:sz w:val="18"/>
              </w:rPr>
              <w:t>Engine No. 1 EGT Margin</w:t>
            </w:r>
          </w:p>
        </w:tc>
        <w:tc>
          <w:tcPr>
            <w:tcW w:type="dxa" w:w="3600"/>
            <w:shd w:val="clear" w:color="auto" w:fill="FFFFFF"/>
          </w:tcPr>
          <w:p>
            <w:pPr>
              <w:spacing w:before="20" w:after="20"/>
            </w:pPr>
            <w:r>
              <w:rPr>
                <w:rFonts w:ascii="Calibri" w:hAnsi="Calibri"/>
                <w:sz w:val="18"/>
              </w:rPr>
              <w:t>Min 30°C (cruise, ISA)</w:t>
            </w:r>
          </w:p>
        </w:tc>
        <w:tc>
          <w:tcPr>
            <w:tcW w:type="dxa" w:w="2880"/>
            <w:shd w:val="clear" w:color="auto" w:fill="FFFFFF"/>
          </w:tcPr>
          <w:p>
            <w:pPr>
              <w:spacing w:before="20" w:after="20"/>
            </w:pPr>
            <w:r>
              <w:rPr>
                <w:rFonts w:ascii="Calibri" w:hAnsi="Calibri"/>
                <w:sz w:val="18"/>
              </w:rPr>
              <w:t>Borescope + performance run</w:t>
            </w:r>
          </w:p>
        </w:tc>
      </w:tr>
      <w:tr>
        <w:tc>
          <w:tcPr>
            <w:tcW w:type="dxa" w:w="2880"/>
            <w:shd w:val="clear" w:color="auto" w:fill="F4F7FC"/>
          </w:tcPr>
          <w:p>
            <w:pPr>
              <w:spacing w:before="20" w:after="20"/>
            </w:pPr>
            <w:r>
              <w:rPr>
                <w:rFonts w:ascii="Calibri" w:hAnsi="Calibri"/>
                <w:sz w:val="18"/>
              </w:rPr>
              <w:t>Engine No. 1 Shop Visit</w:t>
            </w:r>
          </w:p>
        </w:tc>
        <w:tc>
          <w:tcPr>
            <w:tcW w:type="dxa" w:w="3600"/>
            <w:shd w:val="clear" w:color="auto" w:fill="F4F7FC"/>
          </w:tcPr>
          <w:p>
            <w:pPr>
              <w:spacing w:before="20" w:after="20"/>
            </w:pPr>
            <w:r>
              <w:rPr>
                <w:rFonts w:ascii="Calibri" w:hAnsi="Calibri"/>
                <w:sz w:val="18"/>
              </w:rPr>
              <w:t>Within preceding 36 months</w:t>
            </w:r>
          </w:p>
        </w:tc>
        <w:tc>
          <w:tcPr>
            <w:tcW w:type="dxa" w:w="2880"/>
            <w:shd w:val="clear" w:color="auto" w:fill="F4F7FC"/>
          </w:tcPr>
          <w:p>
            <w:pPr>
              <w:spacing w:before="20" w:after="20"/>
            </w:pPr>
            <w:r>
              <w:rPr>
                <w:rFonts w:ascii="Calibri" w:hAnsi="Calibri"/>
                <w:sz w:val="18"/>
              </w:rPr>
              <w:t>SV completion records</w:t>
            </w:r>
          </w:p>
        </w:tc>
      </w:tr>
      <w:tr>
        <w:tc>
          <w:tcPr>
            <w:tcW w:type="dxa" w:w="2880"/>
            <w:shd w:val="clear" w:color="auto" w:fill="FFFFFF"/>
          </w:tcPr>
          <w:p>
            <w:pPr>
              <w:spacing w:before="20" w:after="20"/>
            </w:pPr>
            <w:r>
              <w:rPr>
                <w:rFonts w:ascii="Calibri" w:hAnsi="Calibri"/>
                <w:sz w:val="18"/>
              </w:rPr>
              <w:t>Engine No. 1 LLPs</w:t>
            </w:r>
          </w:p>
        </w:tc>
        <w:tc>
          <w:tcPr>
            <w:tcW w:type="dxa" w:w="3600"/>
            <w:shd w:val="clear" w:color="auto" w:fill="FFFFFF"/>
          </w:tcPr>
          <w:p>
            <w:pPr>
              <w:spacing w:before="20" w:after="20"/>
            </w:pPr>
            <w:r>
              <w:rPr>
                <w:rFonts w:ascii="Calibri" w:hAnsi="Calibri"/>
                <w:sz w:val="18"/>
              </w:rPr>
              <w:t>Min 2,500 FC remaining on all LLPs</w:t>
            </w:r>
          </w:p>
        </w:tc>
        <w:tc>
          <w:tcPr>
            <w:tcW w:type="dxa" w:w="2880"/>
            <w:shd w:val="clear" w:color="auto" w:fill="FFFFFF"/>
          </w:tcPr>
          <w:p>
            <w:pPr>
              <w:spacing w:before="20" w:after="20"/>
            </w:pPr>
            <w:r>
              <w:rPr>
                <w:rFonts w:ascii="Calibri" w:hAnsi="Calibri"/>
                <w:sz w:val="18"/>
              </w:rPr>
              <w:t>Engine records / disc sheets</w:t>
            </w:r>
          </w:p>
        </w:tc>
      </w:tr>
      <w:tr>
        <w:tc>
          <w:tcPr>
            <w:tcW w:type="dxa" w:w="2880"/>
            <w:shd w:val="clear" w:color="auto" w:fill="F4F7FC"/>
          </w:tcPr>
          <w:p>
            <w:pPr>
              <w:spacing w:before="20" w:after="20"/>
            </w:pPr>
            <w:r>
              <w:rPr>
                <w:rFonts w:ascii="Calibri" w:hAnsi="Calibri"/>
                <w:sz w:val="18"/>
              </w:rPr>
              <w:t>Engine No. 2 EGT Margin</w:t>
            </w:r>
          </w:p>
        </w:tc>
        <w:tc>
          <w:tcPr>
            <w:tcW w:type="dxa" w:w="3600"/>
            <w:shd w:val="clear" w:color="auto" w:fill="F4F7FC"/>
          </w:tcPr>
          <w:p>
            <w:pPr>
              <w:spacing w:before="20" w:after="20"/>
            </w:pPr>
            <w:r>
              <w:rPr>
                <w:rFonts w:ascii="Calibri" w:hAnsi="Calibri"/>
                <w:sz w:val="18"/>
              </w:rPr>
              <w:t>Min 30°C (cruise, ISA)</w:t>
            </w:r>
          </w:p>
        </w:tc>
        <w:tc>
          <w:tcPr>
            <w:tcW w:type="dxa" w:w="2880"/>
            <w:shd w:val="clear" w:color="auto" w:fill="F4F7FC"/>
          </w:tcPr>
          <w:p>
            <w:pPr>
              <w:spacing w:before="20" w:after="20"/>
            </w:pPr>
            <w:r>
              <w:rPr>
                <w:rFonts w:ascii="Calibri" w:hAnsi="Calibri"/>
                <w:sz w:val="18"/>
              </w:rPr>
              <w:t>Borescope + performance run</w:t>
            </w:r>
          </w:p>
        </w:tc>
      </w:tr>
      <w:tr>
        <w:tc>
          <w:tcPr>
            <w:tcW w:type="dxa" w:w="2880"/>
            <w:shd w:val="clear" w:color="auto" w:fill="FFFFFF"/>
          </w:tcPr>
          <w:p>
            <w:pPr>
              <w:spacing w:before="20" w:after="20"/>
            </w:pPr>
            <w:r>
              <w:rPr>
                <w:rFonts w:ascii="Calibri" w:hAnsi="Calibri"/>
                <w:sz w:val="18"/>
              </w:rPr>
              <w:t>Engine No. 2 Shop Visit</w:t>
            </w:r>
          </w:p>
        </w:tc>
        <w:tc>
          <w:tcPr>
            <w:tcW w:type="dxa" w:w="3600"/>
            <w:shd w:val="clear" w:color="auto" w:fill="FFFFFF"/>
          </w:tcPr>
          <w:p>
            <w:pPr>
              <w:spacing w:before="20" w:after="20"/>
            </w:pPr>
            <w:r>
              <w:rPr>
                <w:rFonts w:ascii="Calibri" w:hAnsi="Calibri"/>
                <w:sz w:val="18"/>
              </w:rPr>
              <w:t>Within preceding 36 months</w:t>
            </w:r>
          </w:p>
        </w:tc>
        <w:tc>
          <w:tcPr>
            <w:tcW w:type="dxa" w:w="2880"/>
            <w:shd w:val="clear" w:color="auto" w:fill="FFFFFF"/>
          </w:tcPr>
          <w:p>
            <w:pPr>
              <w:spacing w:before="20" w:after="20"/>
            </w:pPr>
            <w:r>
              <w:rPr>
                <w:rFonts w:ascii="Calibri" w:hAnsi="Calibri"/>
                <w:sz w:val="18"/>
              </w:rPr>
              <w:t>SV completion records</w:t>
            </w:r>
          </w:p>
        </w:tc>
      </w:tr>
      <w:tr>
        <w:tc>
          <w:tcPr>
            <w:tcW w:type="dxa" w:w="2880"/>
            <w:shd w:val="clear" w:color="auto" w:fill="F4F7FC"/>
          </w:tcPr>
          <w:p>
            <w:pPr>
              <w:spacing w:before="20" w:after="20"/>
            </w:pPr>
            <w:r>
              <w:rPr>
                <w:rFonts w:ascii="Calibri" w:hAnsi="Calibri"/>
                <w:sz w:val="18"/>
              </w:rPr>
              <w:t>Engine No. 2 LLPs</w:t>
            </w:r>
          </w:p>
        </w:tc>
        <w:tc>
          <w:tcPr>
            <w:tcW w:type="dxa" w:w="3600"/>
            <w:shd w:val="clear" w:color="auto" w:fill="F4F7FC"/>
          </w:tcPr>
          <w:p>
            <w:pPr>
              <w:spacing w:before="20" w:after="20"/>
            </w:pPr>
            <w:r>
              <w:rPr>
                <w:rFonts w:ascii="Calibri" w:hAnsi="Calibri"/>
                <w:sz w:val="18"/>
              </w:rPr>
              <w:t>Min 2,500 FC remaining on all LLPs</w:t>
            </w:r>
          </w:p>
        </w:tc>
        <w:tc>
          <w:tcPr>
            <w:tcW w:type="dxa" w:w="2880"/>
            <w:shd w:val="clear" w:color="auto" w:fill="F4F7FC"/>
          </w:tcPr>
          <w:p>
            <w:pPr>
              <w:spacing w:before="20" w:after="20"/>
            </w:pPr>
            <w:r>
              <w:rPr>
                <w:rFonts w:ascii="Calibri" w:hAnsi="Calibri"/>
                <w:sz w:val="18"/>
              </w:rPr>
              <w:t>Engine records / disc sheets</w:t>
            </w:r>
          </w:p>
        </w:tc>
      </w:tr>
      <w:tr>
        <w:tc>
          <w:tcPr>
            <w:tcW w:type="dxa" w:w="2880"/>
            <w:shd w:val="clear" w:color="auto" w:fill="FFFFFF"/>
          </w:tcPr>
          <w:p>
            <w:pPr>
              <w:spacing w:before="20" w:after="20"/>
            </w:pPr>
            <w:r>
              <w:rPr>
                <w:rFonts w:ascii="Calibri" w:hAnsi="Calibri"/>
                <w:sz w:val="18"/>
              </w:rPr>
              <w:t>APU</w:t>
            </w:r>
          </w:p>
        </w:tc>
        <w:tc>
          <w:tcPr>
            <w:tcW w:type="dxa" w:w="3600"/>
            <w:shd w:val="clear" w:color="auto" w:fill="FFFFFF"/>
          </w:tcPr>
          <w:p>
            <w:pPr>
              <w:spacing w:before="20" w:after="20"/>
            </w:pPr>
            <w:r>
              <w:rPr>
                <w:rFonts w:ascii="Calibri" w:hAnsi="Calibri"/>
                <w:sz w:val="18"/>
              </w:rPr>
              <w:t>HSI within preceding 24 months</w:t>
            </w:r>
          </w:p>
        </w:tc>
        <w:tc>
          <w:tcPr>
            <w:tcW w:type="dxa" w:w="2880"/>
            <w:shd w:val="clear" w:color="auto" w:fill="FFFFFF"/>
          </w:tcPr>
          <w:p>
            <w:pPr>
              <w:spacing w:before="20" w:after="20"/>
            </w:pPr>
            <w:r>
              <w:rPr>
                <w:rFonts w:ascii="Calibri" w:hAnsi="Calibri"/>
                <w:sz w:val="18"/>
              </w:rPr>
              <w:t>HSI work order and certificate</w:t>
            </w:r>
          </w:p>
        </w:tc>
      </w:tr>
      <w:tr>
        <w:tc>
          <w:tcPr>
            <w:tcW w:type="dxa" w:w="2880"/>
            <w:shd w:val="clear" w:color="auto" w:fill="F4F7FC"/>
          </w:tcPr>
          <w:p>
            <w:pPr>
              <w:spacing w:before="20" w:after="20"/>
            </w:pPr>
            <w:r>
              <w:rPr>
                <w:rFonts w:ascii="Calibri" w:hAnsi="Calibri"/>
                <w:sz w:val="18"/>
              </w:rPr>
              <w:t>Main Landing Gear</w:t>
            </w:r>
          </w:p>
        </w:tc>
        <w:tc>
          <w:tcPr>
            <w:tcW w:type="dxa" w:w="3600"/>
            <w:shd w:val="clear" w:color="auto" w:fill="F4F7FC"/>
          </w:tcPr>
          <w:p>
            <w:pPr>
              <w:spacing w:before="20" w:after="20"/>
            </w:pPr>
            <w:r>
              <w:rPr>
                <w:rFonts w:ascii="Calibri" w:hAnsi="Calibri"/>
                <w:sz w:val="18"/>
              </w:rPr>
              <w:t>Overhaul within 10 years; min 24 months/2,000 FC remaining</w:t>
            </w:r>
          </w:p>
        </w:tc>
        <w:tc>
          <w:tcPr>
            <w:tcW w:type="dxa" w:w="2880"/>
            <w:shd w:val="clear" w:color="auto" w:fill="F4F7FC"/>
          </w:tcPr>
          <w:p>
            <w:pPr>
              <w:spacing w:before="20" w:after="20"/>
            </w:pPr>
            <w:r>
              <w:rPr>
                <w:rFonts w:ascii="Calibri" w:hAnsi="Calibri"/>
                <w:sz w:val="18"/>
              </w:rPr>
              <w:t>Overhaul records</w:t>
            </w:r>
          </w:p>
        </w:tc>
      </w:tr>
      <w:tr>
        <w:tc>
          <w:tcPr>
            <w:tcW w:type="dxa" w:w="2880"/>
            <w:shd w:val="clear" w:color="auto" w:fill="FFFFFF"/>
          </w:tcPr>
          <w:p>
            <w:pPr>
              <w:spacing w:before="20" w:after="20"/>
            </w:pPr>
            <w:r>
              <w:rPr>
                <w:rFonts w:ascii="Calibri" w:hAnsi="Calibri"/>
                <w:sz w:val="18"/>
              </w:rPr>
              <w:t>Interior – Seats</w:t>
            </w:r>
          </w:p>
        </w:tc>
        <w:tc>
          <w:tcPr>
            <w:tcW w:type="dxa" w:w="3600"/>
            <w:shd w:val="clear" w:color="auto" w:fill="FFFFFF"/>
          </w:tcPr>
          <w:p>
            <w:pPr>
              <w:spacing w:before="20" w:after="20"/>
            </w:pPr>
            <w:r>
              <w:rPr>
                <w:rFonts w:ascii="Calibri" w:hAnsi="Calibri"/>
                <w:sz w:val="18"/>
              </w:rPr>
              <w:t>All serviceable; no unrepaired damage; covers clean/replaced</w:t>
            </w:r>
          </w:p>
        </w:tc>
        <w:tc>
          <w:tcPr>
            <w:tcW w:type="dxa" w:w="2880"/>
            <w:shd w:val="clear" w:color="auto" w:fill="FFFFFF"/>
          </w:tcPr>
          <w:p>
            <w:pPr>
              <w:spacing w:before="20" w:after="20"/>
            </w:pPr>
            <w:r>
              <w:rPr>
                <w:rFonts w:ascii="Calibri" w:hAnsi="Calibri"/>
                <w:sz w:val="18"/>
              </w:rPr>
              <w:t>Physical inspection</w:t>
            </w:r>
          </w:p>
        </w:tc>
      </w:tr>
      <w:tr>
        <w:tc>
          <w:tcPr>
            <w:tcW w:type="dxa" w:w="2880"/>
            <w:shd w:val="clear" w:color="auto" w:fill="F4F7FC"/>
          </w:tcPr>
          <w:p>
            <w:pPr>
              <w:spacing w:before="20" w:after="20"/>
            </w:pPr>
            <w:r>
              <w:rPr>
                <w:rFonts w:ascii="Calibri" w:hAnsi="Calibri"/>
                <w:sz w:val="18"/>
              </w:rPr>
              <w:t>Exterior Paint</w:t>
            </w:r>
          </w:p>
        </w:tc>
        <w:tc>
          <w:tcPr>
            <w:tcW w:type="dxa" w:w="3600"/>
            <w:shd w:val="clear" w:color="auto" w:fill="F4F7FC"/>
          </w:tcPr>
          <w:p>
            <w:pPr>
              <w:spacing w:before="20" w:after="20"/>
            </w:pPr>
            <w:r>
              <w:rPr>
                <w:rFonts w:ascii="Calibri" w:hAnsi="Calibri"/>
                <w:sz w:val="18"/>
              </w:rPr>
              <w:t>Full repaint if &gt;25% oxidation or flaking; no primer visible</w:t>
            </w:r>
          </w:p>
        </w:tc>
        <w:tc>
          <w:tcPr>
            <w:tcW w:type="dxa" w:w="2880"/>
            <w:shd w:val="clear" w:color="auto" w:fill="F4F7FC"/>
          </w:tcPr>
          <w:p>
            <w:pPr>
              <w:spacing w:before="20" w:after="20"/>
            </w:pPr>
            <w:r>
              <w:rPr>
                <w:rFonts w:ascii="Calibri" w:hAnsi="Calibri"/>
                <w:sz w:val="18"/>
              </w:rPr>
              <w:t>Physical inspection</w:t>
            </w:r>
          </w:p>
        </w:tc>
      </w:tr>
      <w:tr>
        <w:tc>
          <w:tcPr>
            <w:tcW w:type="dxa" w:w="2880"/>
            <w:shd w:val="clear" w:color="auto" w:fill="FFFFFF"/>
          </w:tcPr>
          <w:p>
            <w:pPr>
              <w:spacing w:before="20" w:after="20"/>
            </w:pPr>
            <w:r>
              <w:rPr>
                <w:rFonts w:ascii="Calibri" w:hAnsi="Calibri"/>
                <w:sz w:val="18"/>
              </w:rPr>
              <w:t>MEL Items</w:t>
            </w:r>
          </w:p>
        </w:tc>
        <w:tc>
          <w:tcPr>
            <w:tcW w:type="dxa" w:w="3600"/>
            <w:shd w:val="clear" w:color="auto" w:fill="FFFFFF"/>
          </w:tcPr>
          <w:p>
            <w:pPr>
              <w:spacing w:before="20" w:after="20"/>
            </w:pPr>
            <w:r>
              <w:rPr>
                <w:rFonts w:ascii="Calibri" w:hAnsi="Calibri"/>
                <w:sz w:val="18"/>
              </w:rPr>
              <w:t>No open Cat A; Cat B/C within window</w:t>
            </w:r>
          </w:p>
        </w:tc>
        <w:tc>
          <w:tcPr>
            <w:tcW w:type="dxa" w:w="2880"/>
            <w:shd w:val="clear" w:color="auto" w:fill="FFFFFF"/>
          </w:tcPr>
          <w:p>
            <w:pPr>
              <w:spacing w:before="20" w:after="20"/>
            </w:pPr>
            <w:r>
              <w:rPr>
                <w:rFonts w:ascii="Calibri" w:hAnsi="Calibri"/>
                <w:sz w:val="18"/>
              </w:rPr>
              <w:t>MEL log</w:t>
            </w:r>
          </w:p>
        </w:tc>
      </w:tr>
    </w:tbl>
    <w:p/>
    <w:p>
      <w:pPr>
        <w:spacing w:after="100"/>
      </w:pPr>
      <w:r>
        <w:rPr>
          <w:rFonts w:ascii="Calibri" w:hAnsi="Calibri"/>
          <w:i w:val="0"/>
          <w:sz w:val="20"/>
        </w:rPr>
        <w:t>Part II — Compensation Rates (per shortfall unit)</w:t>
      </w:r>
    </w:p>
    <w:tbl>
      <w:tblPr>
        <w:tblStyle w:val="TableGrid"/>
        <w:tblW w:type="auto" w:w="0"/>
        <w:tblLook w:firstColumn="1" w:firstRow="1" w:lastColumn="0" w:lastRow="0" w:noHBand="0" w:noVBand="1" w:val="04A0"/>
      </w:tblPr>
      <w:tblGrid>
        <w:gridCol w:w="4320"/>
        <w:gridCol w:w="4320"/>
      </w:tblGrid>
      <w:tr>
        <w:tc>
          <w:tcPr>
            <w:tcW w:type="dxa" w:w="5040"/>
            <w:shd w:val="clear" w:color="auto" w:fill="0D2B55"/>
          </w:tcPr>
          <w:p>
            <w:pPr>
              <w:spacing w:before="40" w:after="40"/>
            </w:pPr>
            <w:r>
              <w:rPr>
                <w:rFonts w:ascii="Calibri" w:hAnsi="Calibri"/>
                <w:b/>
                <w:color w:val="FFFFFF"/>
                <w:sz w:val="18"/>
              </w:rPr>
              <w:t>Item</w:t>
            </w:r>
          </w:p>
        </w:tc>
        <w:tc>
          <w:tcPr>
            <w:tcW w:type="dxa" w:w="4320"/>
            <w:shd w:val="clear" w:color="auto" w:fill="0D2B55"/>
          </w:tcPr>
          <w:p>
            <w:pPr>
              <w:spacing w:before="40" w:after="40"/>
            </w:pPr>
            <w:r>
              <w:rPr>
                <w:rFonts w:ascii="Calibri" w:hAnsi="Calibri"/>
                <w:b/>
                <w:color w:val="FFFFFF"/>
                <w:sz w:val="18"/>
              </w:rPr>
              <w:t>Compensation Rate</w:t>
            </w:r>
          </w:p>
        </w:tc>
      </w:tr>
      <w:tr>
        <w:tc>
          <w:tcPr>
            <w:tcW w:type="dxa" w:w="5040"/>
            <w:shd w:val="clear" w:color="auto" w:fill="FFFFFF"/>
          </w:tcPr>
          <w:p>
            <w:pPr>
              <w:spacing w:before="20" w:after="20"/>
            </w:pPr>
            <w:r>
              <w:rPr>
                <w:rFonts w:ascii="Calibri" w:hAnsi="Calibri"/>
                <w:sz w:val="18"/>
              </w:rPr>
              <w:t>C Check — each month short of 24-month minimum</w:t>
            </w:r>
          </w:p>
        </w:tc>
        <w:tc>
          <w:tcPr>
            <w:tcW w:type="dxa" w:w="4320"/>
            <w:shd w:val="clear" w:color="auto" w:fill="FFFFFF"/>
          </w:tcPr>
          <w:p>
            <w:pPr>
              <w:spacing w:before="20" w:after="20"/>
            </w:pPr>
            <w:r>
              <w:rPr>
                <w:rFonts w:ascii="Calibri" w:hAnsi="Calibri"/>
                <w:sz w:val="18"/>
              </w:rPr>
              <w:t>USD 62,000 / month</w:t>
            </w:r>
          </w:p>
        </w:tc>
      </w:tr>
      <w:tr>
        <w:tc>
          <w:tcPr>
            <w:tcW w:type="dxa" w:w="5040"/>
            <w:shd w:val="clear" w:color="auto" w:fill="F4F7FC"/>
          </w:tcPr>
          <w:p>
            <w:pPr>
              <w:spacing w:before="20" w:after="20"/>
            </w:pPr>
            <w:r>
              <w:rPr>
                <w:rFonts w:ascii="Calibri" w:hAnsi="Calibri"/>
                <w:sz w:val="18"/>
              </w:rPr>
              <w:t>Engine PRSV — each month short of 36-month minimum</w:t>
            </w:r>
          </w:p>
        </w:tc>
        <w:tc>
          <w:tcPr>
            <w:tcW w:type="dxa" w:w="4320"/>
            <w:shd w:val="clear" w:color="auto" w:fill="F4F7FC"/>
          </w:tcPr>
          <w:p>
            <w:pPr>
              <w:spacing w:before="20" w:after="20"/>
            </w:pPr>
            <w:r>
              <w:rPr>
                <w:rFonts w:ascii="Calibri" w:hAnsi="Calibri"/>
                <w:sz w:val="18"/>
              </w:rPr>
              <w:t>USD 45,000 / month / engine</w:t>
            </w:r>
          </w:p>
        </w:tc>
      </w:tr>
      <w:tr>
        <w:tc>
          <w:tcPr>
            <w:tcW w:type="dxa" w:w="5040"/>
            <w:shd w:val="clear" w:color="auto" w:fill="FFFFFF"/>
          </w:tcPr>
          <w:p>
            <w:pPr>
              <w:spacing w:before="20" w:after="20"/>
            </w:pPr>
            <w:r>
              <w:rPr>
                <w:rFonts w:ascii="Calibri" w:hAnsi="Calibri"/>
                <w:sz w:val="18"/>
              </w:rPr>
              <w:t>Engine LLP — each FC short of 2,500 minimum (per LLP)</w:t>
            </w:r>
          </w:p>
        </w:tc>
        <w:tc>
          <w:tcPr>
            <w:tcW w:type="dxa" w:w="4320"/>
            <w:shd w:val="clear" w:color="auto" w:fill="FFFFFF"/>
          </w:tcPr>
          <w:p>
            <w:pPr>
              <w:spacing w:before="20" w:after="20"/>
            </w:pPr>
            <w:r>
              <w:rPr>
                <w:rFonts w:ascii="Calibri" w:hAnsi="Calibri"/>
                <w:sz w:val="18"/>
              </w:rPr>
              <w:t>USD 185 / FC / LLP</w:t>
            </w:r>
          </w:p>
        </w:tc>
      </w:tr>
      <w:tr>
        <w:tc>
          <w:tcPr>
            <w:tcW w:type="dxa" w:w="5040"/>
            <w:shd w:val="clear" w:color="auto" w:fill="F4F7FC"/>
          </w:tcPr>
          <w:p>
            <w:pPr>
              <w:spacing w:before="20" w:after="20"/>
            </w:pPr>
            <w:r>
              <w:rPr>
                <w:rFonts w:ascii="Calibri" w:hAnsi="Calibri"/>
                <w:sz w:val="18"/>
              </w:rPr>
              <w:t>Landing Gear — each month short of 24-month minimum</w:t>
            </w:r>
          </w:p>
        </w:tc>
        <w:tc>
          <w:tcPr>
            <w:tcW w:type="dxa" w:w="4320"/>
            <w:shd w:val="clear" w:color="auto" w:fill="F4F7FC"/>
          </w:tcPr>
          <w:p>
            <w:pPr>
              <w:spacing w:before="20" w:after="20"/>
            </w:pPr>
            <w:r>
              <w:rPr>
                <w:rFonts w:ascii="Calibri" w:hAnsi="Calibri"/>
                <w:sz w:val="18"/>
              </w:rPr>
              <w:t>USD 18,000 / month / leg</w:t>
            </w:r>
          </w:p>
        </w:tc>
      </w:tr>
      <w:tr>
        <w:tc>
          <w:tcPr>
            <w:tcW w:type="dxa" w:w="5040"/>
            <w:shd w:val="clear" w:color="auto" w:fill="FFFFFF"/>
          </w:tcPr>
          <w:p>
            <w:pPr>
              <w:spacing w:before="20" w:after="20"/>
            </w:pPr>
            <w:r>
              <w:rPr>
                <w:rFonts w:ascii="Calibri" w:hAnsi="Calibri"/>
                <w:sz w:val="18"/>
              </w:rPr>
              <w:t>APU — each month short of 24-month minimum</w:t>
            </w:r>
          </w:p>
        </w:tc>
        <w:tc>
          <w:tcPr>
            <w:tcW w:type="dxa" w:w="4320"/>
            <w:shd w:val="clear" w:color="auto" w:fill="FFFFFF"/>
          </w:tcPr>
          <w:p>
            <w:pPr>
              <w:spacing w:before="20" w:after="20"/>
            </w:pPr>
            <w:r>
              <w:rPr>
                <w:rFonts w:ascii="Calibri" w:hAnsi="Calibri"/>
                <w:sz w:val="18"/>
              </w:rPr>
              <w:t>USD 8,000 / month</w:t>
            </w:r>
          </w:p>
        </w:tc>
      </w:tr>
      <w:tr>
        <w:tc>
          <w:tcPr>
            <w:tcW w:type="dxa" w:w="5040"/>
            <w:shd w:val="clear" w:color="auto" w:fill="F4F7FC"/>
          </w:tcPr>
          <w:p>
            <w:pPr>
              <w:spacing w:before="20" w:after="20"/>
            </w:pPr>
            <w:r>
              <w:rPr>
                <w:rFonts w:ascii="Calibri" w:hAnsi="Calibri"/>
                <w:sz w:val="18"/>
              </w:rPr>
              <w:t>Exterior repaint required</w:t>
            </w:r>
          </w:p>
        </w:tc>
        <w:tc>
          <w:tcPr>
            <w:tcW w:type="dxa" w:w="4320"/>
            <w:shd w:val="clear" w:color="auto" w:fill="F4F7FC"/>
          </w:tcPr>
          <w:p>
            <w:pPr>
              <w:spacing w:before="20" w:after="20"/>
            </w:pPr>
            <w:r>
              <w:rPr>
                <w:rFonts w:ascii="Calibri" w:hAnsi="Calibri"/>
                <w:sz w:val="18"/>
              </w:rPr>
              <w:t>USD 185,000 lump sum</w:t>
            </w:r>
          </w:p>
        </w:tc>
      </w:tr>
      <w:tr>
        <w:tc>
          <w:tcPr>
            <w:tcW w:type="dxa" w:w="5040"/>
            <w:shd w:val="clear" w:color="auto" w:fill="FFFFFF"/>
          </w:tcPr>
          <w:p>
            <w:pPr>
              <w:spacing w:before="20" w:after="20"/>
            </w:pPr>
            <w:r>
              <w:rPr>
                <w:rFonts w:ascii="Calibri" w:hAnsi="Calibri"/>
                <w:sz w:val="18"/>
              </w:rPr>
              <w:t>Seat cover replacement</w:t>
            </w:r>
          </w:p>
        </w:tc>
        <w:tc>
          <w:tcPr>
            <w:tcW w:type="dxa" w:w="4320"/>
            <w:shd w:val="clear" w:color="auto" w:fill="FFFFFF"/>
          </w:tcPr>
          <w:p>
            <w:pPr>
              <w:spacing w:before="20" w:after="20"/>
            </w:pPr>
            <w:r>
              <w:rPr>
                <w:rFonts w:ascii="Calibri" w:hAnsi="Calibri"/>
                <w:sz w:val="18"/>
              </w:rPr>
              <w:t>USD 1,200 / seat</w:t>
            </w:r>
          </w:p>
        </w:tc>
      </w:tr>
      <w:tr>
        <w:tc>
          <w:tcPr>
            <w:tcW w:type="dxa" w:w="5040"/>
            <w:shd w:val="clear" w:color="auto" w:fill="F4F7FC"/>
          </w:tcPr>
          <w:p>
            <w:pPr>
              <w:spacing w:before="20" w:after="20"/>
            </w:pPr>
            <w:r>
              <w:rPr>
                <w:rFonts w:ascii="Calibri" w:hAnsi="Calibri"/>
                <w:sz w:val="18"/>
              </w:rPr>
              <w:t>Full carpet replacement</w:t>
            </w:r>
          </w:p>
        </w:tc>
        <w:tc>
          <w:tcPr>
            <w:tcW w:type="dxa" w:w="4320"/>
            <w:shd w:val="clear" w:color="auto" w:fill="F4F7FC"/>
          </w:tcPr>
          <w:p>
            <w:pPr>
              <w:spacing w:before="20" w:after="20"/>
            </w:pPr>
            <w:r>
              <w:rPr>
                <w:rFonts w:ascii="Calibri" w:hAnsi="Calibri"/>
                <w:sz w:val="18"/>
              </w:rPr>
              <w:t>USD 28,000 lump sum</w:t>
            </w:r>
          </w:p>
        </w:tc>
      </w:tr>
      <w:tr>
        <w:tc>
          <w:tcPr>
            <w:tcW w:type="dxa" w:w="5040"/>
            <w:shd w:val="clear" w:color="auto" w:fill="FFFFFF"/>
          </w:tcPr>
          <w:p>
            <w:pPr>
              <w:spacing w:before="20" w:after="20"/>
            </w:pPr>
            <w:r>
              <w:rPr>
                <w:rFonts w:ascii="Calibri" w:hAnsi="Calibri"/>
                <w:sz w:val="18"/>
              </w:rPr>
              <w:t>Open MEL item beyond window</w:t>
            </w:r>
          </w:p>
        </w:tc>
        <w:tc>
          <w:tcPr>
            <w:tcW w:type="dxa" w:w="4320"/>
            <w:shd w:val="clear" w:color="auto" w:fill="FFFFFF"/>
          </w:tcPr>
          <w:p>
            <w:pPr>
              <w:spacing w:before="20" w:after="20"/>
            </w:pPr>
            <w:r>
              <w:rPr>
                <w:rFonts w:ascii="Calibri" w:hAnsi="Calibri"/>
                <w:sz w:val="18"/>
              </w:rPr>
              <w:t>USD 5,000 / item / day until closed</w:t>
            </w:r>
          </w:p>
        </w:tc>
      </w:tr>
    </w:tbl>
    <w:p/>
    <w:p>
      <w:r>
        <w:br w:type="page"/>
      </w:r>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4320"/>
        <w:gridCol w:w="4320"/>
      </w:tblGrid>
      <w:tr>
        <w:tc>
          <w:tcPr>
            <w:tcW w:type="dxa" w:w="4320"/>
            <w:shd w:val="clear" w:color="auto" w:fill="E8EFF8"/>
          </w:tcPr>
          <w:p>
            <w:r>
              <w:rPr>
                <w:rFonts w:ascii="Calibri" w:hAnsi="Calibri"/>
                <w:b/>
                <w:color w:val="0D2B55"/>
                <w:sz w:val="20"/>
              </w:rPr>
              <w:t>LESSOR</w:t>
            </w:r>
          </w:p>
        </w:tc>
        <w:tc>
          <w:tcPr>
            <w:tcW w:type="dxa" w:w="4320"/>
            <w:shd w:val="clear" w:color="auto" w:fill="E8EFF8"/>
          </w:tcPr>
          <w:p>
            <w:r>
              <w:rPr>
                <w:rFonts w:ascii="Calibri" w:hAnsi="Calibri"/>
                <w:b/>
                <w:color w:val="0D2B55"/>
                <w:sz w:val="20"/>
              </w:rPr>
              <w:t>LESSEE</w:t>
            </w:r>
          </w:p>
        </w:tc>
      </w:tr>
      <w:tr>
        <w:tc>
          <w:tcPr>
            <w:tcW w:type="dxa" w:w="4320"/>
          </w:tcPr>
          <w:p>
            <w:r>
              <w:rPr>
                <w:rFonts w:ascii="Calibri" w:hAnsi="Calibri"/>
                <w:sz w:val="20"/>
              </w:rPr>
              <w:t>By: _________________________</w:t>
            </w:r>
          </w:p>
        </w:tc>
        <w:tc>
          <w:tcPr>
            <w:tcW w:type="dxa" w:w="4320"/>
          </w:tcPr>
          <w:p>
            <w:r>
              <w:rPr>
                <w:rFonts w:ascii="Calibri" w:hAnsi="Calibri"/>
                <w:sz w:val="20"/>
              </w:rPr>
              <w:t>By: _________________________</w:t>
            </w:r>
          </w:p>
        </w:tc>
      </w:tr>
      <w:tr>
        <w:tc>
          <w:tcPr>
            <w:tcW w:type="dxa" w:w="4320"/>
          </w:tcPr>
          <w:p>
            <w:r>
              <w:rPr>
                <w:rFonts w:ascii="Calibri" w:hAnsi="Calibri"/>
                <w:sz w:val="20"/>
              </w:rPr>
              <w:t>Name: James O'Sullivan</w:t>
            </w:r>
          </w:p>
        </w:tc>
        <w:tc>
          <w:tcPr>
            <w:tcW w:type="dxa" w:w="4320"/>
          </w:tcPr>
          <w:p>
            <w:r>
              <w:rPr>
                <w:rFonts w:ascii="Calibri" w:hAnsi="Calibri"/>
                <w:sz w:val="20"/>
              </w:rPr>
              <w:t>Name: Catherine M. Rodriguez</w:t>
            </w:r>
          </w:p>
        </w:tc>
      </w:tr>
      <w:tr>
        <w:tc>
          <w:tcPr>
            <w:tcW w:type="dxa" w:w="4320"/>
          </w:tcPr>
          <w:p>
            <w:r>
              <w:rPr>
                <w:rFonts w:ascii="Calibri" w:hAnsi="Calibri"/>
                <w:sz w:val="20"/>
              </w:rPr>
              <w:t>Title: Managing Director</w:t>
            </w:r>
          </w:p>
        </w:tc>
        <w:tc>
          <w:tcPr>
            <w:tcW w:type="dxa" w:w="4320"/>
          </w:tcPr>
          <w:p>
            <w:r>
              <w:rPr>
                <w:rFonts w:ascii="Calibri" w:hAnsi="Calibri"/>
                <w:sz w:val="20"/>
              </w:rPr>
              <w:t>Title: EVP Finance</w:t>
            </w:r>
          </w:p>
        </w:tc>
      </w:tr>
      <w:tr>
        <w:tc>
          <w:tcPr>
            <w:tcW w:type="dxa" w:w="4320"/>
          </w:tcPr>
          <w:p>
            <w:r>
              <w:rPr>
                <w:rFonts w:ascii="Calibri" w:hAnsi="Calibri"/>
                <w:sz w:val="20"/>
              </w:rPr>
              <w:t>Date: 2022-11-01</w:t>
            </w:r>
          </w:p>
        </w:tc>
        <w:tc>
          <w:tcPr>
            <w:tcW w:type="dxa" w:w="4320"/>
          </w:tcPr>
          <w:p>
            <w:r>
              <w:rPr>
                <w:rFonts w:ascii="Calibri" w:hAnsi="Calibri"/>
                <w:sz w:val="20"/>
              </w:rPr>
              <w:t>Date: 2022-11-01</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Global Wing Finance BV</w:t>
          </w:r>
        </w:p>
      </w:tc>
      <w:tc>
        <w:tcPr>
          <w:tcW w:type="dxa" w:w="3120"/>
        </w:tcPr>
        <w:p>
          <w:pPr>
            <w:jc w:val="center"/>
          </w:pPr>
          <w:r>
            <w:rPr>
              <w:rFonts w:ascii="Calibri" w:hAnsi="Calibri"/>
              <w:color w:val="666666"/>
              <w:sz w:val="16"/>
            </w:rPr>
            <w:t>AIRCRAFT LEASE AGREEMENT</w:t>
          </w:r>
        </w:p>
      </w:tc>
      <w:tc>
        <w:tcPr>
          <w:tcW w:type="dxa" w:w="3120"/>
        </w:tcPr>
        <w:p>
          <w:pPr>
            <w:jc w:val="right"/>
          </w:pPr>
          <w:r>
            <w:rPr>
              <w:rFonts w:ascii="Calibri" w:hAnsi="Calibri"/>
              <w:color w:val="666666"/>
              <w:sz w:val="16"/>
            </w:rPr>
            <w:t>ALA-2029-005</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