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RETURN CONDITION REPORT</w:t>
      </w:r>
    </w:p>
    <w:p>
      <w:pPr>
        <w:spacing w:after="120"/>
        <w:jc w:val="left"/>
      </w:pPr>
      <w:r>
        <w:rPr>
          <w:rFonts w:ascii="Calibri" w:hAnsi="Calibri"/>
          <w:b/>
          <w:color w:val="0D2B55"/>
          <w:sz w:val="44"/>
        </w:rPr>
        <w:t>Aircraft Return — Lease Expiry 2030-01-14</w:t>
      </w:r>
    </w:p>
    <w:p>
      <w:pPr>
        <w:spacing w:after="400"/>
      </w:pPr>
      <w:r>
        <w:rPr>
          <w:rFonts w:ascii="Calibri" w:hAnsi="Calibri"/>
          <w:color w:val="666666"/>
          <w:sz w:val="20"/>
        </w:rPr>
        <w:t>Reference: RCR-N12345-2030-01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737-800</w:t>
            </w:r>
          </w:p>
        </w:tc>
        <w:tc>
          <w:tcPr>
            <w:tcW w:type="dxa" w:w="1728"/>
            <w:shd w:val="clear" w:color="auto" w:fill="E8EFF8"/>
          </w:tcPr>
          <w:p>
            <w:r>
              <w:rPr>
                <w:rFonts w:ascii="Calibri" w:hAnsi="Calibri"/>
                <w:b/>
                <w:color w:val="0D2B55"/>
                <w:sz w:val="18"/>
              </w:rPr>
              <w:t>42301</w:t>
            </w:r>
          </w:p>
        </w:tc>
        <w:tc>
          <w:tcPr>
            <w:tcW w:type="dxa" w:w="1728"/>
            <w:shd w:val="clear" w:color="auto" w:fill="E8EFF8"/>
          </w:tcPr>
          <w:p>
            <w:r>
              <w:rPr>
                <w:rFonts w:ascii="Calibri" w:hAnsi="Calibri"/>
                <w:b/>
                <w:color w:val="0D2B55"/>
                <w:sz w:val="18"/>
              </w:rPr>
              <w:t>N12345</w:t>
            </w:r>
          </w:p>
        </w:tc>
        <w:tc>
          <w:tcPr>
            <w:tcW w:type="dxa" w:w="1728"/>
            <w:shd w:val="clear" w:color="auto" w:fill="E8EFF8"/>
          </w:tcPr>
          <w:p>
            <w:r>
              <w:rPr>
                <w:rFonts w:ascii="Calibri" w:hAnsi="Calibri"/>
                <w:b/>
                <w:color w:val="0D2B55"/>
                <w:sz w:val="18"/>
              </w:rPr>
              <w:t>CFM56-7B27</w:t>
            </w:r>
          </w:p>
        </w:tc>
        <w:tc>
          <w:tcPr>
            <w:tcW w:type="dxa" w:w="1728"/>
            <w:shd w:val="clear" w:color="auto" w:fill="E8EFF8"/>
          </w:tcPr>
          <w:p>
            <w:r>
              <w:rPr>
                <w:rFonts w:ascii="Calibri" w:hAnsi="Calibri"/>
                <w:b/>
                <w:color w:val="0D2B55"/>
                <w:sz w:val="18"/>
              </w:rPr>
              <w:t>2018</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SkyBridge Airlines Inc.</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Return Location</w:t>
            </w:r>
          </w:p>
        </w:tc>
        <w:tc>
          <w:tcPr>
            <w:tcW w:type="dxa" w:w="4752"/>
            <w:shd w:val="clear" w:color="auto" w:fill="E8EFF8"/>
          </w:tcPr>
          <w:p>
            <w:r>
              <w:rPr>
                <w:rFonts w:ascii="Calibri" w:hAnsi="Calibri"/>
                <w:sz w:val="18"/>
              </w:rPr>
              <w:t>Miami Intl Airport (MIA)</w:t>
            </w:r>
          </w:p>
        </w:tc>
        <w:tc>
          <w:tcPr>
            <w:tcW w:type="dxa" w:w="2880"/>
            <w:shd w:val="clear" w:color="auto" w:fill="E8EFF8"/>
          </w:tcPr>
          <w:p>
            <w:r>
              <w:rPr>
                <w:rFonts w:ascii="Calibri" w:hAnsi="Calibri"/>
                <w:sz w:val="18"/>
              </w:rPr>
              <w:t>Florida, USA</w:t>
            </w:r>
          </w:p>
        </w:tc>
      </w:tr>
    </w:tbl>
    <w:p/>
    <w:p>
      <w:pPr>
        <w:spacing w:after="120"/>
        <w:jc w:val="left"/>
        <w:shd w:val="clear" w:color="auto" w:fill="1A569E"/>
      </w:pPr>
      <w:r>
        <w:rPr>
          <w:rFonts w:ascii="Calibri" w:hAnsi="Calibri"/>
          <w:b/>
          <w:color w:val="FFFFFF"/>
          <w:sz w:val="20"/>
        </w:rPr>
        <w:t xml:space="preserve">  FINAL — SIGNED  </w:t>
      </w:r>
    </w:p>
    <w:p>
      <w:r>
        <w:rPr>
          <w:rFonts w:ascii="Calibri" w:hAnsi="Calibri"/>
          <w:color w:val="666666"/>
          <w:sz w:val="20"/>
        </w:rPr>
        <w:t>Dated: 2024-01-15</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RETURN OVERVIEW</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w:t>
            </w:r>
          </w:p>
        </w:tc>
        <w:tc>
          <w:tcPr>
            <w:tcW w:type="dxa" w:w="5760"/>
            <w:shd w:val="clear" w:color="auto" w:fill="FFFFFF"/>
          </w:tcPr>
          <w:p>
            <w:pPr>
              <w:spacing w:before="20" w:after="20"/>
            </w:pPr>
            <w:r>
              <w:rPr>
                <w:rFonts w:ascii="Calibri" w:hAnsi="Calibri"/>
                <w:sz w:val="18"/>
              </w:rPr>
              <w:t>Boeing 737-800 / N12345 / MSN 42301</w:t>
            </w:r>
          </w:p>
        </w:tc>
      </w:tr>
      <w:tr>
        <w:tc>
          <w:tcPr>
            <w:tcW w:type="dxa" w:w="3600"/>
            <w:shd w:val="clear" w:color="auto" w:fill="F4F7FC"/>
          </w:tcPr>
          <w:p>
            <w:pPr>
              <w:spacing w:before="20" w:after="20"/>
            </w:pPr>
            <w:r>
              <w:rPr>
                <w:rFonts w:ascii="Calibri" w:hAnsi="Calibri"/>
                <w:sz w:val="18"/>
              </w:rPr>
              <w:t>Lease Expiry</w:t>
            </w:r>
          </w:p>
        </w:tc>
        <w:tc>
          <w:tcPr>
            <w:tcW w:type="dxa" w:w="5760"/>
            <w:shd w:val="clear" w:color="auto" w:fill="F4F7FC"/>
          </w:tcPr>
          <w:p>
            <w:pPr>
              <w:spacing w:before="20" w:after="20"/>
            </w:pPr>
            <w:r>
              <w:rPr>
                <w:rFonts w:ascii="Calibri" w:hAnsi="Calibri"/>
                <w:sz w:val="18"/>
              </w:rPr>
              <w:t>2030-01-14</w:t>
            </w:r>
          </w:p>
        </w:tc>
      </w:tr>
      <w:tr>
        <w:tc>
          <w:tcPr>
            <w:tcW w:type="dxa" w:w="3600"/>
            <w:shd w:val="clear" w:color="auto" w:fill="FFFFFF"/>
          </w:tcPr>
          <w:p>
            <w:pPr>
              <w:spacing w:before="20" w:after="20"/>
            </w:pPr>
            <w:r>
              <w:rPr>
                <w:rFonts w:ascii="Calibri" w:hAnsi="Calibri"/>
                <w:sz w:val="18"/>
              </w:rPr>
              <w:t>Return Date</w:t>
            </w:r>
          </w:p>
        </w:tc>
        <w:tc>
          <w:tcPr>
            <w:tcW w:type="dxa" w:w="5760"/>
            <w:shd w:val="clear" w:color="auto" w:fill="FFFFFF"/>
          </w:tcPr>
          <w:p>
            <w:pPr>
              <w:spacing w:before="20" w:after="20"/>
            </w:pPr>
            <w:r>
              <w:rPr>
                <w:rFonts w:ascii="Calibri" w:hAnsi="Calibri"/>
                <w:sz w:val="18"/>
              </w:rPr>
              <w:t>2030-01-14</w:t>
            </w:r>
          </w:p>
        </w:tc>
      </w:tr>
      <w:tr>
        <w:tc>
          <w:tcPr>
            <w:tcW w:type="dxa" w:w="3600"/>
            <w:shd w:val="clear" w:color="auto" w:fill="F4F7FC"/>
          </w:tcPr>
          <w:p>
            <w:pPr>
              <w:spacing w:before="20" w:after="20"/>
            </w:pPr>
            <w:r>
              <w:rPr>
                <w:rFonts w:ascii="Calibri" w:hAnsi="Calibri"/>
                <w:sz w:val="18"/>
              </w:rPr>
              <w:t>Return Location</w:t>
            </w:r>
          </w:p>
        </w:tc>
        <w:tc>
          <w:tcPr>
            <w:tcW w:type="dxa" w:w="5760"/>
            <w:shd w:val="clear" w:color="auto" w:fill="F4F7FC"/>
          </w:tcPr>
          <w:p>
            <w:pPr>
              <w:spacing w:before="20" w:after="20"/>
            </w:pPr>
            <w:r>
              <w:rPr>
                <w:rFonts w:ascii="Calibri" w:hAnsi="Calibri"/>
                <w:sz w:val="18"/>
              </w:rPr>
              <w:t>Miami International Airport (MIA), FL, USA</w:t>
            </w:r>
          </w:p>
        </w:tc>
      </w:tr>
      <w:tr>
        <w:tc>
          <w:tcPr>
            <w:tcW w:type="dxa" w:w="3600"/>
            <w:shd w:val="clear" w:color="auto" w:fill="FFFFFF"/>
          </w:tcPr>
          <w:p>
            <w:pPr>
              <w:spacing w:before="20" w:after="20"/>
            </w:pPr>
            <w:r>
              <w:rPr>
                <w:rFonts w:ascii="Calibri" w:hAnsi="Calibri"/>
                <w:sz w:val="18"/>
              </w:rPr>
              <w:t>Lessor Inspector</w:t>
            </w:r>
          </w:p>
        </w:tc>
        <w:tc>
          <w:tcPr>
            <w:tcW w:type="dxa" w:w="5760"/>
            <w:shd w:val="clear" w:color="auto" w:fill="FFFFFF"/>
          </w:tcPr>
          <w:p>
            <w:pPr>
              <w:spacing w:before="20" w:after="20"/>
            </w:pPr>
            <w:r>
              <w:rPr>
                <w:rFonts w:ascii="Calibri" w:hAnsi="Calibri"/>
                <w:sz w:val="18"/>
              </w:rPr>
              <w:t>Declan Murphy (AME), Murphy Aviation Surveys Ltd</w:t>
            </w:r>
          </w:p>
        </w:tc>
      </w:tr>
      <w:tr>
        <w:tc>
          <w:tcPr>
            <w:tcW w:type="dxa" w:w="3600"/>
            <w:shd w:val="clear" w:color="auto" w:fill="F4F7FC"/>
          </w:tcPr>
          <w:p>
            <w:pPr>
              <w:spacing w:before="20" w:after="20"/>
            </w:pPr>
            <w:r>
              <w:rPr>
                <w:rFonts w:ascii="Calibri" w:hAnsi="Calibri"/>
                <w:sz w:val="18"/>
              </w:rPr>
              <w:t>Lessee Inspector</w:t>
            </w:r>
          </w:p>
        </w:tc>
        <w:tc>
          <w:tcPr>
            <w:tcW w:type="dxa" w:w="5760"/>
            <w:shd w:val="clear" w:color="auto" w:fill="F4F7FC"/>
          </w:tcPr>
          <w:p>
            <w:pPr>
              <w:spacing w:before="20" w:after="20"/>
            </w:pPr>
            <w:r>
              <w:rPr>
                <w:rFonts w:ascii="Calibri" w:hAnsi="Calibri"/>
                <w:sz w:val="18"/>
              </w:rPr>
              <w:t>James Parrish (A&amp;P/IA), VP Engineering</w:t>
            </w:r>
          </w:p>
        </w:tc>
      </w:tr>
      <w:tr>
        <w:tc>
          <w:tcPr>
            <w:tcW w:type="dxa" w:w="3600"/>
            <w:shd w:val="clear" w:color="auto" w:fill="FFFFFF"/>
          </w:tcPr>
          <w:p>
            <w:pPr>
              <w:spacing w:before="20" w:after="20"/>
            </w:pPr>
            <w:r>
              <w:rPr>
                <w:rFonts w:ascii="Calibri" w:hAnsi="Calibri"/>
                <w:sz w:val="18"/>
              </w:rPr>
              <w:t>Independent Inspector</w:t>
            </w:r>
          </w:p>
        </w:tc>
        <w:tc>
          <w:tcPr>
            <w:tcW w:type="dxa" w:w="5760"/>
            <w:shd w:val="clear" w:color="auto" w:fill="FFFFFF"/>
          </w:tcPr>
          <w:p>
            <w:pPr>
              <w:spacing w:before="20" w:after="20"/>
            </w:pPr>
            <w:r>
              <w:rPr>
                <w:rFonts w:ascii="Calibri" w:hAnsi="Calibri"/>
                <w:sz w:val="18"/>
              </w:rPr>
              <w:t>AeroDynamic Advisory LLC</w:t>
            </w:r>
          </w:p>
        </w:tc>
      </w:tr>
      <w:tr>
        <w:tc>
          <w:tcPr>
            <w:tcW w:type="dxa" w:w="3600"/>
            <w:shd w:val="clear" w:color="auto" w:fill="F4F7FC"/>
          </w:tcPr>
          <w:p>
            <w:pPr>
              <w:spacing w:before="20" w:after="20"/>
            </w:pPr>
            <w:r>
              <w:rPr>
                <w:rFonts w:ascii="Calibri" w:hAnsi="Calibri"/>
                <w:sz w:val="18"/>
              </w:rPr>
              <w:t>Total FH Accumulated (Lease Period)</w:t>
            </w:r>
          </w:p>
        </w:tc>
        <w:tc>
          <w:tcPr>
            <w:tcW w:type="dxa" w:w="5760"/>
            <w:shd w:val="clear" w:color="auto" w:fill="F4F7FC"/>
          </w:tcPr>
          <w:p>
            <w:pPr>
              <w:spacing w:before="20" w:after="20"/>
            </w:pPr>
            <w:r>
              <w:rPr>
                <w:rFonts w:ascii="Calibri" w:hAnsi="Calibri"/>
                <w:sz w:val="18"/>
              </w:rPr>
              <w:t>15,363 FH</w:t>
            </w:r>
          </w:p>
        </w:tc>
      </w:tr>
      <w:tr>
        <w:tc>
          <w:tcPr>
            <w:tcW w:type="dxa" w:w="3600"/>
            <w:shd w:val="clear" w:color="auto" w:fill="FFFFFF"/>
          </w:tcPr>
          <w:p>
            <w:pPr>
              <w:spacing w:before="20" w:after="20"/>
            </w:pPr>
            <w:r>
              <w:rPr>
                <w:rFonts w:ascii="Calibri" w:hAnsi="Calibri"/>
                <w:sz w:val="18"/>
              </w:rPr>
              <w:t>Total FC Accumulated (Lease Period)</w:t>
            </w:r>
          </w:p>
        </w:tc>
        <w:tc>
          <w:tcPr>
            <w:tcW w:type="dxa" w:w="5760"/>
            <w:shd w:val="clear" w:color="auto" w:fill="FFFFFF"/>
          </w:tcPr>
          <w:p>
            <w:pPr>
              <w:spacing w:before="20" w:after="20"/>
            </w:pPr>
            <w:r>
              <w:rPr>
                <w:rFonts w:ascii="Calibri" w:hAnsi="Calibri"/>
                <w:sz w:val="18"/>
              </w:rPr>
              <w:t>11,611 FC</w:t>
            </w:r>
          </w:p>
        </w:tc>
      </w:tr>
    </w:tbl>
    <w:p/>
    <w:p>
      <w:r>
        <w:br w:type="page"/>
      </w:r>
    </w:p>
    <w:p>
      <w:pPr>
        <w:pStyle w:val="Heading2"/>
      </w:pPr>
      <w:r>
        <w:rPr>
          <w:rFonts w:ascii="Calibri" w:hAnsi="Calibri"/>
          <w:b/>
          <w:color w:val="0D2B55"/>
          <w:sz w:val="24"/>
        </w:rPr>
        <w:t>2. AIRFRAME STATUS AT RETURN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Parameter</w:t>
            </w:r>
          </w:p>
        </w:tc>
        <w:tc>
          <w:tcPr>
            <w:tcW w:type="dxa" w:w="1296"/>
            <w:shd w:val="clear" w:color="auto" w:fill="0D2B55"/>
          </w:tcPr>
          <w:p>
            <w:pPr>
              <w:spacing w:before="40" w:after="40"/>
            </w:pPr>
            <w:r>
              <w:rPr>
                <w:rFonts w:ascii="Calibri" w:hAnsi="Calibri"/>
                <w:b/>
                <w:color w:val="FFFFFF"/>
                <w:sz w:val="18"/>
              </w:rPr>
              <w:t>At Delivery</w:t>
            </w:r>
          </w:p>
        </w:tc>
        <w:tc>
          <w:tcPr>
            <w:tcW w:type="dxa" w:w="1296"/>
            <w:shd w:val="clear" w:color="auto" w:fill="0D2B55"/>
          </w:tcPr>
          <w:p>
            <w:pPr>
              <w:spacing w:before="40" w:after="40"/>
            </w:pPr>
            <w:r>
              <w:rPr>
                <w:rFonts w:ascii="Calibri" w:hAnsi="Calibri"/>
                <w:b/>
                <w:color w:val="FFFFFF"/>
                <w:sz w:val="18"/>
              </w:rPr>
              <w:t>At Return</w:t>
            </w:r>
          </w:p>
        </w:tc>
        <w:tc>
          <w:tcPr>
            <w:tcW w:type="dxa" w:w="2016"/>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592"/>
            <w:shd w:val="clear" w:color="auto" w:fill="FFFFFF"/>
          </w:tcPr>
          <w:p>
            <w:pPr>
              <w:spacing w:before="20" w:after="20"/>
            </w:pPr>
            <w:r>
              <w:rPr>
                <w:rFonts w:ascii="Calibri" w:hAnsi="Calibri"/>
                <w:sz w:val="18"/>
              </w:rPr>
              <w:t>Total FH</w:t>
            </w:r>
          </w:p>
        </w:tc>
        <w:tc>
          <w:tcPr>
            <w:tcW w:type="dxa" w:w="1296"/>
            <w:shd w:val="clear" w:color="auto" w:fill="FFFFFF"/>
          </w:tcPr>
          <w:p>
            <w:pPr>
              <w:spacing w:before="20" w:after="20"/>
            </w:pPr>
            <w:r>
              <w:rPr>
                <w:rFonts w:ascii="Calibri" w:hAnsi="Calibri"/>
                <w:sz w:val="18"/>
              </w:rPr>
              <w:t>22,841</w:t>
            </w:r>
          </w:p>
        </w:tc>
        <w:tc>
          <w:tcPr>
            <w:tcW w:type="dxa" w:w="1296"/>
            <w:shd w:val="clear" w:color="auto" w:fill="FFFFFF"/>
          </w:tcPr>
          <w:p>
            <w:pPr>
              <w:spacing w:before="20" w:after="20"/>
            </w:pPr>
            <w:r>
              <w:rPr>
                <w:rFonts w:ascii="Calibri" w:hAnsi="Calibri"/>
                <w:sz w:val="18"/>
              </w:rPr>
              <w:t>38,204</w:t>
            </w:r>
          </w:p>
        </w:tc>
        <w:tc>
          <w:tcPr>
            <w:tcW w:type="dxa" w:w="2016"/>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INFO</w:t>
            </w:r>
          </w:p>
        </w:tc>
      </w:tr>
      <w:tr>
        <w:tc>
          <w:tcPr>
            <w:tcW w:type="dxa" w:w="2592"/>
            <w:shd w:val="clear" w:color="auto" w:fill="F4F7FC"/>
          </w:tcPr>
          <w:p>
            <w:pPr>
              <w:spacing w:before="20" w:after="20"/>
            </w:pPr>
            <w:r>
              <w:rPr>
                <w:rFonts w:ascii="Calibri" w:hAnsi="Calibri"/>
                <w:sz w:val="18"/>
              </w:rPr>
              <w:t>Total FC</w:t>
            </w:r>
          </w:p>
        </w:tc>
        <w:tc>
          <w:tcPr>
            <w:tcW w:type="dxa" w:w="1296"/>
            <w:shd w:val="clear" w:color="auto" w:fill="F4F7FC"/>
          </w:tcPr>
          <w:p>
            <w:pPr>
              <w:spacing w:before="20" w:after="20"/>
            </w:pPr>
            <w:r>
              <w:rPr>
                <w:rFonts w:ascii="Calibri" w:hAnsi="Calibri"/>
                <w:sz w:val="18"/>
              </w:rPr>
              <w:t>16,203</w:t>
            </w:r>
          </w:p>
        </w:tc>
        <w:tc>
          <w:tcPr>
            <w:tcW w:type="dxa" w:w="1296"/>
            <w:shd w:val="clear" w:color="auto" w:fill="F4F7FC"/>
          </w:tcPr>
          <w:p>
            <w:pPr>
              <w:spacing w:before="20" w:after="20"/>
            </w:pPr>
            <w:r>
              <w:rPr>
                <w:rFonts w:ascii="Calibri" w:hAnsi="Calibri"/>
                <w:sz w:val="18"/>
              </w:rPr>
              <w:t>27,814</w:t>
            </w:r>
          </w:p>
        </w:tc>
        <w:tc>
          <w:tcPr>
            <w:tcW w:type="dxa" w:w="2016"/>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INFO</w:t>
            </w:r>
          </w:p>
        </w:tc>
      </w:tr>
      <w:tr>
        <w:tc>
          <w:tcPr>
            <w:tcW w:type="dxa" w:w="2592"/>
            <w:shd w:val="clear" w:color="auto" w:fill="FFFFFF"/>
          </w:tcPr>
          <w:p>
            <w:pPr>
              <w:spacing w:before="20" w:after="20"/>
            </w:pPr>
            <w:r>
              <w:rPr>
                <w:rFonts w:ascii="Calibri" w:hAnsi="Calibri"/>
                <w:sz w:val="18"/>
              </w:rPr>
              <w:t>FH since C-Check</w:t>
            </w:r>
          </w:p>
        </w:tc>
        <w:tc>
          <w:tcPr>
            <w:tcW w:type="dxa" w:w="1296"/>
            <w:shd w:val="clear" w:color="auto" w:fill="FFFFFF"/>
          </w:tcPr>
          <w:p>
            <w:pPr>
              <w:spacing w:before="20" w:after="20"/>
            </w:pPr>
            <w:r>
              <w:rPr>
                <w:rFonts w:ascii="Calibri" w:hAnsi="Calibri"/>
                <w:sz w:val="18"/>
              </w:rPr>
              <w:t>4,102</w:t>
            </w:r>
          </w:p>
        </w:tc>
        <w:tc>
          <w:tcPr>
            <w:tcW w:type="dxa" w:w="1296"/>
            <w:shd w:val="clear" w:color="auto" w:fill="FFFFFF"/>
          </w:tcPr>
          <w:p>
            <w:pPr>
              <w:spacing w:before="20" w:after="20"/>
            </w:pPr>
            <w:r>
              <w:rPr>
                <w:rFonts w:ascii="Calibri" w:hAnsi="Calibri"/>
                <w:sz w:val="18"/>
              </w:rPr>
              <w:t>2,218</w:t>
            </w:r>
          </w:p>
        </w:tc>
        <w:tc>
          <w:tcPr>
            <w:tcW w:type="dxa" w:w="2016"/>
            <w:shd w:val="clear" w:color="auto" w:fill="FFFFFF"/>
          </w:tcPr>
          <w:p>
            <w:pPr>
              <w:spacing w:before="20" w:after="20"/>
            </w:pPr>
            <w:r>
              <w:rPr>
                <w:rFonts w:ascii="Calibri" w:hAnsi="Calibri"/>
                <w:sz w:val="18"/>
              </w:rPr>
              <w:t>Max 6,000 FH / 24 months</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Date of last C-Check</w:t>
            </w:r>
          </w:p>
        </w:tc>
        <w:tc>
          <w:tcPr>
            <w:tcW w:type="dxa" w:w="1296"/>
            <w:shd w:val="clear" w:color="auto" w:fill="F4F7FC"/>
          </w:tcPr>
          <w:p>
            <w:pPr>
              <w:spacing w:before="20" w:after="20"/>
            </w:pPr>
            <w:r>
              <w:rPr>
                <w:rFonts w:ascii="Calibri" w:hAnsi="Calibri"/>
                <w:sz w:val="18"/>
              </w:rPr>
              <w:t>2022-03-14</w:t>
            </w:r>
          </w:p>
        </w:tc>
        <w:tc>
          <w:tcPr>
            <w:tcW w:type="dxa" w:w="1296"/>
            <w:shd w:val="clear" w:color="auto" w:fill="F4F7FC"/>
          </w:tcPr>
          <w:p>
            <w:pPr>
              <w:spacing w:before="20" w:after="20"/>
            </w:pPr>
            <w:r>
              <w:rPr>
                <w:rFonts w:ascii="Calibri" w:hAnsi="Calibri"/>
                <w:sz w:val="18"/>
              </w:rPr>
              <w:t>2029-11-08</w:t>
            </w:r>
          </w:p>
        </w:tc>
        <w:tc>
          <w:tcPr>
            <w:tcW w:type="dxa" w:w="2016"/>
            <w:shd w:val="clear" w:color="auto" w:fill="F4F7FC"/>
          </w:tcPr>
          <w:p>
            <w:pPr>
              <w:spacing w:before="20" w:after="20"/>
            </w:pPr>
            <w:r>
              <w:rPr>
                <w:rFonts w:ascii="Calibri" w:hAnsi="Calibri"/>
                <w:sz w:val="18"/>
              </w:rPr>
              <w:t>Within 24 months</w:t>
            </w:r>
          </w:p>
        </w:tc>
        <w:tc>
          <w:tcPr>
            <w:tcW w:type="dxa" w:w="1152"/>
            <w:shd w:val="clear" w:color="auto" w:fill="F4F7FC"/>
          </w:tcPr>
          <w:p>
            <w:pPr>
              <w:spacing w:before="20" w:after="20"/>
            </w:pPr>
            <w:r>
              <w:rPr>
                <w:rFonts w:ascii="Calibri" w:hAnsi="Calibri"/>
                <w:sz w:val="18"/>
              </w:rPr>
              <w:t>PASS</w:t>
            </w:r>
          </w:p>
        </w:tc>
      </w:tr>
      <w:tr>
        <w:tc>
          <w:tcPr>
            <w:tcW w:type="dxa" w:w="2592"/>
            <w:shd w:val="clear" w:color="auto" w:fill="FFFFFF"/>
          </w:tcPr>
          <w:p>
            <w:pPr>
              <w:spacing w:before="20" w:after="20"/>
            </w:pPr>
            <w:r>
              <w:rPr>
                <w:rFonts w:ascii="Calibri" w:hAnsi="Calibri"/>
                <w:sz w:val="18"/>
              </w:rPr>
              <w:t>Open AD items</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0</w:t>
            </w:r>
          </w:p>
        </w:tc>
        <w:tc>
          <w:tcPr>
            <w:tcW w:type="dxa" w:w="2016"/>
            <w:shd w:val="clear" w:color="auto" w:fill="FFFFFF"/>
          </w:tcPr>
          <w:p>
            <w:pPr>
              <w:spacing w:before="20" w:after="20"/>
            </w:pPr>
            <w:r>
              <w:rPr>
                <w:rFonts w:ascii="Calibri" w:hAnsi="Calibri"/>
                <w:sz w:val="18"/>
              </w:rPr>
              <w:t>0 open</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Open structural repairs</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w:t>
            </w:r>
          </w:p>
        </w:tc>
        <w:tc>
          <w:tcPr>
            <w:tcW w:type="dxa" w:w="2016"/>
            <w:shd w:val="clear" w:color="auto" w:fill="F4F7FC"/>
          </w:tcPr>
          <w:p>
            <w:pPr>
              <w:spacing w:before="20" w:after="20"/>
            </w:pPr>
            <w:r>
              <w:rPr>
                <w:rFonts w:ascii="Calibri" w:hAnsi="Calibri"/>
                <w:sz w:val="18"/>
              </w:rPr>
              <w:t>0 open</w:t>
            </w:r>
          </w:p>
        </w:tc>
        <w:tc>
          <w:tcPr>
            <w:tcW w:type="dxa" w:w="1152"/>
            <w:shd w:val="clear" w:color="auto" w:fill="F4F7FC"/>
          </w:tcPr>
          <w:p>
            <w:pPr>
              <w:spacing w:before="20" w:after="20"/>
            </w:pPr>
            <w:r>
              <w:rPr>
                <w:rFonts w:ascii="Calibri" w:hAnsi="Calibri"/>
                <w:sz w:val="18"/>
              </w:rPr>
              <w:t>FAIL — compensation due</w:t>
            </w:r>
          </w:p>
        </w:tc>
      </w:tr>
      <w:tr>
        <w:tc>
          <w:tcPr>
            <w:tcW w:type="dxa" w:w="2592"/>
            <w:shd w:val="clear" w:color="auto" w:fill="FFFFFF"/>
          </w:tcPr>
          <w:p>
            <w:pPr>
              <w:spacing w:before="20" w:after="20"/>
            </w:pPr>
            <w:r>
              <w:rPr>
                <w:rFonts w:ascii="Calibri" w:hAnsi="Calibri"/>
                <w:sz w:val="18"/>
              </w:rPr>
              <w:t>Open MEL items</w:t>
            </w:r>
          </w:p>
        </w:tc>
        <w:tc>
          <w:tcPr>
            <w:tcW w:type="dxa" w:w="1296"/>
            <w:shd w:val="clear" w:color="auto" w:fill="FFFFFF"/>
          </w:tcPr>
          <w:p>
            <w:pPr>
              <w:spacing w:before="20" w:after="20"/>
            </w:pPr>
            <w:r>
              <w:rPr>
                <w:rFonts w:ascii="Calibri" w:hAnsi="Calibri"/>
                <w:sz w:val="18"/>
              </w:rPr>
              <w:t>3</w:t>
            </w:r>
          </w:p>
        </w:tc>
        <w:tc>
          <w:tcPr>
            <w:tcW w:type="dxa" w:w="1296"/>
            <w:shd w:val="clear" w:color="auto" w:fill="FFFFFF"/>
          </w:tcPr>
          <w:p>
            <w:pPr>
              <w:spacing w:before="20" w:after="20"/>
            </w:pPr>
            <w:r>
              <w:rPr>
                <w:rFonts w:ascii="Calibri" w:hAnsi="Calibri"/>
                <w:sz w:val="18"/>
              </w:rPr>
              <w:t>5</w:t>
            </w:r>
          </w:p>
        </w:tc>
        <w:tc>
          <w:tcPr>
            <w:tcW w:type="dxa" w:w="2016"/>
            <w:shd w:val="clear" w:color="auto" w:fill="FFFFFF"/>
          </w:tcPr>
          <w:p>
            <w:pPr>
              <w:spacing w:before="20" w:after="20"/>
            </w:pPr>
            <w:r>
              <w:rPr>
                <w:rFonts w:ascii="Calibri" w:hAnsi="Calibri"/>
                <w:sz w:val="18"/>
              </w:rPr>
              <w:t>Max Cat C in-window</w:t>
            </w:r>
          </w:p>
        </w:tc>
        <w:tc>
          <w:tcPr>
            <w:tcW w:type="dxa" w:w="1152"/>
            <w:shd w:val="clear" w:color="auto" w:fill="FFFFFF"/>
          </w:tcPr>
          <w:p>
            <w:pPr>
              <w:spacing w:before="20" w:after="20"/>
            </w:pPr>
            <w:r>
              <w:rPr>
                <w:rFonts w:ascii="Calibri" w:hAnsi="Calibri"/>
                <w:sz w:val="18"/>
              </w:rPr>
              <w:t>FAIL — 2 items overdue</w:t>
            </w:r>
          </w:p>
        </w:tc>
      </w:tr>
    </w:tbl>
    <w:p/>
    <w:p>
      <w:pPr>
        <w:pStyle w:val="Heading2"/>
      </w:pPr>
      <w:r>
        <w:rPr>
          <w:rFonts w:ascii="Calibri" w:hAnsi="Calibri"/>
          <w:b/>
          <w:color w:val="0D2B55"/>
          <w:sz w:val="24"/>
        </w:rPr>
        <w:t>3. ENGINE STATUS AT RETURN</w:t>
      </w:r>
    </w:p>
    <w:p>
      <w:pPr>
        <w:pBdr>
          <w:bottom w:val="single" w:sz="6" w:space="1" w:color="0D2B55"/>
        </w:pBdr>
        <w:spacing w:before="40" w:after="120"/>
      </w:pPr>
    </w:p>
    <w:p>
      <w:pPr>
        <w:pStyle w:val="Heading3"/>
      </w:pPr>
      <w:r>
        <w:rPr>
          <w:rFonts w:ascii="Calibri" w:hAnsi="Calibri"/>
          <w:b/>
          <w:color w:val="1A569E"/>
          <w:sz w:val="20"/>
        </w:rPr>
        <w:t>3. . Engine No. 1 — ESN ESN-892341</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pPr>
        <w:pStyle w:val="Heading3"/>
      </w:pPr>
      <w:r>
        <w:rPr>
          <w:rFonts w:ascii="Calibri" w:hAnsi="Calibri"/>
          <w:b/>
          <w:color w:val="1A569E"/>
          <w:sz w:val="20"/>
        </w:rPr>
        <w:t>3. . Engine No. 2 — ESN ESN-892342</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4. ENGINE LLP STATUS AT RETURN</w:t>
      </w:r>
    </w:p>
    <w:p>
      <w:pPr>
        <w:pBdr>
          <w:bottom w:val="single" w:sz="6" w:space="1" w:color="0D2B55"/>
        </w:pBdr>
        <w:spacing w:before="40" w:after="120"/>
      </w:pPr>
    </w:p>
    <w:p>
      <w:pPr>
        <w:spacing w:after="100"/>
      </w:pPr>
      <w:r>
        <w:rPr>
          <w:rFonts w:ascii="Calibri" w:hAnsi="Calibri"/>
          <w:i w:val="0"/>
          <w:sz w:val="20"/>
        </w:rPr>
        <w:t>LLPs below 2,500 FC remaining trigger compensation at USD 210/FC per LLP per lease Schedule 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shd w:val="clear" w:color="auto" w:fill="0D2B55"/>
          </w:tcPr>
          <w:p>
            <w:pPr>
              <w:spacing w:before="40" w:after="40"/>
            </w:pPr>
            <w:r>
              <w:rPr>
                <w:rFonts w:ascii="Calibri" w:hAnsi="Calibri"/>
                <w:b/>
                <w:color w:val="FFFFFF"/>
                <w:sz w:val="18"/>
              </w:rPr>
              <w:t>Module</w:t>
            </w:r>
          </w:p>
        </w:tc>
        <w:tc>
          <w:tcPr>
            <w:tcW w:type="dxa" w:w="1440"/>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w:t>
            </w:r>
          </w:p>
        </w:tc>
        <w:tc>
          <w:tcPr>
            <w:tcW w:type="dxa" w:w="864"/>
            <w:shd w:val="clear" w:color="auto" w:fill="0D2B55"/>
          </w:tcPr>
          <w:p>
            <w:pPr>
              <w:spacing w:before="40" w:after="40"/>
            </w:pPr>
            <w:r>
              <w:rPr>
                <w:rFonts w:ascii="Calibri" w:hAnsi="Calibri"/>
                <w:b/>
                <w:color w:val="FFFFFF"/>
                <w:sz w:val="18"/>
              </w:rPr>
              <w:t>Life</w:t>
            </w:r>
          </w:p>
        </w:tc>
        <w:tc>
          <w:tcPr>
            <w:tcW w:type="dxa" w:w="1008"/>
            <w:shd w:val="clear" w:color="auto" w:fill="0D2B55"/>
          </w:tcPr>
          <w:p>
            <w:pPr>
              <w:spacing w:before="40" w:after="40"/>
            </w:pPr>
            <w:r>
              <w:rPr>
                <w:rFonts w:ascii="Calibri" w:hAnsi="Calibri"/>
                <w:b/>
                <w:color w:val="FFFFFF"/>
                <w:sz w:val="18"/>
              </w:rPr>
              <w:t>CSN</w:t>
            </w:r>
          </w:p>
        </w:tc>
        <w:tc>
          <w:tcPr>
            <w:tcW w:type="dxa" w:w="1008"/>
            <w:shd w:val="clear" w:color="auto" w:fill="0D2B55"/>
          </w:tcPr>
          <w:p>
            <w:pPr>
              <w:spacing w:before="40" w:after="40"/>
            </w:pPr>
            <w:r>
              <w:rPr>
                <w:rFonts w:ascii="Calibri" w:hAnsi="Calibri"/>
                <w:b/>
                <w:color w:val="FFFFFF"/>
                <w:sz w:val="18"/>
              </w:rPr>
              <w:t>Remaining</w:t>
            </w:r>
          </w:p>
        </w:tc>
        <w:tc>
          <w:tcPr>
            <w:tcW w:type="dxa" w:w="1008"/>
            <w:shd w:val="clear" w:color="auto" w:fill="0D2B55"/>
          </w:tcPr>
          <w:p>
            <w:pPr>
              <w:spacing w:before="40" w:after="40"/>
            </w:pPr>
            <w:r>
              <w:rPr>
                <w:rFonts w:ascii="Calibri" w:hAnsi="Calibri"/>
                <w:b/>
                <w:color w:val="FFFFFF"/>
                <w:sz w:val="18"/>
              </w:rPr>
              <w:t>Shortfall FC</w:t>
            </w:r>
          </w:p>
        </w:tc>
        <w:tc>
          <w:tcPr>
            <w:tcW w:type="dxa" w:w="1296"/>
            <w:shd w:val="clear" w:color="auto" w:fill="0D2B55"/>
          </w:tcPr>
          <w:p>
            <w:pPr>
              <w:spacing w:before="40" w:after="40"/>
            </w:pPr>
            <w:r>
              <w:rPr>
                <w:rFonts w:ascii="Calibri" w:hAnsi="Calibri"/>
                <w:b/>
                <w:color w:val="FFFFFF"/>
                <w:sz w:val="18"/>
              </w:rPr>
              <w:t>Compensation</w:t>
            </w:r>
          </w:p>
        </w:tc>
        <w:tc>
          <w:tcPr>
            <w:tcW w:type="dxa" w:w="720"/>
            <w:shd w:val="clear" w:color="auto" w:fill="0D2B55"/>
          </w:tcPr>
          <w:p>
            <w:pPr>
              <w:spacing w:before="40" w:after="40"/>
            </w:pPr>
            <w:r>
              <w:rPr>
                <w:rFonts w:ascii="Calibri" w:hAnsi="Calibri"/>
                <w:b/>
                <w:color w:val="FFFFFF"/>
                <w:sz w:val="18"/>
              </w:rPr>
              <w:t>Status</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Fan</w:t>
            </w:r>
          </w:p>
        </w:tc>
        <w:tc>
          <w:tcPr>
            <w:tcW w:type="dxa" w:w="1440"/>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525,000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525,000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COMPENSATION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0D2B55"/>
          </w:tcPr>
          <w:p>
            <w:pPr>
              <w:spacing w:before="40" w:after="40"/>
            </w:pPr>
            <w:r>
              <w:rPr>
                <w:rFonts w:ascii="Calibri" w:hAnsi="Calibri"/>
                <w:b/>
                <w:color w:val="FFFFFF"/>
                <w:sz w:val="18"/>
              </w:rPr>
              <w:t>Item</w:t>
            </w:r>
          </w:p>
        </w:tc>
        <w:tc>
          <w:tcPr>
            <w:tcW w:type="dxa" w:w="3600"/>
            <w:shd w:val="clear" w:color="auto" w:fill="0D2B55"/>
          </w:tcPr>
          <w:p>
            <w:pPr>
              <w:spacing w:before="40" w:after="40"/>
            </w:pPr>
            <w:r>
              <w:rPr>
                <w:rFonts w:ascii="Calibri" w:hAnsi="Calibri"/>
                <w:b/>
                <w:color w:val="FFFFFF"/>
                <w:sz w:val="18"/>
              </w:rPr>
              <w:t>Calculation</w:t>
            </w:r>
          </w:p>
        </w:tc>
        <w:tc>
          <w:tcPr>
            <w:tcW w:type="dxa" w:w="2160"/>
            <w:shd w:val="clear" w:color="auto" w:fill="0D2B55"/>
          </w:tcPr>
          <w:p>
            <w:pPr>
              <w:spacing w:before="40" w:after="40"/>
            </w:pPr>
            <w:r>
              <w:rPr>
                <w:rFonts w:ascii="Calibri" w:hAnsi="Calibri"/>
                <w:b/>
                <w:color w:val="FFFFFF"/>
                <w:sz w:val="18"/>
              </w:rPr>
              <w:t>Amount (USD)</w:t>
            </w:r>
          </w:p>
        </w:tc>
      </w:tr>
      <w:tr>
        <w:tc>
          <w:tcPr>
            <w:tcW w:type="dxa" w:w="3600"/>
            <w:shd w:val="clear" w:color="auto" w:fill="FFFFFF"/>
          </w:tcPr>
          <w:p>
            <w:pPr>
              <w:spacing w:before="20" w:after="20"/>
            </w:pPr>
            <w:r>
              <w:rPr>
                <w:rFonts w:ascii="Calibri" w:hAnsi="Calibri"/>
                <w:sz w:val="18"/>
              </w:rPr>
              <w:t>Engine No.1 EGT shortfall (8°C)</w:t>
            </w:r>
          </w:p>
        </w:tc>
        <w:tc>
          <w:tcPr>
            <w:tcW w:type="dxa" w:w="3600"/>
            <w:shd w:val="clear" w:color="auto" w:fill="FFFFFF"/>
          </w:tcPr>
          <w:p>
            <w:pPr>
              <w:spacing w:before="20" w:after="20"/>
            </w:pPr>
            <w:r>
              <w:rPr>
                <w:rFonts w:ascii="Calibri" w:hAnsi="Calibri"/>
                <w:sz w:val="18"/>
              </w:rPr>
              <w:t>8°C × USD 45,000/month equivalent × 9 months = USD 405,000 per Sched. 5</w:t>
            </w:r>
          </w:p>
        </w:tc>
        <w:tc>
          <w:tcPr>
            <w:tcW w:type="dxa" w:w="2160"/>
            <w:shd w:val="clear" w:color="auto" w:fill="FFFFFF"/>
          </w:tcPr>
          <w:p>
            <w:pPr>
              <w:spacing w:before="20" w:after="20"/>
            </w:pPr>
            <w:r>
              <w:rPr>
                <w:rFonts w:ascii="Calibri" w:hAnsi="Calibri"/>
                <w:sz w:val="18"/>
              </w:rPr>
              <w:t>USD 405,000</w:t>
            </w:r>
          </w:p>
        </w:tc>
      </w:tr>
      <w:tr>
        <w:tc>
          <w:tcPr>
            <w:tcW w:type="dxa" w:w="3600"/>
            <w:shd w:val="clear" w:color="auto" w:fill="F4F7FC"/>
          </w:tcPr>
          <w:p>
            <w:pPr>
              <w:spacing w:before="20" w:after="20"/>
            </w:pPr>
            <w:r>
              <w:rPr>
                <w:rFonts w:ascii="Calibri" w:hAnsi="Calibri"/>
                <w:sz w:val="18"/>
              </w:rPr>
              <w:t>Engine No.2 EGT</w:t>
            </w:r>
          </w:p>
        </w:tc>
        <w:tc>
          <w:tcPr>
            <w:tcW w:type="dxa" w:w="3600"/>
            <w:shd w:val="clear" w:color="auto" w:fill="F4F7FC"/>
          </w:tcPr>
          <w:p>
            <w:pPr>
              <w:spacing w:before="20" w:after="20"/>
            </w:pPr>
            <w:r>
              <w:rPr>
                <w:rFonts w:ascii="Calibri" w:hAnsi="Calibri"/>
                <w:sz w:val="18"/>
              </w:rPr>
              <w:t>Meets minimum — no compensation due</w:t>
            </w:r>
          </w:p>
        </w:tc>
        <w:tc>
          <w:tcPr>
            <w:tcW w:type="dxa" w:w="2160"/>
            <w:shd w:val="clear" w:color="auto" w:fill="F4F7FC"/>
          </w:tcPr>
          <w:p>
            <w:pPr>
              <w:spacing w:before="20" w:after="20"/>
            </w:pPr>
            <w:r>
              <w:rPr>
                <w:rFonts w:ascii="Calibri" w:hAnsi="Calibri"/>
                <w:sz w:val="18"/>
              </w:rPr>
              <w:t>USD 0</w:t>
            </w:r>
          </w:p>
        </w:tc>
      </w:tr>
      <w:tr>
        <w:tc>
          <w:tcPr>
            <w:tcW w:type="dxa" w:w="3600"/>
            <w:shd w:val="clear" w:color="auto" w:fill="FFFFFF"/>
          </w:tcPr>
          <w:p>
            <w:pPr>
              <w:spacing w:before="20" w:after="20"/>
            </w:pPr>
            <w:r>
              <w:rPr>
                <w:rFonts w:ascii="Calibri" w:hAnsi="Calibri"/>
                <w:sz w:val="18"/>
              </w:rPr>
              <w:t>LLP shortfall (all modules combined)</w:t>
            </w:r>
          </w:p>
        </w:tc>
        <w:tc>
          <w:tcPr>
            <w:tcW w:type="dxa" w:w="3600"/>
            <w:shd w:val="clear" w:color="auto" w:fill="FFFFFF"/>
          </w:tcPr>
          <w:p>
            <w:pPr>
              <w:spacing w:before="20" w:after="20"/>
            </w:pPr>
            <w:r>
              <w:rPr>
                <w:rFonts w:ascii="Calibri" w:hAnsi="Calibri"/>
                <w:sz w:val="18"/>
              </w:rPr>
              <w:t>Per LLP table above at USD 210/FC</w:t>
            </w:r>
          </w:p>
        </w:tc>
        <w:tc>
          <w:tcPr>
            <w:tcW w:type="dxa" w:w="2160"/>
            <w:shd w:val="clear" w:color="auto" w:fill="FFFFFF"/>
          </w:tcPr>
          <w:p>
            <w:pPr>
              <w:spacing w:before="20" w:after="20"/>
            </w:pPr>
            <w:r>
              <w:rPr>
                <w:rFonts w:ascii="Calibri" w:hAnsi="Calibri"/>
                <w:sz w:val="18"/>
              </w:rPr>
              <w:t>TBC per final LLP calc</w:t>
            </w:r>
          </w:p>
        </w:tc>
      </w:tr>
      <w:tr>
        <w:tc>
          <w:tcPr>
            <w:tcW w:type="dxa" w:w="3600"/>
            <w:shd w:val="clear" w:color="auto" w:fill="F4F7FC"/>
          </w:tcPr>
          <w:p>
            <w:pPr>
              <w:spacing w:before="20" w:after="20"/>
            </w:pPr>
            <w:r>
              <w:rPr>
                <w:rFonts w:ascii="Calibri" w:hAnsi="Calibri"/>
                <w:sz w:val="18"/>
              </w:rPr>
              <w:t>Open structural repairs (2)</w:t>
            </w:r>
          </w:p>
        </w:tc>
        <w:tc>
          <w:tcPr>
            <w:tcW w:type="dxa" w:w="3600"/>
            <w:shd w:val="clear" w:color="auto" w:fill="F4F7FC"/>
          </w:tcPr>
          <w:p>
            <w:pPr>
              <w:spacing w:before="20" w:after="20"/>
            </w:pPr>
            <w:r>
              <w:rPr>
                <w:rFonts w:ascii="Calibri" w:hAnsi="Calibri"/>
                <w:sz w:val="18"/>
              </w:rPr>
              <w:t>2 items × USD 5,000/day × 45 days estimated</w:t>
            </w:r>
          </w:p>
        </w:tc>
        <w:tc>
          <w:tcPr>
            <w:tcW w:type="dxa" w:w="2160"/>
            <w:shd w:val="clear" w:color="auto" w:fill="F4F7FC"/>
          </w:tcPr>
          <w:p>
            <w:pPr>
              <w:spacing w:before="20" w:after="20"/>
            </w:pPr>
            <w:r>
              <w:rPr>
                <w:rFonts w:ascii="Calibri" w:hAnsi="Calibri"/>
                <w:sz w:val="18"/>
              </w:rPr>
              <w:t>USD 450,000</w:t>
            </w:r>
          </w:p>
        </w:tc>
      </w:tr>
      <w:tr>
        <w:tc>
          <w:tcPr>
            <w:tcW w:type="dxa" w:w="3600"/>
            <w:shd w:val="clear" w:color="auto" w:fill="FFFFFF"/>
          </w:tcPr>
          <w:p>
            <w:pPr>
              <w:spacing w:before="20" w:after="20"/>
            </w:pPr>
            <w:r>
              <w:rPr>
                <w:rFonts w:ascii="Calibri" w:hAnsi="Calibri"/>
                <w:sz w:val="18"/>
              </w:rPr>
              <w:t>MEL overdue items (2)</w:t>
            </w:r>
          </w:p>
        </w:tc>
        <w:tc>
          <w:tcPr>
            <w:tcW w:type="dxa" w:w="3600"/>
            <w:shd w:val="clear" w:color="auto" w:fill="FFFFFF"/>
          </w:tcPr>
          <w:p>
            <w:pPr>
              <w:spacing w:before="20" w:after="20"/>
            </w:pPr>
            <w:r>
              <w:rPr>
                <w:rFonts w:ascii="Calibri" w:hAnsi="Calibri"/>
                <w:sz w:val="18"/>
              </w:rPr>
              <w:t>2 items × USD 5,000/day × 15 days estimated</w:t>
            </w:r>
          </w:p>
        </w:tc>
        <w:tc>
          <w:tcPr>
            <w:tcW w:type="dxa" w:w="2160"/>
            <w:shd w:val="clear" w:color="auto" w:fill="FFFFFF"/>
          </w:tcPr>
          <w:p>
            <w:pPr>
              <w:spacing w:before="20" w:after="20"/>
            </w:pPr>
            <w:r>
              <w:rPr>
                <w:rFonts w:ascii="Calibri" w:hAnsi="Calibri"/>
                <w:sz w:val="18"/>
              </w:rPr>
              <w:t>USD 150,000</w:t>
            </w:r>
          </w:p>
        </w:tc>
      </w:tr>
      <w:tr>
        <w:tc>
          <w:tcPr>
            <w:tcW w:type="dxa" w:w="3600"/>
            <w:shd w:val="clear" w:color="auto" w:fill="F4F7FC"/>
          </w:tcPr>
          <w:p>
            <w:pPr>
              <w:spacing w:before="20" w:after="20"/>
            </w:pPr>
            <w:r>
              <w:rPr>
                <w:rFonts w:ascii="Calibri" w:hAnsi="Calibri"/>
                <w:sz w:val="18"/>
              </w:rPr>
              <w:t>NLG overhaul overdue (4 months)</w:t>
            </w:r>
          </w:p>
        </w:tc>
        <w:tc>
          <w:tcPr>
            <w:tcW w:type="dxa" w:w="3600"/>
            <w:shd w:val="clear" w:color="auto" w:fill="F4F7FC"/>
          </w:tcPr>
          <w:p>
            <w:pPr>
              <w:spacing w:before="20" w:after="20"/>
            </w:pPr>
            <w:r>
              <w:rPr>
                <w:rFonts w:ascii="Calibri" w:hAnsi="Calibri"/>
                <w:sz w:val="18"/>
              </w:rPr>
              <w:t>4 months × USD 18,000/month</w:t>
            </w:r>
          </w:p>
        </w:tc>
        <w:tc>
          <w:tcPr>
            <w:tcW w:type="dxa" w:w="2160"/>
            <w:shd w:val="clear" w:color="auto" w:fill="F4F7FC"/>
          </w:tcPr>
          <w:p>
            <w:pPr>
              <w:spacing w:before="20" w:after="20"/>
            </w:pPr>
            <w:r>
              <w:rPr>
                <w:rFonts w:ascii="Calibri" w:hAnsi="Calibri"/>
                <w:sz w:val="18"/>
              </w:rPr>
              <w:t>USD 72,000</w:t>
            </w:r>
          </w:p>
        </w:tc>
      </w:tr>
      <w:tr>
        <w:tc>
          <w:tcPr>
            <w:tcW w:type="dxa" w:w="3600"/>
            <w:shd w:val="clear" w:color="auto" w:fill="FFFFFF"/>
          </w:tcPr>
          <w:p>
            <w:pPr>
              <w:spacing w:before="20" w:after="20"/>
            </w:pPr>
            <w:r>
              <w:rPr>
                <w:rFonts w:ascii="Calibri" w:hAnsi="Calibri"/>
                <w:sz w:val="18"/>
              </w:rPr>
              <w:t>Economy carpet replacement</w:t>
            </w:r>
          </w:p>
        </w:tc>
        <w:tc>
          <w:tcPr>
            <w:tcW w:type="dxa" w:w="3600"/>
            <w:shd w:val="clear" w:color="auto" w:fill="FFFFFF"/>
          </w:tcPr>
          <w:p>
            <w:pPr>
              <w:spacing w:before="20" w:after="20"/>
            </w:pPr>
            <w:r>
              <w:rPr>
                <w:rFonts w:ascii="Calibri" w:hAnsi="Calibri"/>
                <w:sz w:val="18"/>
              </w:rPr>
              <w:t>Lump sum per Schedule 5 Part II</w:t>
            </w:r>
          </w:p>
        </w:tc>
        <w:tc>
          <w:tcPr>
            <w:tcW w:type="dxa" w:w="2160"/>
            <w:shd w:val="clear" w:color="auto" w:fill="FFFFFF"/>
          </w:tcPr>
          <w:p>
            <w:pPr>
              <w:spacing w:before="20" w:after="20"/>
            </w:pPr>
            <w:r>
              <w:rPr>
                <w:rFonts w:ascii="Calibri" w:hAnsi="Calibri"/>
                <w:sz w:val="18"/>
              </w:rPr>
              <w:t>USD 28,000</w:t>
            </w:r>
          </w:p>
        </w:tc>
      </w:tr>
      <w:tr>
        <w:tc>
          <w:tcPr>
            <w:tcW w:type="dxa" w:w="3600"/>
            <w:shd w:val="clear" w:color="auto" w:fill="F4F7FC"/>
          </w:tcPr>
          <w:p>
            <w:pPr>
              <w:spacing w:before="20" w:after="20"/>
            </w:pPr>
            <w:r>
              <w:rPr>
                <w:rFonts w:ascii="Calibri" w:hAnsi="Calibri"/>
                <w:sz w:val="18"/>
              </w:rPr>
              <w:t>2 Business Class unserviceable seats</w:t>
            </w:r>
          </w:p>
        </w:tc>
        <w:tc>
          <w:tcPr>
            <w:tcW w:type="dxa" w:w="3600"/>
            <w:shd w:val="clear" w:color="auto" w:fill="F4F7FC"/>
          </w:tcPr>
          <w:p>
            <w:pPr>
              <w:spacing w:before="20" w:after="20"/>
            </w:pPr>
            <w:r>
              <w:rPr>
                <w:rFonts w:ascii="Calibri" w:hAnsi="Calibri"/>
                <w:sz w:val="18"/>
              </w:rPr>
              <w:t>Lump sum per Schedule 5 Part II</w:t>
            </w:r>
          </w:p>
        </w:tc>
        <w:tc>
          <w:tcPr>
            <w:tcW w:type="dxa" w:w="2160"/>
            <w:shd w:val="clear" w:color="auto" w:fill="F4F7FC"/>
          </w:tcPr>
          <w:p>
            <w:pPr>
              <w:spacing w:before="20" w:after="20"/>
            </w:pPr>
            <w:r>
              <w:rPr>
                <w:rFonts w:ascii="Calibri" w:hAnsi="Calibri"/>
                <w:sz w:val="18"/>
              </w:rPr>
              <w:t>USD 15,000</w:t>
            </w:r>
          </w:p>
        </w:tc>
      </w:tr>
      <w:tr>
        <w:tc>
          <w:tcPr>
            <w:tcW w:type="dxa" w:w="3600"/>
            <w:shd w:val="clear" w:color="auto" w:fill="FFFFFF"/>
          </w:tcPr>
          <w:p>
            <w:pPr>
              <w:spacing w:before="20" w:after="20"/>
            </w:pPr>
            <w:r>
              <w:rPr>
                <w:rFonts w:ascii="Calibri" w:hAnsi="Calibri"/>
                <w:sz w:val="18"/>
              </w:rPr>
              <w:t>IFE screens non-functional (14)</w:t>
            </w:r>
          </w:p>
        </w:tc>
        <w:tc>
          <w:tcPr>
            <w:tcW w:type="dxa" w:w="3600"/>
            <w:shd w:val="clear" w:color="auto" w:fill="FFFFFF"/>
          </w:tcPr>
          <w:p>
            <w:pPr>
              <w:spacing w:before="20" w:after="20"/>
            </w:pPr>
            <w:r>
              <w:rPr>
                <w:rFonts w:ascii="Calibri" w:hAnsi="Calibri"/>
                <w:sz w:val="18"/>
              </w:rPr>
              <w:t>14 × USD 3,000</w:t>
            </w:r>
          </w:p>
        </w:tc>
        <w:tc>
          <w:tcPr>
            <w:tcW w:type="dxa" w:w="2160"/>
            <w:shd w:val="clear" w:color="auto" w:fill="FFFFFF"/>
          </w:tcPr>
          <w:p>
            <w:pPr>
              <w:spacing w:before="20" w:after="20"/>
            </w:pPr>
            <w:r>
              <w:rPr>
                <w:rFonts w:ascii="Calibri" w:hAnsi="Calibri"/>
                <w:sz w:val="18"/>
              </w:rPr>
              <w:t>USD 42,000</w:t>
            </w:r>
          </w:p>
        </w:tc>
      </w:tr>
      <w:tr>
        <w:tc>
          <w:tcPr>
            <w:tcW w:type="dxa" w:w="3600"/>
            <w:shd w:val="clear" w:color="auto" w:fill="F4F7FC"/>
          </w:tcPr>
          <w:p>
            <w:pPr>
              <w:spacing w:before="20" w:after="20"/>
            </w:pPr>
            <w:r>
              <w:rPr>
                <w:rFonts w:ascii="Calibri" w:hAnsi="Calibri"/>
                <w:sz w:val="18"/>
              </w:rPr>
              <w:t>TOTAL COMPENSATION DUE FROM LESSEE</w:t>
            </w:r>
          </w:p>
        </w:tc>
        <w:tc>
          <w:tcPr>
            <w:tcW w:type="dxa" w:w="3600"/>
            <w:shd w:val="clear" w:color="auto" w:fill="F4F7FC"/>
          </w:tcPr>
          <w:p>
            <w:pPr>
              <w:spacing w:before="20" w:after="20"/>
            </w:pPr>
            <w:r>
              <w:rPr>
                <w:rFonts w:ascii="Calibri" w:hAnsi="Calibri"/>
                <w:sz w:val="18"/>
              </w:rPr>
            </w:r>
          </w:p>
        </w:tc>
        <w:tc>
          <w:tcPr>
            <w:tcW w:type="dxa" w:w="2160"/>
            <w:shd w:val="clear" w:color="auto" w:fill="F4F7FC"/>
          </w:tcPr>
          <w:p>
            <w:pPr>
              <w:spacing w:before="20" w:after="20"/>
            </w:pPr>
            <w:r>
              <w:rPr>
                <w:rFonts w:ascii="Calibri" w:hAnsi="Calibri"/>
                <w:sz w:val="18"/>
              </w:rPr>
              <w:t>USD 1,162,000+</w:t>
            </w:r>
          </w:p>
        </w:tc>
      </w:tr>
    </w:tbl>
    <w:p/>
    <w:p>
      <w:pPr>
        <w:pStyle w:val="Heading2"/>
      </w:pPr>
      <w:r>
        <w:rPr>
          <w:rFonts w:ascii="Calibri" w:hAnsi="Calibri"/>
          <w:b/>
          <w:color w:val="0D2B55"/>
          <w:sz w:val="24"/>
        </w:rPr>
        <w:t>6. APU /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Component</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2304"/>
            <w:shd w:val="clear" w:color="auto" w:fill="0D2B55"/>
          </w:tcPr>
          <w:p>
            <w:pPr>
              <w:spacing w:before="40" w:after="40"/>
            </w:pPr>
            <w:r>
              <w:rPr>
                <w:rFonts w:ascii="Calibri" w:hAnsi="Calibri"/>
                <w:b/>
                <w:color w:val="FFFFFF"/>
                <w:sz w:val="18"/>
              </w:rPr>
              <w:t>Status</w:t>
            </w:r>
          </w:p>
        </w:tc>
      </w:tr>
      <w:tr>
        <w:tc>
          <w:tcPr>
            <w:tcW w:type="dxa" w:w="3168"/>
            <w:shd w:val="clear" w:color="auto" w:fill="FFFFFF"/>
          </w:tcPr>
          <w:p>
            <w:pPr>
              <w:spacing w:before="20" w:after="20"/>
            </w:pPr>
            <w:r>
              <w:rPr>
                <w:rFonts w:ascii="Calibri" w:hAnsi="Calibri"/>
                <w:sz w:val="18"/>
              </w:rPr>
              <w:t>APU Hours since HSI</w:t>
            </w:r>
          </w:p>
        </w:tc>
        <w:tc>
          <w:tcPr>
            <w:tcW w:type="dxa" w:w="2160"/>
            <w:shd w:val="clear" w:color="auto" w:fill="FFFFFF"/>
          </w:tcPr>
          <w:p>
            <w:pPr>
              <w:spacing w:before="20" w:after="20"/>
            </w:pPr>
            <w:r>
              <w:rPr>
                <w:rFonts w:ascii="Calibri" w:hAnsi="Calibri"/>
                <w:sz w:val="18"/>
              </w:rPr>
              <w:t>1,802 APU-H</w:t>
            </w:r>
          </w:p>
        </w:tc>
        <w:tc>
          <w:tcPr>
            <w:tcW w:type="dxa" w:w="2160"/>
            <w:shd w:val="clear" w:color="auto" w:fill="FFFFFF"/>
          </w:tcPr>
          <w:p>
            <w:pPr>
              <w:spacing w:before="20" w:after="20"/>
            </w:pPr>
            <w:r>
              <w:rPr>
                <w:rFonts w:ascii="Calibri" w:hAnsi="Calibri"/>
                <w:sz w:val="18"/>
              </w:rPr>
              <w:t>Max 4,000 / 24 months</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Last APU HSI Date</w:t>
            </w:r>
          </w:p>
        </w:tc>
        <w:tc>
          <w:tcPr>
            <w:tcW w:type="dxa" w:w="2160"/>
            <w:shd w:val="clear" w:color="auto" w:fill="F4F7FC"/>
          </w:tcPr>
          <w:p>
            <w:pPr>
              <w:spacing w:before="20" w:after="20"/>
            </w:pPr>
            <w:r>
              <w:rPr>
                <w:rFonts w:ascii="Calibri" w:hAnsi="Calibri"/>
                <w:sz w:val="18"/>
              </w:rPr>
              <w:t>2028-04-10</w:t>
            </w:r>
          </w:p>
        </w:tc>
        <w:tc>
          <w:tcPr>
            <w:tcW w:type="dxa" w:w="2160"/>
            <w:shd w:val="clear" w:color="auto" w:fill="F4F7FC"/>
          </w:tcPr>
          <w:p>
            <w:pPr>
              <w:spacing w:before="20" w:after="20"/>
            </w:pPr>
            <w:r>
              <w:rPr>
                <w:rFonts w:ascii="Calibri" w:hAnsi="Calibri"/>
                <w:sz w:val="18"/>
              </w:rPr>
              <w:t>Within 24 months (16 months ago)</w:t>
            </w:r>
          </w:p>
        </w:tc>
        <w:tc>
          <w:tcPr>
            <w:tcW w:type="dxa" w:w="2304"/>
            <w:shd w:val="clear" w:color="auto" w:fill="F4F7FC"/>
          </w:tcPr>
          <w:p>
            <w:pPr>
              <w:spacing w:before="20" w:after="20"/>
            </w:pPr>
            <w:r>
              <w:rPr>
                <w:rFonts w:ascii="Calibri" w:hAnsi="Calibri"/>
                <w:sz w:val="18"/>
              </w:rPr>
              <w:t>PASS</w:t>
            </w:r>
          </w:p>
        </w:tc>
      </w:tr>
      <w:tr>
        <w:tc>
          <w:tcPr>
            <w:tcW w:type="dxa" w:w="3168"/>
            <w:shd w:val="clear" w:color="auto" w:fill="FFFFFF"/>
          </w:tcPr>
          <w:p>
            <w:pPr>
              <w:spacing w:before="20" w:after="20"/>
            </w:pPr>
            <w:r>
              <w:rPr>
                <w:rFonts w:ascii="Calibri" w:hAnsi="Calibri"/>
                <w:sz w:val="18"/>
              </w:rPr>
              <w:t>APU Cold Start</w:t>
            </w:r>
          </w:p>
        </w:tc>
        <w:tc>
          <w:tcPr>
            <w:tcW w:type="dxa" w:w="2160"/>
            <w:shd w:val="clear" w:color="auto" w:fill="FFFFFF"/>
          </w:tcPr>
          <w:p>
            <w:pPr>
              <w:spacing w:before="20" w:after="20"/>
            </w:pPr>
            <w:r>
              <w:rPr>
                <w:rFonts w:ascii="Calibri" w:hAnsi="Calibri"/>
                <w:sz w:val="18"/>
              </w:rPr>
              <w:t>26 sec to idle</w:t>
            </w:r>
          </w:p>
        </w:tc>
        <w:tc>
          <w:tcPr>
            <w:tcW w:type="dxa" w:w="2160"/>
            <w:shd w:val="clear" w:color="auto" w:fill="FFFFFF"/>
          </w:tcPr>
          <w:p>
            <w:pPr>
              <w:spacing w:before="20" w:after="20"/>
            </w:pPr>
            <w:r>
              <w:rPr>
                <w:rFonts w:ascii="Calibri" w:hAnsi="Calibri"/>
                <w:sz w:val="18"/>
              </w:rPr>
              <w:t>Max 30 sec</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NLG — months since overhaul</w:t>
            </w:r>
          </w:p>
        </w:tc>
        <w:tc>
          <w:tcPr>
            <w:tcW w:type="dxa" w:w="2160"/>
            <w:shd w:val="clear" w:color="auto" w:fill="F4F7FC"/>
          </w:tcPr>
          <w:p>
            <w:pPr>
              <w:spacing w:before="20" w:after="20"/>
            </w:pPr>
            <w:r>
              <w:rPr>
                <w:rFonts w:ascii="Calibri" w:hAnsi="Calibri"/>
                <w:sz w:val="18"/>
              </w:rPr>
              <w:t>124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FAIL — 4 months overdue</w:t>
            </w:r>
          </w:p>
        </w:tc>
      </w:tr>
      <w:tr>
        <w:tc>
          <w:tcPr>
            <w:tcW w:type="dxa" w:w="3168"/>
            <w:shd w:val="clear" w:color="auto" w:fill="FFFFFF"/>
          </w:tcPr>
          <w:p>
            <w:pPr>
              <w:spacing w:before="20" w:after="20"/>
            </w:pPr>
            <w:r>
              <w:rPr>
                <w:rFonts w:ascii="Calibri" w:hAnsi="Calibri"/>
                <w:sz w:val="18"/>
              </w:rPr>
              <w:t>LH MLG — months since overhaul</w:t>
            </w:r>
          </w:p>
        </w:tc>
        <w:tc>
          <w:tcPr>
            <w:tcW w:type="dxa" w:w="2160"/>
            <w:shd w:val="clear" w:color="auto" w:fill="FFFFFF"/>
          </w:tcPr>
          <w:p>
            <w:pPr>
              <w:spacing w:before="20" w:after="20"/>
            </w:pPr>
            <w:r>
              <w:rPr>
                <w:rFonts w:ascii="Calibri" w:hAnsi="Calibri"/>
                <w:sz w:val="18"/>
              </w:rPr>
              <w:t>118 months</w:t>
            </w:r>
          </w:p>
        </w:tc>
        <w:tc>
          <w:tcPr>
            <w:tcW w:type="dxa" w:w="2160"/>
            <w:shd w:val="clear" w:color="auto" w:fill="FFFFFF"/>
          </w:tcPr>
          <w:p>
            <w:pPr>
              <w:spacing w:before="20" w:after="20"/>
            </w:pPr>
            <w:r>
              <w:rPr>
                <w:rFonts w:ascii="Calibri" w:hAnsi="Calibri"/>
                <w:sz w:val="18"/>
              </w:rPr>
              <w:t>Max 120 months</w:t>
            </w:r>
          </w:p>
        </w:tc>
        <w:tc>
          <w:tcPr>
            <w:tcW w:type="dxa" w:w="2304"/>
            <w:shd w:val="clear" w:color="auto" w:fill="FFFFFF"/>
          </w:tcPr>
          <w:p>
            <w:pPr>
              <w:spacing w:before="20" w:after="20"/>
            </w:pPr>
            <w:r>
              <w:rPr>
                <w:rFonts w:ascii="Calibri" w:hAnsi="Calibri"/>
                <w:sz w:val="18"/>
              </w:rPr>
              <w:t>PASS — 2 months remaining</w:t>
            </w:r>
          </w:p>
        </w:tc>
      </w:tr>
      <w:tr>
        <w:tc>
          <w:tcPr>
            <w:tcW w:type="dxa" w:w="3168"/>
            <w:shd w:val="clear" w:color="auto" w:fill="F4F7FC"/>
          </w:tcPr>
          <w:p>
            <w:pPr>
              <w:spacing w:before="20" w:after="20"/>
            </w:pPr>
            <w:r>
              <w:rPr>
                <w:rFonts w:ascii="Calibri" w:hAnsi="Calibri"/>
                <w:sz w:val="18"/>
              </w:rPr>
              <w:t>RH MLG — months since overhaul</w:t>
            </w:r>
          </w:p>
        </w:tc>
        <w:tc>
          <w:tcPr>
            <w:tcW w:type="dxa" w:w="2160"/>
            <w:shd w:val="clear" w:color="auto" w:fill="F4F7FC"/>
          </w:tcPr>
          <w:p>
            <w:pPr>
              <w:spacing w:before="20" w:after="20"/>
            </w:pPr>
            <w:r>
              <w:rPr>
                <w:rFonts w:ascii="Calibri" w:hAnsi="Calibri"/>
                <w:sz w:val="18"/>
              </w:rPr>
              <w:t>118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PASS — 2 months remaining</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 INSPECTOR</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Declan Murphy</w:t>
            </w:r>
          </w:p>
        </w:tc>
        <w:tc>
          <w:tcPr>
            <w:tcW w:type="dxa" w:w="2880"/>
          </w:tcPr>
          <w:p>
            <w:r>
              <w:rPr>
                <w:rFonts w:ascii="Calibri" w:hAnsi="Calibri"/>
                <w:sz w:val="20"/>
              </w:rPr>
              <w:t>Name: James Parrish</w:t>
            </w:r>
          </w:p>
        </w:tc>
        <w:tc>
          <w:tcPr>
            <w:tcW w:type="dxa" w:w="2880"/>
          </w:tcPr>
          <w:p>
            <w:r>
              <w:rPr>
                <w:rFonts w:ascii="Calibri" w:hAnsi="Calibri"/>
                <w:sz w:val="20"/>
              </w:rPr>
              <w:t>Name: Dr. Clara Santos</w:t>
            </w:r>
          </w:p>
        </w:tc>
      </w:tr>
      <w:tr>
        <w:tc>
          <w:tcPr>
            <w:tcW w:type="dxa" w:w="2880"/>
          </w:tcPr>
          <w:p>
            <w:r>
              <w:rPr>
                <w:rFonts w:ascii="Calibri" w:hAnsi="Calibri"/>
                <w:sz w:val="20"/>
              </w:rPr>
              <w:t>Title: Chief Inspector</w:t>
            </w:r>
          </w:p>
        </w:tc>
        <w:tc>
          <w:tcPr>
            <w:tcW w:type="dxa" w:w="2880"/>
          </w:tcPr>
          <w:p>
            <w:r>
              <w:rPr>
                <w:rFonts w:ascii="Calibri" w:hAnsi="Calibri"/>
                <w:sz w:val="20"/>
              </w:rPr>
              <w:t>Title: VP Engineering</w:t>
            </w:r>
          </w:p>
        </w:tc>
        <w:tc>
          <w:tcPr>
            <w:tcW w:type="dxa" w:w="2880"/>
          </w:tcPr>
          <w:p>
            <w:r>
              <w:rPr>
                <w:rFonts w:ascii="Calibri" w:hAnsi="Calibri"/>
                <w:sz w:val="20"/>
              </w:rPr>
              <w:t>Title: AeroDynamic Advisory</w:t>
            </w:r>
          </w:p>
        </w:tc>
      </w:tr>
      <w:tr>
        <w:tc>
          <w:tcPr>
            <w:tcW w:type="dxa" w:w="2880"/>
          </w:tcPr>
          <w:p>
            <w:r>
              <w:rPr>
                <w:rFonts w:ascii="Calibri" w:hAnsi="Calibri"/>
                <w:sz w:val="20"/>
              </w:rPr>
              <w:t>Date: 2030-01-14</w:t>
            </w:r>
          </w:p>
        </w:tc>
        <w:tc>
          <w:tcPr>
            <w:tcW w:type="dxa" w:w="2880"/>
          </w:tcPr>
          <w:p>
            <w:r>
              <w:rPr>
                <w:rFonts w:ascii="Calibri" w:hAnsi="Calibri"/>
                <w:sz w:val="20"/>
              </w:rPr>
              <w:t>Date: 2030-01-14</w:t>
            </w:r>
          </w:p>
        </w:tc>
        <w:tc>
          <w:tcPr>
            <w:tcW w:type="dxa" w:w="2880"/>
          </w:tcPr>
          <w:p>
            <w:r>
              <w:rPr>
                <w:rFonts w:ascii="Calibri" w:hAnsi="Calibri"/>
                <w:sz w:val="20"/>
              </w:rPr>
              <w:t>Date: 2030-01-14</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RETURN CONDITION REPORT</w:t>
          </w:r>
        </w:p>
      </w:tc>
      <w:tc>
        <w:tcPr>
          <w:tcW w:type="dxa" w:w="3120"/>
        </w:tcPr>
        <w:p>
          <w:pPr>
            <w:jc w:val="right"/>
          </w:pPr>
          <w:r>
            <w:rPr>
              <w:rFonts w:ascii="Calibri" w:hAnsi="Calibri"/>
              <w:color w:val="666666"/>
              <w:sz w:val="16"/>
            </w:rPr>
            <w:t>RCR-N12345-2030-01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