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HORIZON LEASING PARTNERS LP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LEASE AMENDMENT AGREEMENT</w:t>
      </w:r>
    </w:p>
    <w:p>
      <w:pPr>
        <w:spacing w:after="120"/>
        <w:jc w:val="left"/>
      </w:pPr>
      <w:r>
        <w:rPr>
          <w:rFonts w:ascii="Calibri" w:hAnsi="Calibri"/>
          <w:b/>
          <w:color w:val="0D2B55"/>
          <w:sz w:val="44"/>
        </w:rPr>
        <w:t>Amendment No. 1 to Lease AMEND-ALA-2027-003-N</w:t>
      </w:r>
    </w:p>
    <w:p>
      <w:pPr>
        <w:spacing w:after="400"/>
      </w:pPr>
      <w:r>
        <w:rPr>
          <w:rFonts w:ascii="Calibri" w:hAnsi="Calibri"/>
          <w:color w:val="666666"/>
          <w:sz w:val="20"/>
        </w:rPr>
        <w:t>Reference: AMEND-ALA-2027-003-No.1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Airbus A321-200</w:t>
            </w:r>
          </w:p>
        </w:tc>
        <w:tc>
          <w:tcPr>
            <w:tcW w:type="dxa" w:w="1728"/>
            <w:shd w:val="clear" w:color="auto" w:fill="E8EFF8"/>
          </w:tcPr>
          <w:p>
            <w:r>
              <w:rPr>
                <w:rFonts w:ascii="Calibri" w:hAnsi="Calibri"/>
                <w:b/>
                <w:color w:val="0D2B55"/>
                <w:sz w:val="18"/>
              </w:rPr>
              <w:t>9102</w:t>
            </w:r>
          </w:p>
        </w:tc>
        <w:tc>
          <w:tcPr>
            <w:tcW w:type="dxa" w:w="1728"/>
            <w:shd w:val="clear" w:color="auto" w:fill="E8EFF8"/>
          </w:tcPr>
          <w:p>
            <w:r>
              <w:rPr>
                <w:rFonts w:ascii="Calibri" w:hAnsi="Calibri"/>
                <w:b/>
                <w:color w:val="0D2B55"/>
                <w:sz w:val="18"/>
              </w:rPr>
              <w:t>N45678</w:t>
            </w:r>
          </w:p>
        </w:tc>
        <w:tc>
          <w:tcPr>
            <w:tcW w:type="dxa" w:w="1728"/>
            <w:shd w:val="clear" w:color="auto" w:fill="E8EFF8"/>
          </w:tcPr>
          <w:p>
            <w:r>
              <w:rPr>
                <w:rFonts w:ascii="Calibri" w:hAnsi="Calibri"/>
                <w:b/>
                <w:color w:val="0D2B55"/>
                <w:sz w:val="18"/>
              </w:rPr>
              <w:t>CFM56-5B3/P</w:t>
            </w:r>
          </w:p>
        </w:tc>
        <w:tc>
          <w:tcPr>
            <w:tcW w:type="dxa" w:w="1728"/>
            <w:shd w:val="clear" w:color="auto" w:fill="E8EFF8"/>
          </w:tcPr>
          <w:p>
            <w:r>
              <w:rPr>
                <w:rFonts w:ascii="Calibri" w:hAnsi="Calibri"/>
                <w:b/>
                <w:color w:val="0D2B55"/>
                <w:sz w:val="18"/>
              </w:rPr>
              <w:t>2020</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w:t>
            </w:r>
          </w:p>
        </w:tc>
        <w:tc>
          <w:tcPr>
            <w:tcW w:type="dxa" w:w="4752"/>
            <w:shd w:val="clear" w:color="auto" w:fill="E8EFF8"/>
          </w:tcPr>
          <w:p>
            <w:r>
              <w:rPr>
                <w:rFonts w:ascii="Calibri" w:hAnsi="Calibri"/>
                <w:sz w:val="18"/>
              </w:rPr>
              <w:t>Horizon Leasing Partners LP</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w:t>
            </w:r>
          </w:p>
        </w:tc>
        <w:tc>
          <w:tcPr>
            <w:tcW w:type="dxa" w:w="4752"/>
            <w:shd w:val="clear" w:color="auto" w:fill="FFFFFF"/>
          </w:tcPr>
          <w:p>
            <w:r>
              <w:rPr>
                <w:rFonts w:ascii="Calibri" w:hAnsi="Calibri"/>
                <w:sz w:val="18"/>
              </w:rPr>
              <w:t>Pacific Rim Air Travel Ltd.</w:t>
            </w:r>
          </w:p>
        </w:tc>
        <w:tc>
          <w:tcPr>
            <w:tcW w:type="dxa" w:w="2880"/>
            <w:shd w:val="clear" w:color="auto" w:fill="FFFFFF"/>
          </w:tcPr>
          <w:p>
            <w:r>
              <w:rPr>
                <w:rFonts w:ascii="Calibri" w:hAnsi="Calibri"/>
                <w:sz w:val="18"/>
              </w:rPr>
              <w:t>USA</w:t>
            </w:r>
          </w:p>
        </w:tc>
      </w:tr>
    </w:tbl>
    <w:p/>
    <w:p>
      <w:pPr>
        <w:spacing w:after="120"/>
        <w:jc w:val="left"/>
        <w:shd w:val="clear" w:color="auto" w:fill="1A569E"/>
      </w:pPr>
      <w:r>
        <w:rPr>
          <w:rFonts w:ascii="Calibri" w:hAnsi="Calibri"/>
          <w:b/>
          <w:color w:val="FFFFFF"/>
          <w:sz w:val="20"/>
        </w:rPr>
        <w:t xml:space="preserve">  EXECUTED AMENDMENT  </w:t>
      </w:r>
    </w:p>
    <w:p>
      <w:r>
        <w:rPr>
          <w:rFonts w:ascii="Calibri" w:hAnsi="Calibri"/>
          <w:color w:val="666666"/>
          <w:sz w:val="20"/>
        </w:rPr>
        <w:t>Dated: 2024-07-01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Horizon Leasing Partners LP is strictly prohibited.</w:t>
      </w:r>
    </w:p>
    <w:p>
      <w:r>
        <w:br w:type="page"/>
      </w:r>
    </w:p>
    <w:p>
      <w:pPr>
        <w:spacing w:after="100"/>
      </w:pPr>
      <w:r>
        <w:rPr>
          <w:rFonts w:ascii="Calibri" w:hAnsi="Calibri"/>
          <w:i w:val="0"/>
          <w:sz w:val="20"/>
        </w:rPr>
        <w:t>THIS LEASE AMENDMENT AGREEMENT ('Amendment') is entered into as of 2025-06-15 and amends the Aircraft Lease Agreement dated 2024-07-01 ('Original Lease') between Horizon Leasing Partners LP ('Lessor') and Pacific Rim Air Travel Ltd. ('Lessee') for Airbus A321-200 MSN 9102.</w:t>
      </w:r>
    </w:p>
    <w:p>
      <w:pPr>
        <w:spacing w:after="100"/>
      </w:pPr>
      <w:r>
        <w:rPr>
          <w:rFonts w:ascii="Calibri" w:hAnsi="Calibri"/>
          <w:i w:val="0"/>
          <w:sz w:val="20"/>
        </w:rPr>
        <w:t>In the event of conflict between this Amendment and the Original Lease, this Amendment prevails. All defined terms have the meanings given in the Original Lease unless otherwise defined herein.</w:t>
      </w:r>
    </w:p>
    <w:p>
      <w:pPr>
        <w:pStyle w:val="Heading2"/>
      </w:pPr>
      <w:r>
        <w:rPr>
          <w:rFonts w:ascii="Calibri" w:hAnsi="Calibri"/>
          <w:b/>
          <w:color w:val="0D2B55"/>
          <w:sz w:val="24"/>
        </w:rPr>
        <w:t>ARTICLE 1 — AMENDMENT TO BASE RENT</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0D2B55"/>
          </w:tcPr>
          <w:p>
            <w:pPr>
              <w:spacing w:before="40" w:after="40"/>
            </w:pPr>
            <w:r>
              <w:rPr>
                <w:rFonts w:ascii="Calibri" w:hAnsi="Calibri"/>
                <w:b/>
                <w:color w:val="FFFFFF"/>
                <w:sz w:val="18"/>
              </w:rPr>
              <w:t>Clause</w:t>
            </w:r>
          </w:p>
        </w:tc>
        <w:tc>
          <w:tcPr>
            <w:tcW w:type="dxa" w:w="3168"/>
            <w:shd w:val="clear" w:color="auto" w:fill="0D2B55"/>
          </w:tcPr>
          <w:p>
            <w:pPr>
              <w:spacing w:before="40" w:after="40"/>
            </w:pPr>
            <w:r>
              <w:rPr>
                <w:rFonts w:ascii="Calibri" w:hAnsi="Calibri"/>
                <w:b/>
                <w:color w:val="FFFFFF"/>
                <w:sz w:val="18"/>
              </w:rPr>
              <w:t>Original Text</w:t>
            </w:r>
          </w:p>
        </w:tc>
        <w:tc>
          <w:tcPr>
            <w:tcW w:type="dxa" w:w="3168"/>
            <w:shd w:val="clear" w:color="auto" w:fill="0D2B55"/>
          </w:tcPr>
          <w:p>
            <w:pPr>
              <w:spacing w:before="40" w:after="40"/>
            </w:pPr>
            <w:r>
              <w:rPr>
                <w:rFonts w:ascii="Calibri" w:hAnsi="Calibri"/>
                <w:b/>
                <w:color w:val="FFFFFF"/>
                <w:sz w:val="18"/>
              </w:rPr>
              <w:t>Amended Text</w:t>
            </w:r>
          </w:p>
        </w:tc>
        <w:tc>
          <w:tcPr>
            <w:tcW w:type="dxa" w:w="1296"/>
            <w:shd w:val="clear" w:color="auto" w:fill="0D2B55"/>
          </w:tcPr>
          <w:p>
            <w:pPr>
              <w:spacing w:before="40" w:after="40"/>
            </w:pPr>
            <w:r>
              <w:rPr>
                <w:rFonts w:ascii="Calibri" w:hAnsi="Calibri"/>
                <w:b/>
                <w:color w:val="FFFFFF"/>
                <w:sz w:val="18"/>
              </w:rPr>
              <w:t>Effective Date</w:t>
            </w:r>
          </w:p>
        </w:tc>
      </w:tr>
      <w:tr>
        <w:tc>
          <w:tcPr>
            <w:tcW w:type="dxa" w:w="1728"/>
            <w:shd w:val="clear" w:color="auto" w:fill="FFFFFF"/>
          </w:tcPr>
          <w:p>
            <w:pPr>
              <w:spacing w:before="20" w:after="20"/>
            </w:pPr>
            <w:r>
              <w:rPr>
                <w:rFonts w:ascii="Calibri" w:hAnsi="Calibri"/>
                <w:sz w:val="18"/>
              </w:rPr>
              <w:t>Art. 6.1 — Base Rent</w:t>
            </w:r>
          </w:p>
        </w:tc>
        <w:tc>
          <w:tcPr>
            <w:tcW w:type="dxa" w:w="3168"/>
            <w:shd w:val="clear" w:color="auto" w:fill="FFFFFF"/>
          </w:tcPr>
          <w:p>
            <w:pPr>
              <w:spacing w:before="20" w:after="20"/>
            </w:pPr>
            <w:r>
              <w:rPr>
                <w:rFonts w:ascii="Calibri" w:hAnsi="Calibri"/>
                <w:sz w:val="18"/>
              </w:rPr>
              <w:t>USD 445,000/month</w:t>
            </w:r>
          </w:p>
        </w:tc>
        <w:tc>
          <w:tcPr>
            <w:tcW w:type="dxa" w:w="3168"/>
            <w:shd w:val="clear" w:color="auto" w:fill="FFFFFF"/>
          </w:tcPr>
          <w:p>
            <w:pPr>
              <w:spacing w:before="20" w:after="20"/>
            </w:pPr>
            <w:r>
              <w:rPr>
                <w:rFonts w:ascii="Calibri" w:hAnsi="Calibri"/>
                <w:sz w:val="18"/>
              </w:rPr>
              <w:t>USD 459,240/month (CPI-U 3.2% adjustment)</w:t>
            </w:r>
          </w:p>
        </w:tc>
        <w:tc>
          <w:tcPr>
            <w:tcW w:type="dxa" w:w="1296"/>
            <w:shd w:val="clear" w:color="auto" w:fill="FFFFFF"/>
          </w:tcPr>
          <w:p>
            <w:pPr>
              <w:spacing w:before="20" w:after="20"/>
            </w:pPr>
            <w:r>
              <w:rPr>
                <w:rFonts w:ascii="Calibri" w:hAnsi="Calibri"/>
                <w:sz w:val="18"/>
              </w:rPr>
              <w:t>1 July 2025</w:t>
            </w:r>
          </w:p>
        </w:tc>
      </w:tr>
      <w:tr>
        <w:tc>
          <w:tcPr>
            <w:tcW w:type="dxa" w:w="1728"/>
            <w:shd w:val="clear" w:color="auto" w:fill="F4F7FC"/>
          </w:tcPr>
          <w:p>
            <w:pPr>
              <w:spacing w:before="20" w:after="20"/>
            </w:pPr>
            <w:r>
              <w:rPr>
                <w:rFonts w:ascii="Calibri" w:hAnsi="Calibri"/>
                <w:sz w:val="18"/>
              </w:rPr>
              <w:t>Art. 6.2 — Escalation</w:t>
            </w:r>
          </w:p>
        </w:tc>
        <w:tc>
          <w:tcPr>
            <w:tcW w:type="dxa" w:w="3168"/>
            <w:shd w:val="clear" w:color="auto" w:fill="F4F7FC"/>
          </w:tcPr>
          <w:p>
            <w:pPr>
              <w:spacing w:before="20" w:after="20"/>
            </w:pPr>
            <w:r>
              <w:rPr>
                <w:rFonts w:ascii="Calibri" w:hAnsi="Calibri"/>
                <w:sz w:val="18"/>
              </w:rPr>
              <w:t>Annual CPI-U adjustment</w:t>
            </w:r>
          </w:p>
        </w:tc>
        <w:tc>
          <w:tcPr>
            <w:tcW w:type="dxa" w:w="3168"/>
            <w:shd w:val="clear" w:color="auto" w:fill="F4F7FC"/>
          </w:tcPr>
          <w:p>
            <w:pPr>
              <w:spacing w:before="20" w:after="20"/>
            </w:pPr>
            <w:r>
              <w:rPr>
                <w:rFonts w:ascii="Calibri" w:hAnsi="Calibri"/>
                <w:sz w:val="18"/>
              </w:rPr>
              <w:t>CPI-U with floor 2.0%, ceiling 5.0% p.a.</w:t>
            </w:r>
          </w:p>
        </w:tc>
        <w:tc>
          <w:tcPr>
            <w:tcW w:type="dxa" w:w="1296"/>
            <w:shd w:val="clear" w:color="auto" w:fill="F4F7FC"/>
          </w:tcPr>
          <w:p>
            <w:pPr>
              <w:spacing w:before="20" w:after="20"/>
            </w:pPr>
            <w:r>
              <w:rPr>
                <w:rFonts w:ascii="Calibri" w:hAnsi="Calibri"/>
                <w:sz w:val="18"/>
              </w:rPr>
              <w:t>1 July 2025</w:t>
            </w:r>
          </w:p>
        </w:tc>
      </w:tr>
      <w:tr>
        <w:tc>
          <w:tcPr>
            <w:tcW w:type="dxa" w:w="1728"/>
            <w:shd w:val="clear" w:color="auto" w:fill="FFFFFF"/>
          </w:tcPr>
          <w:p>
            <w:pPr>
              <w:spacing w:before="20" w:after="20"/>
            </w:pPr>
            <w:r>
              <w:rPr>
                <w:rFonts w:ascii="Calibri" w:hAnsi="Calibri"/>
                <w:sz w:val="18"/>
              </w:rPr>
              <w:t>Art. 6.4 — Late Interest</w:t>
            </w:r>
          </w:p>
        </w:tc>
        <w:tc>
          <w:tcPr>
            <w:tcW w:type="dxa" w:w="3168"/>
            <w:shd w:val="clear" w:color="auto" w:fill="FFFFFF"/>
          </w:tcPr>
          <w:p>
            <w:pPr>
              <w:spacing w:before="20" w:after="20"/>
            </w:pPr>
            <w:r>
              <w:rPr>
                <w:rFonts w:ascii="Calibri" w:hAnsi="Calibri"/>
                <w:sz w:val="18"/>
              </w:rPr>
              <w:t>SOFR + 4.00%</w:t>
            </w:r>
          </w:p>
        </w:tc>
        <w:tc>
          <w:tcPr>
            <w:tcW w:type="dxa" w:w="3168"/>
            <w:shd w:val="clear" w:color="auto" w:fill="FFFFFF"/>
          </w:tcPr>
          <w:p>
            <w:pPr>
              <w:spacing w:before="20" w:after="20"/>
            </w:pPr>
            <w:r>
              <w:rPr>
                <w:rFonts w:ascii="Calibri" w:hAnsi="Calibri"/>
                <w:sz w:val="18"/>
              </w:rPr>
              <w:t>SOFR + 3.50% (reduced — clean payment history)</w:t>
            </w:r>
          </w:p>
        </w:tc>
        <w:tc>
          <w:tcPr>
            <w:tcW w:type="dxa" w:w="1296"/>
            <w:shd w:val="clear" w:color="auto" w:fill="FFFFFF"/>
          </w:tcPr>
          <w:p>
            <w:pPr>
              <w:spacing w:before="20" w:after="20"/>
            </w:pPr>
            <w:r>
              <w:rPr>
                <w:rFonts w:ascii="Calibri" w:hAnsi="Calibri"/>
                <w:sz w:val="18"/>
              </w:rPr>
              <w:t>1 July 2025</w:t>
            </w:r>
          </w:p>
        </w:tc>
      </w:tr>
    </w:tbl>
    <w:p/>
    <w:p>
      <w:pPr>
        <w:spacing w:after="100"/>
      </w:pPr>
      <w:r>
        <w:rPr>
          <w:rFonts w:ascii="Calibri" w:hAnsi="Calibri"/>
          <w:i w:val="0"/>
          <w:sz w:val="20"/>
        </w:rPr>
        <w:t>Security Deposit adjusted to USD 1,377,720 within 30 days of effective date.</w:t>
      </w:r>
    </w:p>
    <w:p>
      <w:pPr>
        <w:pStyle w:val="Heading2"/>
      </w:pPr>
      <w:r>
        <w:rPr>
          <w:rFonts w:ascii="Calibri" w:hAnsi="Calibri"/>
          <w:b/>
          <w:color w:val="0D2B55"/>
          <w:sz w:val="24"/>
        </w:rPr>
        <w:t>ARTICLE 2 — AMENDMENT TO MAINTENANCE RESERVE RATES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0D2B55"/>
          </w:tcPr>
          <w:p>
            <w:pPr>
              <w:spacing w:before="40" w:after="40"/>
            </w:pPr>
            <w:r>
              <w:rPr>
                <w:rFonts w:ascii="Calibri" w:hAnsi="Calibri"/>
                <w:b/>
                <w:color w:val="FFFFFF"/>
                <w:sz w:val="18"/>
              </w:rPr>
              <w:t>Component</w:t>
            </w:r>
          </w:p>
        </w:tc>
        <w:tc>
          <w:tcPr>
            <w:tcW w:type="dxa" w:w="1728"/>
            <w:shd w:val="clear" w:color="auto" w:fill="0D2B55"/>
          </w:tcPr>
          <w:p>
            <w:pPr>
              <w:spacing w:before="40" w:after="40"/>
            </w:pPr>
            <w:r>
              <w:rPr>
                <w:rFonts w:ascii="Calibri" w:hAnsi="Calibri"/>
                <w:b/>
                <w:color w:val="FFFFFF"/>
                <w:sz w:val="18"/>
              </w:rPr>
              <w:t>Original Rate</w:t>
            </w:r>
          </w:p>
        </w:tc>
        <w:tc>
          <w:tcPr>
            <w:tcW w:type="dxa" w:w="1728"/>
            <w:shd w:val="clear" w:color="auto" w:fill="0D2B55"/>
          </w:tcPr>
          <w:p>
            <w:pPr>
              <w:spacing w:before="40" w:after="40"/>
            </w:pPr>
            <w:r>
              <w:rPr>
                <w:rFonts w:ascii="Calibri" w:hAnsi="Calibri"/>
                <w:b/>
                <w:color w:val="FFFFFF"/>
                <w:sz w:val="18"/>
              </w:rPr>
              <w:t>Amended Rate</w:t>
            </w:r>
          </w:p>
        </w:tc>
        <w:tc>
          <w:tcPr>
            <w:tcW w:type="dxa" w:w="3312"/>
            <w:shd w:val="clear" w:color="auto" w:fill="0D2B55"/>
          </w:tcPr>
          <w:p>
            <w:pPr>
              <w:spacing w:before="40" w:after="40"/>
            </w:pPr>
            <w:r>
              <w:rPr>
                <w:rFonts w:ascii="Calibri" w:hAnsi="Calibri"/>
                <w:b/>
                <w:color w:val="FFFFFF"/>
                <w:sz w:val="18"/>
              </w:rPr>
              <w:t>Reason</w:t>
            </w:r>
          </w:p>
        </w:tc>
      </w:tr>
      <w:tr>
        <w:tc>
          <w:tcPr>
            <w:tcW w:type="dxa" w:w="2592"/>
            <w:shd w:val="clear" w:color="auto" w:fill="FFFFFF"/>
          </w:tcPr>
          <w:p>
            <w:pPr>
              <w:spacing w:before="20" w:after="20"/>
            </w:pPr>
            <w:r>
              <w:rPr>
                <w:rFonts w:ascii="Calibri" w:hAnsi="Calibri"/>
                <w:sz w:val="18"/>
              </w:rPr>
              <w:t>Engine Performance – No.1</w:t>
            </w:r>
          </w:p>
        </w:tc>
        <w:tc>
          <w:tcPr>
            <w:tcW w:type="dxa" w:w="1728"/>
            <w:shd w:val="clear" w:color="auto" w:fill="FFFFFF"/>
          </w:tcPr>
          <w:p>
            <w:pPr>
              <w:spacing w:before="20" w:after="20"/>
            </w:pPr>
            <w:r>
              <w:rPr>
                <w:rFonts w:ascii="Calibri" w:hAnsi="Calibri"/>
                <w:sz w:val="18"/>
              </w:rPr>
              <w:t>USD 175/FH</w:t>
            </w:r>
          </w:p>
        </w:tc>
        <w:tc>
          <w:tcPr>
            <w:tcW w:type="dxa" w:w="1728"/>
            <w:shd w:val="clear" w:color="auto" w:fill="FFFFFF"/>
          </w:tcPr>
          <w:p>
            <w:pPr>
              <w:spacing w:before="20" w:after="20"/>
            </w:pPr>
            <w:r>
              <w:rPr>
                <w:rFonts w:ascii="Calibri" w:hAnsi="Calibri"/>
                <w:sz w:val="18"/>
              </w:rPr>
              <w:t>USD 183/FH</w:t>
            </w:r>
          </w:p>
        </w:tc>
        <w:tc>
          <w:tcPr>
            <w:tcW w:type="dxa" w:w="3312"/>
            <w:shd w:val="clear" w:color="auto" w:fill="FFFFFF"/>
          </w:tcPr>
          <w:p>
            <w:pPr>
              <w:spacing w:before="20" w:after="20"/>
            </w:pPr>
            <w:r>
              <w:rPr>
                <w:rFonts w:ascii="Calibri" w:hAnsi="Calibri"/>
                <w:sz w:val="18"/>
              </w:rPr>
              <w:t>Annual CPI-U + 1%</w:t>
            </w:r>
          </w:p>
        </w:tc>
      </w:tr>
      <w:tr>
        <w:tc>
          <w:tcPr>
            <w:tcW w:type="dxa" w:w="2592"/>
            <w:shd w:val="clear" w:color="auto" w:fill="F4F7FC"/>
          </w:tcPr>
          <w:p>
            <w:pPr>
              <w:spacing w:before="20" w:after="20"/>
            </w:pPr>
            <w:r>
              <w:rPr>
                <w:rFonts w:ascii="Calibri" w:hAnsi="Calibri"/>
                <w:sz w:val="18"/>
              </w:rPr>
              <w:t>Engine Performance – No.2</w:t>
            </w:r>
          </w:p>
        </w:tc>
        <w:tc>
          <w:tcPr>
            <w:tcW w:type="dxa" w:w="1728"/>
            <w:shd w:val="clear" w:color="auto" w:fill="F4F7FC"/>
          </w:tcPr>
          <w:p>
            <w:pPr>
              <w:spacing w:before="20" w:after="20"/>
            </w:pPr>
            <w:r>
              <w:rPr>
                <w:rFonts w:ascii="Calibri" w:hAnsi="Calibri"/>
                <w:sz w:val="18"/>
              </w:rPr>
              <w:t>USD 175/FH</w:t>
            </w:r>
          </w:p>
        </w:tc>
        <w:tc>
          <w:tcPr>
            <w:tcW w:type="dxa" w:w="1728"/>
            <w:shd w:val="clear" w:color="auto" w:fill="F4F7FC"/>
          </w:tcPr>
          <w:p>
            <w:pPr>
              <w:spacing w:before="20" w:after="20"/>
            </w:pPr>
            <w:r>
              <w:rPr>
                <w:rFonts w:ascii="Calibri" w:hAnsi="Calibri"/>
                <w:sz w:val="18"/>
              </w:rPr>
              <w:t>USD 183/FH</w:t>
            </w:r>
          </w:p>
        </w:tc>
        <w:tc>
          <w:tcPr>
            <w:tcW w:type="dxa" w:w="3312"/>
            <w:shd w:val="clear" w:color="auto" w:fill="F4F7FC"/>
          </w:tcPr>
          <w:p>
            <w:pPr>
              <w:spacing w:before="20" w:after="20"/>
            </w:pPr>
            <w:r>
              <w:rPr>
                <w:rFonts w:ascii="Calibri" w:hAnsi="Calibri"/>
                <w:sz w:val="18"/>
              </w:rPr>
              <w:t>Annual CPI-U + 1%</w:t>
            </w:r>
          </w:p>
        </w:tc>
      </w:tr>
      <w:tr>
        <w:tc>
          <w:tcPr>
            <w:tcW w:type="dxa" w:w="2592"/>
            <w:shd w:val="clear" w:color="auto" w:fill="FFFFFF"/>
          </w:tcPr>
          <w:p>
            <w:pPr>
              <w:spacing w:before="20" w:after="20"/>
            </w:pPr>
            <w:r>
              <w:rPr>
                <w:rFonts w:ascii="Calibri" w:hAnsi="Calibri"/>
                <w:sz w:val="18"/>
              </w:rPr>
              <w:t>Engine LLP – No.1</w:t>
            </w:r>
          </w:p>
        </w:tc>
        <w:tc>
          <w:tcPr>
            <w:tcW w:type="dxa" w:w="1728"/>
            <w:shd w:val="clear" w:color="auto" w:fill="FFFFFF"/>
          </w:tcPr>
          <w:p>
            <w:pPr>
              <w:spacing w:before="20" w:after="20"/>
            </w:pPr>
            <w:r>
              <w:rPr>
                <w:rFonts w:ascii="Calibri" w:hAnsi="Calibri"/>
                <w:sz w:val="18"/>
              </w:rPr>
              <w:t>USD 230/FC</w:t>
            </w:r>
          </w:p>
        </w:tc>
        <w:tc>
          <w:tcPr>
            <w:tcW w:type="dxa" w:w="1728"/>
            <w:shd w:val="clear" w:color="auto" w:fill="FFFFFF"/>
          </w:tcPr>
          <w:p>
            <w:pPr>
              <w:spacing w:before="20" w:after="20"/>
            </w:pPr>
            <w:r>
              <w:rPr>
                <w:rFonts w:ascii="Calibri" w:hAnsi="Calibri"/>
                <w:sz w:val="18"/>
              </w:rPr>
              <w:t>USD 241/FC</w:t>
            </w:r>
          </w:p>
        </w:tc>
        <w:tc>
          <w:tcPr>
            <w:tcW w:type="dxa" w:w="3312"/>
            <w:shd w:val="clear" w:color="auto" w:fill="FFFFFF"/>
          </w:tcPr>
          <w:p>
            <w:pPr>
              <w:spacing w:before="20" w:after="20"/>
            </w:pPr>
            <w:r>
              <w:rPr>
                <w:rFonts w:ascii="Calibri" w:hAnsi="Calibri"/>
                <w:sz w:val="18"/>
              </w:rPr>
              <w:t>Annual CPI-U + 1%</w:t>
            </w:r>
          </w:p>
        </w:tc>
      </w:tr>
      <w:tr>
        <w:tc>
          <w:tcPr>
            <w:tcW w:type="dxa" w:w="2592"/>
            <w:shd w:val="clear" w:color="auto" w:fill="F4F7FC"/>
          </w:tcPr>
          <w:p>
            <w:pPr>
              <w:spacing w:before="20" w:after="20"/>
            </w:pPr>
            <w:r>
              <w:rPr>
                <w:rFonts w:ascii="Calibri" w:hAnsi="Calibri"/>
                <w:sz w:val="18"/>
              </w:rPr>
              <w:t>Engine LLP – No.2</w:t>
            </w:r>
          </w:p>
        </w:tc>
        <w:tc>
          <w:tcPr>
            <w:tcW w:type="dxa" w:w="1728"/>
            <w:shd w:val="clear" w:color="auto" w:fill="F4F7FC"/>
          </w:tcPr>
          <w:p>
            <w:pPr>
              <w:spacing w:before="20" w:after="20"/>
            </w:pPr>
            <w:r>
              <w:rPr>
                <w:rFonts w:ascii="Calibri" w:hAnsi="Calibri"/>
                <w:sz w:val="18"/>
              </w:rPr>
              <w:t>USD 230/FC</w:t>
            </w:r>
          </w:p>
        </w:tc>
        <w:tc>
          <w:tcPr>
            <w:tcW w:type="dxa" w:w="1728"/>
            <w:shd w:val="clear" w:color="auto" w:fill="F4F7FC"/>
          </w:tcPr>
          <w:p>
            <w:pPr>
              <w:spacing w:before="20" w:after="20"/>
            </w:pPr>
            <w:r>
              <w:rPr>
                <w:rFonts w:ascii="Calibri" w:hAnsi="Calibri"/>
                <w:sz w:val="18"/>
              </w:rPr>
              <w:t>USD 241/FC</w:t>
            </w:r>
          </w:p>
        </w:tc>
        <w:tc>
          <w:tcPr>
            <w:tcW w:type="dxa" w:w="3312"/>
            <w:shd w:val="clear" w:color="auto" w:fill="F4F7FC"/>
          </w:tcPr>
          <w:p>
            <w:pPr>
              <w:spacing w:before="20" w:after="20"/>
            </w:pPr>
            <w:r>
              <w:rPr>
                <w:rFonts w:ascii="Calibri" w:hAnsi="Calibri"/>
                <w:sz w:val="18"/>
              </w:rPr>
              <w:t>Annual CPI-U + 1%</w:t>
            </w:r>
          </w:p>
        </w:tc>
      </w:tr>
      <w:tr>
        <w:tc>
          <w:tcPr>
            <w:tcW w:type="dxa" w:w="2592"/>
            <w:shd w:val="clear" w:color="auto" w:fill="FFFFFF"/>
          </w:tcPr>
          <w:p>
            <w:pPr>
              <w:spacing w:before="20" w:after="20"/>
            </w:pPr>
            <w:r>
              <w:rPr>
                <w:rFonts w:ascii="Calibri" w:hAnsi="Calibri"/>
                <w:sz w:val="18"/>
              </w:rPr>
              <w:t>Airframe C Check</w:t>
            </w:r>
          </w:p>
        </w:tc>
        <w:tc>
          <w:tcPr>
            <w:tcW w:type="dxa" w:w="1728"/>
            <w:shd w:val="clear" w:color="auto" w:fill="FFFFFF"/>
          </w:tcPr>
          <w:p>
            <w:pPr>
              <w:spacing w:before="20" w:after="20"/>
            </w:pPr>
            <w:r>
              <w:rPr>
                <w:rFonts w:ascii="Calibri" w:hAnsi="Calibri"/>
                <w:sz w:val="18"/>
              </w:rPr>
              <w:t>USD 480/FH</w:t>
            </w:r>
          </w:p>
        </w:tc>
        <w:tc>
          <w:tcPr>
            <w:tcW w:type="dxa" w:w="1728"/>
            <w:shd w:val="clear" w:color="auto" w:fill="FFFFFF"/>
          </w:tcPr>
          <w:p>
            <w:pPr>
              <w:spacing w:before="20" w:after="20"/>
            </w:pPr>
            <w:r>
              <w:rPr>
                <w:rFonts w:ascii="Calibri" w:hAnsi="Calibri"/>
                <w:sz w:val="18"/>
              </w:rPr>
              <w:t>USD 495/FH</w:t>
            </w:r>
          </w:p>
        </w:tc>
        <w:tc>
          <w:tcPr>
            <w:tcW w:type="dxa" w:w="3312"/>
            <w:shd w:val="clear" w:color="auto" w:fill="FFFFFF"/>
          </w:tcPr>
          <w:p>
            <w:pPr>
              <w:spacing w:before="20" w:after="20"/>
            </w:pPr>
            <w:r>
              <w:rPr>
                <w:rFonts w:ascii="Calibri" w:hAnsi="Calibri"/>
                <w:sz w:val="18"/>
              </w:rPr>
              <w:t>CPI-U</w:t>
            </w:r>
          </w:p>
        </w:tc>
      </w:tr>
      <w:tr>
        <w:tc>
          <w:tcPr>
            <w:tcW w:type="dxa" w:w="2592"/>
            <w:shd w:val="clear" w:color="auto" w:fill="F4F7FC"/>
          </w:tcPr>
          <w:p>
            <w:pPr>
              <w:spacing w:before="20" w:after="20"/>
            </w:pPr>
            <w:r>
              <w:rPr>
                <w:rFonts w:ascii="Calibri" w:hAnsi="Calibri"/>
                <w:sz w:val="18"/>
              </w:rPr>
              <w:t>APU</w:t>
            </w:r>
          </w:p>
        </w:tc>
        <w:tc>
          <w:tcPr>
            <w:tcW w:type="dxa" w:w="1728"/>
            <w:shd w:val="clear" w:color="auto" w:fill="F4F7FC"/>
          </w:tcPr>
          <w:p>
            <w:pPr>
              <w:spacing w:before="20" w:after="20"/>
            </w:pPr>
            <w:r>
              <w:rPr>
                <w:rFonts w:ascii="Calibri" w:hAnsi="Calibri"/>
                <w:sz w:val="18"/>
              </w:rPr>
              <w:t>USD 65/APU-H</w:t>
            </w:r>
          </w:p>
        </w:tc>
        <w:tc>
          <w:tcPr>
            <w:tcW w:type="dxa" w:w="1728"/>
            <w:shd w:val="clear" w:color="auto" w:fill="F4F7FC"/>
          </w:tcPr>
          <w:p>
            <w:pPr>
              <w:spacing w:before="20" w:after="20"/>
            </w:pPr>
            <w:r>
              <w:rPr>
                <w:rFonts w:ascii="Calibri" w:hAnsi="Calibri"/>
                <w:sz w:val="18"/>
              </w:rPr>
              <w:t>USD 67/APU-H</w:t>
            </w:r>
          </w:p>
        </w:tc>
        <w:tc>
          <w:tcPr>
            <w:tcW w:type="dxa" w:w="3312"/>
            <w:shd w:val="clear" w:color="auto" w:fill="F4F7FC"/>
          </w:tcPr>
          <w:p>
            <w:pPr>
              <w:spacing w:before="20" w:after="20"/>
            </w:pPr>
            <w:r>
              <w:rPr>
                <w:rFonts w:ascii="Calibri" w:hAnsi="Calibri"/>
                <w:sz w:val="18"/>
              </w:rPr>
              <w:t>CPI-U</w:t>
            </w:r>
          </w:p>
        </w:tc>
      </w:tr>
    </w:tbl>
    <w:p/>
    <w:p>
      <w:r>
        <w:br w:type="page"/>
      </w:r>
    </w:p>
    <w:p>
      <w:pPr>
        <w:pStyle w:val="Heading2"/>
      </w:pPr>
      <w:r>
        <w:rPr>
          <w:rFonts w:ascii="Calibri" w:hAnsi="Calibri"/>
          <w:b/>
          <w:color w:val="0D2B55"/>
          <w:sz w:val="24"/>
        </w:rPr>
        <w:t>ARTICLE 3 — AMENDMENT TO PERMITTED USE</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0D2B55"/>
          </w:tcPr>
          <w:p>
            <w:pPr>
              <w:spacing w:before="40" w:after="40"/>
            </w:pPr>
            <w:r>
              <w:rPr>
                <w:rFonts w:ascii="Calibri" w:hAnsi="Calibri"/>
                <w:b/>
                <w:color w:val="FFFFFF"/>
                <w:sz w:val="18"/>
              </w:rPr>
              <w:t>Activity</w:t>
            </w:r>
          </w:p>
        </w:tc>
        <w:tc>
          <w:tcPr>
            <w:tcW w:type="dxa" w:w="2160"/>
            <w:shd w:val="clear" w:color="auto" w:fill="0D2B55"/>
          </w:tcPr>
          <w:p>
            <w:pPr>
              <w:spacing w:before="40" w:after="40"/>
            </w:pPr>
            <w:r>
              <w:rPr>
                <w:rFonts w:ascii="Calibri" w:hAnsi="Calibri"/>
                <w:b/>
                <w:color w:val="FFFFFF"/>
                <w:sz w:val="18"/>
              </w:rPr>
              <w:t>Original Position</w:t>
            </w:r>
          </w:p>
        </w:tc>
        <w:tc>
          <w:tcPr>
            <w:tcW w:type="dxa" w:w="2448"/>
            <w:shd w:val="clear" w:color="auto" w:fill="0D2B55"/>
          </w:tcPr>
          <w:p>
            <w:pPr>
              <w:spacing w:before="40" w:after="40"/>
            </w:pPr>
            <w:r>
              <w:rPr>
                <w:rFonts w:ascii="Calibri" w:hAnsi="Calibri"/>
                <w:b/>
                <w:color w:val="FFFFFF"/>
                <w:sz w:val="18"/>
              </w:rPr>
              <w:t>Amended Position</w:t>
            </w:r>
          </w:p>
        </w:tc>
        <w:tc>
          <w:tcPr>
            <w:tcW w:type="dxa" w:w="3024"/>
            <w:shd w:val="clear" w:color="auto" w:fill="0D2B55"/>
          </w:tcPr>
          <w:p>
            <w:pPr>
              <w:spacing w:before="40" w:after="40"/>
            </w:pPr>
            <w:r>
              <w:rPr>
                <w:rFonts w:ascii="Calibri" w:hAnsi="Calibri"/>
                <w:b/>
                <w:color w:val="FFFFFF"/>
                <w:sz w:val="18"/>
              </w:rPr>
              <w:t>Conditions</w:t>
            </w:r>
          </w:p>
        </w:tc>
      </w:tr>
      <w:tr>
        <w:tc>
          <w:tcPr>
            <w:tcW w:type="dxa" w:w="1728"/>
            <w:shd w:val="clear" w:color="auto" w:fill="FFFFFF"/>
          </w:tcPr>
          <w:p>
            <w:pPr>
              <w:spacing w:before="20" w:after="20"/>
            </w:pPr>
            <w:r>
              <w:rPr>
                <w:rFonts w:ascii="Calibri" w:hAnsi="Calibri"/>
                <w:sz w:val="18"/>
              </w:rPr>
              <w:t>Wet Lease / ACMI</w:t>
            </w:r>
          </w:p>
        </w:tc>
        <w:tc>
          <w:tcPr>
            <w:tcW w:type="dxa" w:w="2160"/>
            <w:shd w:val="clear" w:color="auto" w:fill="FFFFFF"/>
          </w:tcPr>
          <w:p>
            <w:pPr>
              <w:spacing w:before="20" w:after="20"/>
            </w:pPr>
            <w:r>
              <w:rPr>
                <w:rFonts w:ascii="Calibri" w:hAnsi="Calibri"/>
                <w:sz w:val="18"/>
              </w:rPr>
              <w:t>Required Lessor consent for each wet lease</w:t>
            </w:r>
          </w:p>
        </w:tc>
        <w:tc>
          <w:tcPr>
            <w:tcW w:type="dxa" w:w="2448"/>
            <w:shd w:val="clear" w:color="auto" w:fill="FFFFFF"/>
          </w:tcPr>
          <w:p>
            <w:pPr>
              <w:spacing w:before="20" w:after="20"/>
            </w:pPr>
            <w:r>
              <w:rPr>
                <w:rFonts w:ascii="Calibri" w:hAnsi="Calibri"/>
                <w:sz w:val="18"/>
              </w:rPr>
              <w:t>Permitted without consent for up to 45 days / 12-month period</w:t>
            </w:r>
          </w:p>
        </w:tc>
        <w:tc>
          <w:tcPr>
            <w:tcW w:type="dxa" w:w="3024"/>
            <w:shd w:val="clear" w:color="auto" w:fill="FFFFFF"/>
          </w:tcPr>
          <w:p>
            <w:pPr>
              <w:spacing w:before="20" w:after="20"/>
            </w:pPr>
            <w:r>
              <w:rPr>
                <w:rFonts w:ascii="Calibri" w:hAnsi="Calibri"/>
                <w:sz w:val="18"/>
              </w:rPr>
              <w:t>Lessee remains PIC operator; insurance covers ACMI; written notice within 5 BD</w:t>
            </w:r>
          </w:p>
        </w:tc>
      </w:tr>
      <w:tr>
        <w:tc>
          <w:tcPr>
            <w:tcW w:type="dxa" w:w="1728"/>
            <w:shd w:val="clear" w:color="auto" w:fill="F4F7FC"/>
          </w:tcPr>
          <w:p>
            <w:pPr>
              <w:spacing w:before="20" w:after="20"/>
            </w:pPr>
            <w:r>
              <w:rPr>
                <w:rFonts w:ascii="Calibri" w:hAnsi="Calibri"/>
                <w:sz w:val="18"/>
              </w:rPr>
              <w:t>Code-Share</w:t>
            </w:r>
          </w:p>
        </w:tc>
        <w:tc>
          <w:tcPr>
            <w:tcW w:type="dxa" w:w="2160"/>
            <w:shd w:val="clear" w:color="auto" w:fill="F4F7FC"/>
          </w:tcPr>
          <w:p>
            <w:pPr>
              <w:spacing w:before="20" w:after="20"/>
            </w:pPr>
            <w:r>
              <w:rPr>
                <w:rFonts w:ascii="Calibri" w:hAnsi="Calibri"/>
                <w:sz w:val="18"/>
              </w:rPr>
              <w:t>Not addressed</w:t>
            </w:r>
          </w:p>
        </w:tc>
        <w:tc>
          <w:tcPr>
            <w:tcW w:type="dxa" w:w="2448"/>
            <w:shd w:val="clear" w:color="auto" w:fill="F4F7FC"/>
          </w:tcPr>
          <w:p>
            <w:pPr>
              <w:spacing w:before="20" w:after="20"/>
            </w:pPr>
            <w:r>
              <w:rPr>
                <w:rFonts w:ascii="Calibri" w:hAnsi="Calibri"/>
                <w:sz w:val="18"/>
              </w:rPr>
              <w:t>Permitted with IOSA-registered carriers</w:t>
            </w:r>
          </w:p>
        </w:tc>
        <w:tc>
          <w:tcPr>
            <w:tcW w:type="dxa" w:w="3024"/>
            <w:shd w:val="clear" w:color="auto" w:fill="F4F7FC"/>
          </w:tcPr>
          <w:p>
            <w:pPr>
              <w:spacing w:before="20" w:after="20"/>
            </w:pPr>
            <w:r>
              <w:rPr>
                <w:rFonts w:ascii="Calibri" w:hAnsi="Calibri"/>
                <w:sz w:val="18"/>
              </w:rPr>
              <w:t>Lessee remains operating carrier; no operational control transfer</w:t>
            </w:r>
          </w:p>
        </w:tc>
      </w:tr>
      <w:tr>
        <w:tc>
          <w:tcPr>
            <w:tcW w:type="dxa" w:w="1728"/>
            <w:shd w:val="clear" w:color="auto" w:fill="FFFFFF"/>
          </w:tcPr>
          <w:p>
            <w:pPr>
              <w:spacing w:before="20" w:after="20"/>
            </w:pPr>
            <w:r>
              <w:rPr>
                <w:rFonts w:ascii="Calibri" w:hAnsi="Calibri"/>
                <w:sz w:val="18"/>
              </w:rPr>
              <w:t>Charter</w:t>
            </w:r>
          </w:p>
        </w:tc>
        <w:tc>
          <w:tcPr>
            <w:tcW w:type="dxa" w:w="2160"/>
            <w:shd w:val="clear" w:color="auto" w:fill="FFFFFF"/>
          </w:tcPr>
          <w:p>
            <w:pPr>
              <w:spacing w:before="20" w:after="20"/>
            </w:pPr>
            <w:r>
              <w:rPr>
                <w:rFonts w:ascii="Calibri" w:hAnsi="Calibri"/>
                <w:sz w:val="18"/>
              </w:rPr>
              <w:t>Permitted within OpSpecs</w:t>
            </w:r>
          </w:p>
        </w:tc>
        <w:tc>
          <w:tcPr>
            <w:tcW w:type="dxa" w:w="2448"/>
            <w:shd w:val="clear" w:color="auto" w:fill="FFFFFF"/>
          </w:tcPr>
          <w:p>
            <w:pPr>
              <w:spacing w:before="20" w:after="20"/>
            </w:pPr>
            <w:r>
              <w:rPr>
                <w:rFonts w:ascii="Calibri" w:hAnsi="Calibri"/>
                <w:sz w:val="18"/>
              </w:rPr>
              <w:t>Confirmed permitted; ambiguity removed</w:t>
            </w:r>
          </w:p>
        </w:tc>
        <w:tc>
          <w:tcPr>
            <w:tcW w:type="dxa" w:w="3024"/>
            <w:shd w:val="clear" w:color="auto" w:fill="FFFFFF"/>
          </w:tcPr>
          <w:p>
            <w:pPr>
              <w:spacing w:before="20" w:after="20"/>
            </w:pPr>
            <w:r>
              <w:rPr>
                <w:rFonts w:ascii="Calibri" w:hAnsi="Calibri"/>
                <w:sz w:val="18"/>
              </w:rPr>
              <w:t>Within existing OpSpecs; no new sub-certificate</w:t>
            </w:r>
          </w:p>
        </w:tc>
      </w:tr>
    </w:tbl>
    <w:p/>
    <w:p>
      <w:pPr>
        <w:pStyle w:val="Heading2"/>
      </w:pPr>
      <w:r>
        <w:rPr>
          <w:rFonts w:ascii="Calibri" w:hAnsi="Calibri"/>
          <w:b/>
          <w:color w:val="0D2B55"/>
          <w:sz w:val="24"/>
        </w:rPr>
        <w:t>ARTICLE 4 — AMENDMENT TO RETURN CONDITIONS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D2B55"/>
          </w:tcPr>
          <w:p>
            <w:pPr>
              <w:spacing w:before="40" w:after="40"/>
            </w:pPr>
            <w:r>
              <w:rPr>
                <w:rFonts w:ascii="Calibri" w:hAnsi="Calibri"/>
                <w:b/>
                <w:color w:val="FFFFFF"/>
                <w:sz w:val="18"/>
              </w:rPr>
              <w:t>Component</w:t>
            </w:r>
          </w:p>
        </w:tc>
        <w:tc>
          <w:tcPr>
            <w:tcW w:type="dxa" w:w="1872"/>
            <w:shd w:val="clear" w:color="auto" w:fill="0D2B55"/>
          </w:tcPr>
          <w:p>
            <w:pPr>
              <w:spacing w:before="40" w:after="40"/>
            </w:pPr>
            <w:r>
              <w:rPr>
                <w:rFonts w:ascii="Calibri" w:hAnsi="Calibri"/>
                <w:b/>
                <w:color w:val="FFFFFF"/>
                <w:sz w:val="18"/>
              </w:rPr>
              <w:t>Original Standard</w:t>
            </w:r>
          </w:p>
        </w:tc>
        <w:tc>
          <w:tcPr>
            <w:tcW w:type="dxa" w:w="2304"/>
            <w:shd w:val="clear" w:color="auto" w:fill="0D2B55"/>
          </w:tcPr>
          <w:p>
            <w:pPr>
              <w:spacing w:before="40" w:after="40"/>
            </w:pPr>
            <w:r>
              <w:rPr>
                <w:rFonts w:ascii="Calibri" w:hAnsi="Calibri"/>
                <w:b/>
                <w:color w:val="FFFFFF"/>
                <w:sz w:val="18"/>
              </w:rPr>
              <w:t>Amended Standard</w:t>
            </w:r>
          </w:p>
        </w:tc>
        <w:tc>
          <w:tcPr>
            <w:tcW w:type="dxa" w:w="3024"/>
            <w:shd w:val="clear" w:color="auto" w:fill="0D2B55"/>
          </w:tcPr>
          <w:p>
            <w:pPr>
              <w:spacing w:before="40" w:after="40"/>
            </w:pPr>
            <w:r>
              <w:rPr>
                <w:rFonts w:ascii="Calibri" w:hAnsi="Calibri"/>
                <w:b/>
                <w:color w:val="FFFFFF"/>
                <w:sz w:val="18"/>
              </w:rPr>
              <w:t>Rationale</w:t>
            </w:r>
          </w:p>
        </w:tc>
      </w:tr>
      <w:tr>
        <w:tc>
          <w:tcPr>
            <w:tcW w:type="dxa" w:w="2160"/>
            <w:shd w:val="clear" w:color="auto" w:fill="FFFFFF"/>
          </w:tcPr>
          <w:p>
            <w:pPr>
              <w:spacing w:before="20" w:after="20"/>
            </w:pPr>
            <w:r>
              <w:rPr>
                <w:rFonts w:ascii="Calibri" w:hAnsi="Calibri"/>
                <w:sz w:val="18"/>
              </w:rPr>
              <w:t>Engine EGT Margin</w:t>
            </w:r>
          </w:p>
        </w:tc>
        <w:tc>
          <w:tcPr>
            <w:tcW w:type="dxa" w:w="1872"/>
            <w:shd w:val="clear" w:color="auto" w:fill="FFFFFF"/>
          </w:tcPr>
          <w:p>
            <w:pPr>
              <w:spacing w:before="20" w:after="20"/>
            </w:pPr>
            <w:r>
              <w:rPr>
                <w:rFonts w:ascii="Calibri" w:hAnsi="Calibri"/>
                <w:sz w:val="18"/>
              </w:rPr>
              <w:t>Min 30°C at return</w:t>
            </w:r>
          </w:p>
        </w:tc>
        <w:tc>
          <w:tcPr>
            <w:tcW w:type="dxa" w:w="2304"/>
            <w:shd w:val="clear" w:color="auto" w:fill="FFFFFF"/>
          </w:tcPr>
          <w:p>
            <w:pPr>
              <w:spacing w:before="20" w:after="20"/>
            </w:pPr>
            <w:r>
              <w:rPr>
                <w:rFonts w:ascii="Calibri" w:hAnsi="Calibri"/>
                <w:sz w:val="18"/>
              </w:rPr>
              <w:t>Min 25°C; compensation USD 45,000/month per degree below 30°C</w:t>
            </w:r>
          </w:p>
        </w:tc>
        <w:tc>
          <w:tcPr>
            <w:tcW w:type="dxa" w:w="3024"/>
            <w:shd w:val="clear" w:color="auto" w:fill="FFFFFF"/>
          </w:tcPr>
          <w:p>
            <w:pPr>
              <w:spacing w:before="20" w:after="20"/>
            </w:pPr>
            <w:r>
              <w:rPr>
                <w:rFonts w:ascii="Calibri" w:hAnsi="Calibri"/>
                <w:sz w:val="18"/>
              </w:rPr>
              <w:t>Market practice; avoids unnecessary SV triggers</w:t>
            </w:r>
          </w:p>
        </w:tc>
      </w:tr>
      <w:tr>
        <w:tc>
          <w:tcPr>
            <w:tcW w:type="dxa" w:w="2160"/>
            <w:shd w:val="clear" w:color="auto" w:fill="F4F7FC"/>
          </w:tcPr>
          <w:p>
            <w:pPr>
              <w:spacing w:before="20" w:after="20"/>
            </w:pPr>
            <w:r>
              <w:rPr>
                <w:rFonts w:ascii="Calibri" w:hAnsi="Calibri"/>
                <w:sz w:val="18"/>
              </w:rPr>
              <w:t>Engine SV Recency</w:t>
            </w:r>
          </w:p>
        </w:tc>
        <w:tc>
          <w:tcPr>
            <w:tcW w:type="dxa" w:w="1872"/>
            <w:shd w:val="clear" w:color="auto" w:fill="F4F7FC"/>
          </w:tcPr>
          <w:p>
            <w:pPr>
              <w:spacing w:before="20" w:after="20"/>
            </w:pPr>
            <w:r>
              <w:rPr>
                <w:rFonts w:ascii="Calibri" w:hAnsi="Calibri"/>
                <w:sz w:val="18"/>
              </w:rPr>
              <w:t>Within 36 months</w:t>
            </w:r>
          </w:p>
        </w:tc>
        <w:tc>
          <w:tcPr>
            <w:tcW w:type="dxa" w:w="2304"/>
            <w:shd w:val="clear" w:color="auto" w:fill="F4F7FC"/>
          </w:tcPr>
          <w:p>
            <w:pPr>
              <w:spacing w:before="20" w:after="20"/>
            </w:pPr>
            <w:r>
              <w:rPr>
                <w:rFonts w:ascii="Calibri" w:hAnsi="Calibri"/>
                <w:sz w:val="18"/>
              </w:rPr>
              <w:t>Within 40 months</w:t>
            </w:r>
          </w:p>
        </w:tc>
        <w:tc>
          <w:tcPr>
            <w:tcW w:type="dxa" w:w="3024"/>
            <w:shd w:val="clear" w:color="auto" w:fill="F4F7FC"/>
          </w:tcPr>
          <w:p>
            <w:pPr>
              <w:spacing w:before="20" w:after="20"/>
            </w:pPr>
            <w:r>
              <w:rPr>
                <w:rFonts w:ascii="Calibri" w:hAnsi="Calibri"/>
                <w:sz w:val="18"/>
              </w:rPr>
              <w:t>Greater scheduling flexibility</w:t>
            </w:r>
          </w:p>
        </w:tc>
      </w:tr>
      <w:tr>
        <w:tc>
          <w:tcPr>
            <w:tcW w:type="dxa" w:w="2160"/>
            <w:shd w:val="clear" w:color="auto" w:fill="FFFFFF"/>
          </w:tcPr>
          <w:p>
            <w:pPr>
              <w:spacing w:before="20" w:after="20"/>
            </w:pPr>
            <w:r>
              <w:rPr>
                <w:rFonts w:ascii="Calibri" w:hAnsi="Calibri"/>
                <w:sz w:val="18"/>
              </w:rPr>
              <w:t>Economy Carpet</w:t>
            </w:r>
          </w:p>
        </w:tc>
        <w:tc>
          <w:tcPr>
            <w:tcW w:type="dxa" w:w="1872"/>
            <w:shd w:val="clear" w:color="auto" w:fill="FFFFFF"/>
          </w:tcPr>
          <w:p>
            <w:pPr>
              <w:spacing w:before="20" w:after="20"/>
            </w:pPr>
            <w:r>
              <w:rPr>
                <w:rFonts w:ascii="Calibri" w:hAnsi="Calibri"/>
                <w:sz w:val="18"/>
              </w:rPr>
              <w:t>Max 25% wear</w:t>
            </w:r>
          </w:p>
        </w:tc>
        <w:tc>
          <w:tcPr>
            <w:tcW w:type="dxa" w:w="2304"/>
            <w:shd w:val="clear" w:color="auto" w:fill="FFFFFF"/>
          </w:tcPr>
          <w:p>
            <w:pPr>
              <w:spacing w:before="20" w:after="20"/>
            </w:pPr>
            <w:r>
              <w:rPr>
                <w:rFonts w:ascii="Calibri" w:hAnsi="Calibri"/>
                <w:sz w:val="18"/>
              </w:rPr>
              <w:t>Max 35% wear (no staining or odour)</w:t>
            </w:r>
          </w:p>
        </w:tc>
        <w:tc>
          <w:tcPr>
            <w:tcW w:type="dxa" w:w="3024"/>
            <w:shd w:val="clear" w:color="auto" w:fill="FFFFFF"/>
          </w:tcPr>
          <w:p>
            <w:pPr>
              <w:spacing w:before="20" w:after="20"/>
            </w:pPr>
            <w:r>
              <w:rPr>
                <w:rFonts w:ascii="Calibri" w:hAnsi="Calibri"/>
                <w:sz w:val="18"/>
              </w:rPr>
              <w:t>Revised per industry benchmarking</w:t>
            </w:r>
          </w:p>
        </w:tc>
      </w:tr>
      <w:tr>
        <w:tc>
          <w:tcPr>
            <w:tcW w:type="dxa" w:w="2160"/>
            <w:shd w:val="clear" w:color="auto" w:fill="F4F7FC"/>
          </w:tcPr>
          <w:p>
            <w:pPr>
              <w:spacing w:before="20" w:after="20"/>
            </w:pPr>
            <w:r>
              <w:rPr>
                <w:rFonts w:ascii="Calibri" w:hAnsi="Calibri"/>
                <w:sz w:val="18"/>
              </w:rPr>
              <w:t>Engine LLP minimum</w:t>
            </w:r>
          </w:p>
        </w:tc>
        <w:tc>
          <w:tcPr>
            <w:tcW w:type="dxa" w:w="1872"/>
            <w:shd w:val="clear" w:color="auto" w:fill="F4F7FC"/>
          </w:tcPr>
          <w:p>
            <w:pPr>
              <w:spacing w:before="20" w:after="20"/>
            </w:pPr>
            <w:r>
              <w:rPr>
                <w:rFonts w:ascii="Calibri" w:hAnsi="Calibri"/>
                <w:sz w:val="18"/>
              </w:rPr>
              <w:t>2,500 FC</w:t>
            </w:r>
          </w:p>
        </w:tc>
        <w:tc>
          <w:tcPr>
            <w:tcW w:type="dxa" w:w="2304"/>
            <w:shd w:val="clear" w:color="auto" w:fill="F4F7FC"/>
          </w:tcPr>
          <w:p>
            <w:pPr>
              <w:spacing w:before="20" w:after="20"/>
            </w:pPr>
            <w:r>
              <w:rPr>
                <w:rFonts w:ascii="Calibri" w:hAnsi="Calibri"/>
                <w:sz w:val="18"/>
              </w:rPr>
              <w:t>2,000 FC; compensation at rate per cycle for shortfall below 2,500 FC</w:t>
            </w:r>
          </w:p>
        </w:tc>
        <w:tc>
          <w:tcPr>
            <w:tcW w:type="dxa" w:w="3024"/>
            <w:shd w:val="clear" w:color="auto" w:fill="F4F7FC"/>
          </w:tcPr>
          <w:p>
            <w:pPr>
              <w:spacing w:before="20" w:after="20"/>
            </w:pPr>
            <w:r>
              <w:rPr>
                <w:rFonts w:ascii="Calibri" w:hAnsi="Calibri"/>
                <w:sz w:val="18"/>
              </w:rPr>
              <w:t>Market flexibility with compensation mechanism</w:t>
            </w:r>
          </w:p>
        </w:tc>
      </w:tr>
    </w:tbl>
    <w:p/>
    <w:p>
      <w:pPr>
        <w:pStyle w:val="Heading2"/>
      </w:pPr>
      <w:r>
        <w:rPr>
          <w:rFonts w:ascii="Calibri" w:hAnsi="Calibri"/>
          <w:b/>
          <w:color w:val="0D2B55"/>
          <w:sz w:val="24"/>
        </w:rPr>
        <w:t>ARTICLE 5 — ADDITIONAL PROVISIONS</w:t>
      </w:r>
    </w:p>
    <w:p>
      <w:pPr>
        <w:pBdr>
          <w:bottom w:val="single" w:sz="6" w:space="1" w:color="0D2B55"/>
        </w:pBdr>
        <w:spacing w:before="40" w:after="120"/>
      </w:pPr>
    </w:p>
    <w:p>
      <w:pPr>
        <w:spacing w:after="100"/>
      </w:pPr>
      <w:r>
        <w:rPr>
          <w:rFonts w:ascii="Calibri" w:hAnsi="Calibri"/>
          <w:i w:val="0"/>
          <w:sz w:val="20"/>
        </w:rPr>
        <w:t>5.1  Wi-Fi STC Pre-Approval: Lessor grants pre-approval for Inmarsat GX Aviation or equivalent Wi-Fi STC, subject to: (a) 30 days' advance notice with STC number and EO; (b) installation by FAA-approved repair station; (c) no adverse effect on any existing STC or airworthiness approval.</w:t>
      </w:r>
    </w:p>
    <w:p>
      <w:pPr>
        <w:spacing w:after="100"/>
      </w:pPr>
      <w:r>
        <w:rPr>
          <w:rFonts w:ascii="Calibri" w:hAnsi="Calibri"/>
          <w:i w:val="0"/>
          <w:sz w:val="20"/>
        </w:rPr>
        <w:t>5.2  Engine Substitution: Temporary Replacement Engine permitted without consent if: (a) same type and model as removed Engine; (b) removed Engine inducted within 90 days; (c) Lessor notified immediately upon installation.</w:t>
      </w:r>
    </w:p>
    <w:p>
      <w:pPr>
        <w:pStyle w:val="Heading2"/>
      </w:pPr>
      <w:r>
        <w:rPr>
          <w:rFonts w:ascii="Calibri" w:hAnsi="Calibri"/>
          <w:b/>
          <w:color w:val="0D2B55"/>
          <w:sz w:val="24"/>
        </w:rPr>
        <w:t>ARTICLE 6 — RATIFICATION AND GENERAL</w:t>
      </w:r>
    </w:p>
    <w:p>
      <w:pPr>
        <w:pBdr>
          <w:bottom w:val="single" w:sz="6" w:space="1" w:color="0D2B55"/>
        </w:pBdr>
        <w:spacing w:before="40" w:after="120"/>
      </w:pPr>
    </w:p>
    <w:p>
      <w:pPr>
        <w:spacing w:after="100"/>
      </w:pPr>
      <w:r>
        <w:rPr>
          <w:rFonts w:ascii="Calibri" w:hAnsi="Calibri"/>
          <w:i w:val="0"/>
          <w:sz w:val="20"/>
        </w:rPr>
        <w:t>All terms of the Original Lease not expressly modified by this Amendment remain in full force and effect and are hereby ratified. From the date hereof, all references to 'the Lease' shall mean the Original Lease as amended. This Amendment is governed by New York law.</w:t>
      </w:r>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FF8"/>
          </w:tcPr>
          <w:p>
            <w:r>
              <w:rPr>
                <w:rFonts w:ascii="Calibri" w:hAnsi="Calibri"/>
                <w:b/>
                <w:color w:val="0D2B55"/>
                <w:sz w:val="20"/>
              </w:rPr>
              <w:t>LESSOR</w:t>
            </w:r>
          </w:p>
        </w:tc>
        <w:tc>
          <w:tcPr>
            <w:tcW w:type="dxa" w:w="4320"/>
            <w:shd w:val="clear" w:color="auto" w:fill="E8EFF8"/>
          </w:tcPr>
          <w:p>
            <w:r>
              <w:rPr>
                <w:rFonts w:ascii="Calibri" w:hAnsi="Calibri"/>
                <w:b/>
                <w:color w:val="0D2B55"/>
                <w:sz w:val="20"/>
              </w:rPr>
              <w:t>LESSEE</w:t>
            </w:r>
          </w:p>
        </w:tc>
      </w:tr>
      <w:tr>
        <w:tc>
          <w:tcPr>
            <w:tcW w:type="dxa" w:w="4320"/>
          </w:tcPr>
          <w:p>
            <w:r>
              <w:rPr>
                <w:rFonts w:ascii="Calibri" w:hAnsi="Calibri"/>
                <w:sz w:val="20"/>
              </w:rPr>
              <w:t>By: _________________________</w:t>
            </w:r>
          </w:p>
        </w:tc>
        <w:tc>
          <w:tcPr>
            <w:tcW w:type="dxa" w:w="4320"/>
          </w:tcPr>
          <w:p>
            <w:r>
              <w:rPr>
                <w:rFonts w:ascii="Calibri" w:hAnsi="Calibri"/>
                <w:sz w:val="20"/>
              </w:rPr>
              <w:t>By: _________________________</w:t>
            </w:r>
          </w:p>
        </w:tc>
      </w:tr>
      <w:tr>
        <w:tc>
          <w:tcPr>
            <w:tcW w:type="dxa" w:w="4320"/>
          </w:tcPr>
          <w:p>
            <w:r>
              <w:rPr>
                <w:rFonts w:ascii="Calibri" w:hAnsi="Calibri"/>
                <w:sz w:val="20"/>
              </w:rPr>
              <w:t>Name: Siobhan O'Keeffe</w:t>
            </w:r>
          </w:p>
        </w:tc>
        <w:tc>
          <w:tcPr>
            <w:tcW w:type="dxa" w:w="4320"/>
          </w:tcPr>
          <w:p>
            <w:r>
              <w:rPr>
                <w:rFonts w:ascii="Calibri" w:hAnsi="Calibri"/>
                <w:sz w:val="20"/>
              </w:rPr>
              <w:t>Name: Marcus T. Webb</w:t>
            </w:r>
          </w:p>
        </w:tc>
      </w:tr>
      <w:tr>
        <w:tc>
          <w:tcPr>
            <w:tcW w:type="dxa" w:w="4320"/>
          </w:tcPr>
          <w:p>
            <w:r>
              <w:rPr>
                <w:rFonts w:ascii="Calibri" w:hAnsi="Calibri"/>
                <w:sz w:val="20"/>
              </w:rPr>
              <w:t>Title: VP Portfolio Transactions</w:t>
            </w:r>
          </w:p>
        </w:tc>
        <w:tc>
          <w:tcPr>
            <w:tcW w:type="dxa" w:w="4320"/>
          </w:tcPr>
          <w:p>
            <w:r>
              <w:rPr>
                <w:rFonts w:ascii="Calibri" w:hAnsi="Calibri"/>
                <w:sz w:val="20"/>
              </w:rPr>
              <w:t>Title: Chief Financial Officer</w:t>
            </w:r>
          </w:p>
        </w:tc>
      </w:tr>
      <w:tr>
        <w:tc>
          <w:tcPr>
            <w:tcW w:type="dxa" w:w="4320"/>
          </w:tcPr>
          <w:p>
            <w:r>
              <w:rPr>
                <w:rFonts w:ascii="Calibri" w:hAnsi="Calibri"/>
                <w:sz w:val="20"/>
              </w:rPr>
              <w:t>Date: 2025-06-15</w:t>
            </w:r>
          </w:p>
        </w:tc>
        <w:tc>
          <w:tcPr>
            <w:tcW w:type="dxa" w:w="4320"/>
          </w:tcPr>
          <w:p>
            <w:r>
              <w:rPr>
                <w:rFonts w:ascii="Calibri" w:hAnsi="Calibri"/>
                <w:sz w:val="20"/>
              </w:rPr>
              <w:t>Date: 2025-06-15</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Horizon Leasing Partners LP</w:t>
          </w:r>
        </w:p>
      </w:tc>
      <w:tc>
        <w:tcPr>
          <w:tcW w:type="dxa" w:w="3120"/>
        </w:tcPr>
        <w:p>
          <w:pPr>
            <w:jc w:val="center"/>
          </w:pPr>
          <w:r>
            <w:rPr>
              <w:rFonts w:ascii="Calibri" w:hAnsi="Calibri"/>
              <w:color w:val="666666"/>
              <w:sz w:val="16"/>
            </w:rPr>
            <w:t>LEASE AMENDMENT AGREEMENT</w:t>
          </w:r>
        </w:p>
      </w:tc>
      <w:tc>
        <w:tcPr>
          <w:tcW w:type="dxa" w:w="3120"/>
        </w:tcPr>
        <w:p>
          <w:pPr>
            <w:jc w:val="right"/>
          </w:pPr>
          <w:r>
            <w:rPr>
              <w:rFonts w:ascii="Calibri" w:hAnsi="Calibri"/>
              <w:color w:val="666666"/>
              <w:sz w:val="16"/>
            </w:rPr>
            <w:t>AMEND-ALA-2027-003-No.1</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