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AERO CAPITAL FINANCE LTD.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LETTER OF INTENT</w:t>
      </w:r>
    </w:p>
    <w:p>
      <w:pPr>
        <w:spacing w:after="120"/>
        <w:jc w:val="left"/>
      </w:pPr>
      <w:r>
        <w:rPr>
          <w:rFonts w:ascii="Calibri" w:hAnsi="Calibri"/>
          <w:b/>
          <w:color w:val="0D2B55"/>
          <w:sz w:val="44"/>
        </w:rPr>
        <w:t>Proposed Lease — Boeing 737-900ER MSN 44501</w:t>
      </w:r>
    </w:p>
    <w:p>
      <w:pPr>
        <w:spacing w:after="400"/>
      </w:pPr>
      <w:r>
        <w:rPr>
          <w:rFonts w:ascii="Calibri" w:hAnsi="Calibri"/>
          <w:color w:val="666666"/>
          <w:sz w:val="20"/>
        </w:rPr>
        <w:t>Reference: LOI-N302-2026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Boeing 737-900ER</w:t>
            </w:r>
          </w:p>
        </w:tc>
        <w:tc>
          <w:tcPr>
            <w:tcW w:type="dxa" w:w="1728"/>
            <w:shd w:val="clear" w:color="auto" w:fill="E8EFF8"/>
          </w:tcPr>
          <w:p>
            <w:r>
              <w:rPr>
                <w:rFonts w:ascii="Calibri" w:hAnsi="Calibri"/>
                <w:b/>
                <w:color w:val="0D2B55"/>
                <w:sz w:val="18"/>
              </w:rPr>
              <w:t>44501</w:t>
            </w:r>
          </w:p>
        </w:tc>
        <w:tc>
          <w:tcPr>
            <w:tcW w:type="dxa" w:w="1728"/>
            <w:shd w:val="clear" w:color="auto" w:fill="E8EFF8"/>
          </w:tcPr>
          <w:p>
            <w:r>
              <w:rPr>
                <w:rFonts w:ascii="Calibri" w:hAnsi="Calibri"/>
                <w:b/>
                <w:color w:val="0D2B55"/>
                <w:sz w:val="18"/>
              </w:rPr>
              <w:t>N34567</w:t>
            </w:r>
          </w:p>
        </w:tc>
        <w:tc>
          <w:tcPr>
            <w:tcW w:type="dxa" w:w="1728"/>
            <w:shd w:val="clear" w:color="auto" w:fill="E8EFF8"/>
          </w:tcPr>
          <w:p>
            <w:r>
              <w:rPr>
                <w:rFonts w:ascii="Calibri" w:hAnsi="Calibri"/>
                <w:b/>
                <w:color w:val="0D2B55"/>
                <w:sz w:val="18"/>
              </w:rPr>
              <w:t>CFM56-7B27E</w:t>
            </w:r>
          </w:p>
        </w:tc>
        <w:tc>
          <w:tcPr>
            <w:tcW w:type="dxa" w:w="1728"/>
            <w:shd w:val="clear" w:color="auto" w:fill="E8EFF8"/>
          </w:tcPr>
          <w:p>
            <w:r>
              <w:rPr>
                <w:rFonts w:ascii="Calibri" w:hAnsi="Calibri"/>
                <w:b/>
                <w:color w:val="0D2B55"/>
                <w:sz w:val="18"/>
              </w:rPr>
              <w:t>2019</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Prospective Lessor</w:t>
            </w:r>
          </w:p>
        </w:tc>
        <w:tc>
          <w:tcPr>
            <w:tcW w:type="dxa" w:w="4752"/>
            <w:shd w:val="clear" w:color="auto" w:fill="E8EFF8"/>
          </w:tcPr>
          <w:p>
            <w:r>
              <w:rPr>
                <w:rFonts w:ascii="Calibri" w:hAnsi="Calibri"/>
                <w:sz w:val="18"/>
              </w:rPr>
              <w:t>Aero Capital Finance Ltd.</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Prospective Lessee</w:t>
            </w:r>
          </w:p>
        </w:tc>
        <w:tc>
          <w:tcPr>
            <w:tcW w:type="dxa" w:w="4752"/>
            <w:shd w:val="clear" w:color="auto" w:fill="FFFFFF"/>
          </w:tcPr>
          <w:p>
            <w:r>
              <w:rPr>
                <w:rFonts w:ascii="Calibri" w:hAnsi="Calibri"/>
                <w:sz w:val="18"/>
              </w:rPr>
              <w:t>Apex Continental Airlines</w:t>
            </w:r>
          </w:p>
        </w:tc>
        <w:tc>
          <w:tcPr>
            <w:tcW w:type="dxa" w:w="2880"/>
            <w:shd w:val="clear" w:color="auto" w:fill="FFFFFF"/>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NON-BINDING — SUBJECT TO ALA EXECUTION  </w:t>
      </w:r>
    </w:p>
    <w:p>
      <w:r>
        <w:rPr>
          <w:rFonts w:ascii="Calibri" w:hAnsi="Calibri"/>
          <w:color w:val="666666"/>
          <w:sz w:val="20"/>
        </w:rPr>
        <w:t>Dated: 2024-03-01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Aero Capital Finance Ltd. is strictly prohibited.</w:t>
      </w:r>
    </w:p>
    <w:p>
      <w:r>
        <w:br w:type="page"/>
      </w:r>
    </w:p>
    <w:p>
      <w:pPr>
        <w:spacing w:after="100"/>
      </w:pPr>
      <w:r>
        <w:rPr>
          <w:rFonts w:ascii="Calibri" w:hAnsi="Calibri"/>
          <w:i w:val="0"/>
          <w:sz w:val="20"/>
        </w:rPr>
        <w:t>This Letter of Intent ('LOI') is submitted by Apex Continental Airlines ('Prospective Lessee') to Aero Capital Finance Ltd. ('Prospective Lessor') and sets out the non-binding commercial terms for the proposed lease of the Aircraft described below. This LOI does not constitute a binding obligation unless a formal Aircraft Lease Agreement ('ALA') is duly executed by both Parties.</w:t>
      </w:r>
    </w:p>
    <w:p>
      <w:pPr>
        <w:pStyle w:val="Heading2"/>
      </w:pPr>
      <w:r>
        <w:rPr>
          <w:rFonts w:ascii="Calibri" w:hAnsi="Calibri"/>
          <w:b/>
          <w:color w:val="0D2B55"/>
          <w:sz w:val="24"/>
        </w:rPr>
        <w:t>1. AIRCRAFT DESCRIPTION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168"/>
            <w:shd w:val="clear" w:color="auto" w:fill="0D2B55"/>
          </w:tcPr>
          <w:p>
            <w:pPr>
              <w:spacing w:before="40" w:after="40"/>
            </w:pPr>
            <w:r>
              <w:rPr>
                <w:rFonts w:ascii="Calibri" w:hAnsi="Calibri"/>
                <w:b/>
                <w:color w:val="FFFFFF"/>
                <w:sz w:val="18"/>
              </w:rPr>
              <w:t>Parameter</w:t>
            </w:r>
          </w:p>
        </w:tc>
        <w:tc>
          <w:tcPr>
            <w:tcW w:type="dxa" w:w="6192"/>
            <w:shd w:val="clear" w:color="auto" w:fill="0D2B55"/>
          </w:tcPr>
          <w:p>
            <w:pPr>
              <w:spacing w:before="40" w:after="40"/>
            </w:pPr>
            <w:r>
              <w:rPr>
                <w:rFonts w:ascii="Calibri" w:hAnsi="Calibri"/>
                <w:b/>
                <w:color w:val="FFFFFF"/>
                <w:sz w:val="18"/>
              </w:rPr>
              <w:t>Detail</w:t>
            </w:r>
          </w:p>
        </w:tc>
      </w:tr>
      <w:tr>
        <w:tc>
          <w:tcPr>
            <w:tcW w:type="dxa" w:w="3168"/>
            <w:shd w:val="clear" w:color="auto" w:fill="FFFFFF"/>
          </w:tcPr>
          <w:p>
            <w:pPr>
              <w:spacing w:before="20" w:after="20"/>
            </w:pPr>
            <w:r>
              <w:rPr>
                <w:rFonts w:ascii="Calibri" w:hAnsi="Calibri"/>
                <w:sz w:val="18"/>
              </w:rPr>
              <w:t>Aircraft Type</w:t>
            </w:r>
          </w:p>
        </w:tc>
        <w:tc>
          <w:tcPr>
            <w:tcW w:type="dxa" w:w="6192"/>
            <w:shd w:val="clear" w:color="auto" w:fill="FFFFFF"/>
          </w:tcPr>
          <w:p>
            <w:pPr>
              <w:spacing w:before="20" w:after="20"/>
            </w:pPr>
            <w:r>
              <w:rPr>
                <w:rFonts w:ascii="Calibri" w:hAnsi="Calibri"/>
                <w:sz w:val="18"/>
              </w:rPr>
              <w:t>Boeing 737-900ER</w:t>
            </w:r>
          </w:p>
        </w:tc>
      </w:tr>
      <w:tr>
        <w:tc>
          <w:tcPr>
            <w:tcW w:type="dxa" w:w="3168"/>
            <w:shd w:val="clear" w:color="auto" w:fill="F4F7FC"/>
          </w:tcPr>
          <w:p>
            <w:pPr>
              <w:spacing w:before="20" w:after="20"/>
            </w:pPr>
            <w:r>
              <w:rPr>
                <w:rFonts w:ascii="Calibri" w:hAnsi="Calibri"/>
                <w:sz w:val="18"/>
              </w:rPr>
              <w:t>MSN</w:t>
            </w:r>
          </w:p>
        </w:tc>
        <w:tc>
          <w:tcPr>
            <w:tcW w:type="dxa" w:w="6192"/>
            <w:shd w:val="clear" w:color="auto" w:fill="F4F7FC"/>
          </w:tcPr>
          <w:p>
            <w:pPr>
              <w:spacing w:before="20" w:after="20"/>
            </w:pPr>
            <w:r>
              <w:rPr>
                <w:rFonts w:ascii="Calibri" w:hAnsi="Calibri"/>
                <w:sz w:val="18"/>
              </w:rPr>
              <w:t>44501</w:t>
            </w:r>
          </w:p>
        </w:tc>
      </w:tr>
      <w:tr>
        <w:tc>
          <w:tcPr>
            <w:tcW w:type="dxa" w:w="3168"/>
            <w:shd w:val="clear" w:color="auto" w:fill="FFFFFF"/>
          </w:tcPr>
          <w:p>
            <w:pPr>
              <w:spacing w:before="20" w:after="20"/>
            </w:pPr>
            <w:r>
              <w:rPr>
                <w:rFonts w:ascii="Calibri" w:hAnsi="Calibri"/>
                <w:sz w:val="18"/>
              </w:rPr>
              <w:t>Registration</w:t>
            </w:r>
          </w:p>
        </w:tc>
        <w:tc>
          <w:tcPr>
            <w:tcW w:type="dxa" w:w="6192"/>
            <w:shd w:val="clear" w:color="auto" w:fill="FFFFFF"/>
          </w:tcPr>
          <w:p>
            <w:pPr>
              <w:spacing w:before="20" w:after="20"/>
            </w:pPr>
            <w:r>
              <w:rPr>
                <w:rFonts w:ascii="Calibri" w:hAnsi="Calibri"/>
                <w:sz w:val="18"/>
              </w:rPr>
              <w:t>N34567</w:t>
            </w:r>
          </w:p>
        </w:tc>
      </w:tr>
      <w:tr>
        <w:tc>
          <w:tcPr>
            <w:tcW w:type="dxa" w:w="3168"/>
            <w:shd w:val="clear" w:color="auto" w:fill="F4F7FC"/>
          </w:tcPr>
          <w:p>
            <w:pPr>
              <w:spacing w:before="20" w:after="20"/>
            </w:pPr>
            <w:r>
              <w:rPr>
                <w:rFonts w:ascii="Calibri" w:hAnsi="Calibri"/>
                <w:sz w:val="18"/>
              </w:rPr>
              <w:t>Year</w:t>
            </w:r>
          </w:p>
        </w:tc>
        <w:tc>
          <w:tcPr>
            <w:tcW w:type="dxa" w:w="6192"/>
            <w:shd w:val="clear" w:color="auto" w:fill="F4F7FC"/>
          </w:tcPr>
          <w:p>
            <w:pPr>
              <w:spacing w:before="20" w:after="20"/>
            </w:pPr>
            <w:r>
              <w:rPr>
                <w:rFonts w:ascii="Calibri" w:hAnsi="Calibri"/>
                <w:sz w:val="18"/>
              </w:rPr>
              <w:t>2019</w:t>
            </w:r>
          </w:p>
        </w:tc>
      </w:tr>
      <w:tr>
        <w:tc>
          <w:tcPr>
            <w:tcW w:type="dxa" w:w="3168"/>
            <w:shd w:val="clear" w:color="auto" w:fill="FFFFFF"/>
          </w:tcPr>
          <w:p>
            <w:pPr>
              <w:spacing w:before="20" w:after="20"/>
            </w:pPr>
            <w:r>
              <w:rPr>
                <w:rFonts w:ascii="Calibri" w:hAnsi="Calibri"/>
                <w:sz w:val="18"/>
              </w:rPr>
              <w:t>Engine Type</w:t>
            </w:r>
          </w:p>
        </w:tc>
        <w:tc>
          <w:tcPr>
            <w:tcW w:type="dxa" w:w="6192"/>
            <w:shd w:val="clear" w:color="auto" w:fill="FFFFFF"/>
          </w:tcPr>
          <w:p>
            <w:pPr>
              <w:spacing w:before="20" w:after="20"/>
            </w:pPr>
            <w:r>
              <w:rPr>
                <w:rFonts w:ascii="Calibri" w:hAnsi="Calibri"/>
                <w:sz w:val="18"/>
              </w:rPr>
              <w:t>CFM56-7B27E</w:t>
            </w:r>
          </w:p>
        </w:tc>
      </w:tr>
      <w:tr>
        <w:tc>
          <w:tcPr>
            <w:tcW w:type="dxa" w:w="3168"/>
            <w:shd w:val="clear" w:color="auto" w:fill="F4F7FC"/>
          </w:tcPr>
          <w:p>
            <w:pPr>
              <w:spacing w:before="20" w:after="20"/>
            </w:pPr>
            <w:r>
              <w:rPr>
                <w:rFonts w:ascii="Calibri" w:hAnsi="Calibri"/>
                <w:sz w:val="18"/>
              </w:rPr>
              <w:t>Engine Serial Numbers</w:t>
            </w:r>
          </w:p>
        </w:tc>
        <w:tc>
          <w:tcPr>
            <w:tcW w:type="dxa" w:w="6192"/>
            <w:shd w:val="clear" w:color="auto" w:fill="F4F7FC"/>
          </w:tcPr>
          <w:p>
            <w:pPr>
              <w:spacing w:before="20" w:after="20"/>
            </w:pPr>
            <w:r>
              <w:rPr>
                <w:rFonts w:ascii="Calibri" w:hAnsi="Calibri"/>
                <w:sz w:val="18"/>
              </w:rPr>
              <w:t>ESN-910101 (Pos.1) / ESN-910102 (Pos.2)</w:t>
            </w:r>
          </w:p>
        </w:tc>
      </w:tr>
      <w:tr>
        <w:tc>
          <w:tcPr>
            <w:tcW w:type="dxa" w:w="3168"/>
            <w:shd w:val="clear" w:color="auto" w:fill="FFFFFF"/>
          </w:tcPr>
          <w:p>
            <w:pPr>
              <w:spacing w:before="20" w:after="20"/>
            </w:pPr>
            <w:r>
              <w:rPr>
                <w:rFonts w:ascii="Calibri" w:hAnsi="Calibri"/>
                <w:sz w:val="18"/>
              </w:rPr>
              <w:t>Current Total Time (approx.)</w:t>
            </w:r>
          </w:p>
        </w:tc>
        <w:tc>
          <w:tcPr>
            <w:tcW w:type="dxa" w:w="6192"/>
            <w:shd w:val="clear" w:color="auto" w:fill="FFFFFF"/>
          </w:tcPr>
          <w:p>
            <w:pPr>
              <w:spacing w:before="20" w:after="20"/>
            </w:pPr>
            <w:r>
              <w:rPr>
                <w:rFonts w:ascii="Calibri" w:hAnsi="Calibri"/>
                <w:sz w:val="18"/>
              </w:rPr>
              <w:t>30,000 FH / 21,500 FC (as of 1 Feb 2026)</w:t>
            </w:r>
          </w:p>
        </w:tc>
      </w:tr>
      <w:tr>
        <w:tc>
          <w:tcPr>
            <w:tcW w:type="dxa" w:w="3168"/>
            <w:shd w:val="clear" w:color="auto" w:fill="F4F7FC"/>
          </w:tcPr>
          <w:p>
            <w:pPr>
              <w:spacing w:before="20" w:after="20"/>
            </w:pPr>
            <w:r>
              <w:rPr>
                <w:rFonts w:ascii="Calibri" w:hAnsi="Calibri"/>
                <w:sz w:val="18"/>
              </w:rPr>
              <w:t>Interior Config.</w:t>
            </w:r>
          </w:p>
        </w:tc>
        <w:tc>
          <w:tcPr>
            <w:tcW w:type="dxa" w:w="6192"/>
            <w:shd w:val="clear" w:color="auto" w:fill="F4F7FC"/>
          </w:tcPr>
          <w:p>
            <w:pPr>
              <w:spacing w:before="20" w:after="20"/>
            </w:pPr>
            <w:r>
              <w:rPr>
                <w:rFonts w:ascii="Calibri" w:hAnsi="Calibri"/>
                <w:sz w:val="18"/>
              </w:rPr>
              <w:t>168 pax — to be confirmed per inspection</w:t>
            </w:r>
          </w:p>
        </w:tc>
      </w:tr>
      <w:tr>
        <w:tc>
          <w:tcPr>
            <w:tcW w:type="dxa" w:w="3168"/>
            <w:shd w:val="clear" w:color="auto" w:fill="FFFFFF"/>
          </w:tcPr>
          <w:p>
            <w:pPr>
              <w:spacing w:before="20" w:after="20"/>
            </w:pPr>
            <w:r>
              <w:rPr>
                <w:rFonts w:ascii="Calibri" w:hAnsi="Calibri"/>
                <w:sz w:val="18"/>
              </w:rPr>
              <w:t>Proposed Delivery Location</w:t>
            </w:r>
          </w:p>
        </w:tc>
        <w:tc>
          <w:tcPr>
            <w:tcW w:type="dxa" w:w="6192"/>
            <w:shd w:val="clear" w:color="auto" w:fill="FFFFFF"/>
          </w:tcPr>
          <w:p>
            <w:pPr>
              <w:spacing w:before="20" w:after="20"/>
            </w:pPr>
            <w:r>
              <w:rPr>
                <w:rFonts w:ascii="Calibri" w:hAnsi="Calibri"/>
                <w:sz w:val="18"/>
              </w:rPr>
              <w:t>Dallas/Fort Worth International (DFW)</w:t>
            </w:r>
          </w:p>
        </w:tc>
      </w:tr>
      <w:tr>
        <w:tc>
          <w:tcPr>
            <w:tcW w:type="dxa" w:w="3168"/>
            <w:shd w:val="clear" w:color="auto" w:fill="F4F7FC"/>
          </w:tcPr>
          <w:p>
            <w:pPr>
              <w:spacing w:before="20" w:after="20"/>
            </w:pPr>
            <w:r>
              <w:rPr>
                <w:rFonts w:ascii="Calibri" w:hAnsi="Calibri"/>
                <w:sz w:val="18"/>
              </w:rPr>
              <w:t>Proposed Delivery Date</w:t>
            </w:r>
          </w:p>
        </w:tc>
        <w:tc>
          <w:tcPr>
            <w:tcW w:type="dxa" w:w="6192"/>
            <w:shd w:val="clear" w:color="auto" w:fill="F4F7FC"/>
          </w:tcPr>
          <w:p>
            <w:pPr>
              <w:spacing w:before="20" w:after="20"/>
            </w:pPr>
            <w:r>
              <w:rPr>
                <w:rFonts w:ascii="Calibri" w:hAnsi="Calibri"/>
                <w:sz w:val="18"/>
              </w:rPr>
              <w:t>1 October 2026</w:t>
            </w:r>
          </w:p>
        </w:tc>
      </w:tr>
    </w:tbl>
    <w:p/>
    <w:p>
      <w:pPr>
        <w:pStyle w:val="Heading2"/>
      </w:pPr>
      <w:r>
        <w:rPr>
          <w:rFonts w:ascii="Calibri" w:hAnsi="Calibri"/>
          <w:b/>
          <w:color w:val="0D2B55"/>
          <w:sz w:val="24"/>
        </w:rPr>
        <w:t>2. COMMERCIAL TERMS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0D2B55"/>
          </w:tcPr>
          <w:p>
            <w:pPr>
              <w:spacing w:before="40" w:after="40"/>
            </w:pPr>
            <w:r>
              <w:rPr>
                <w:rFonts w:ascii="Calibri" w:hAnsi="Calibri"/>
                <w:b/>
                <w:color w:val="FFFFFF"/>
                <w:sz w:val="18"/>
              </w:rPr>
              <w:t>Term</w:t>
            </w:r>
          </w:p>
        </w:tc>
        <w:tc>
          <w:tcPr>
            <w:tcW w:type="dxa" w:w="2592"/>
            <w:shd w:val="clear" w:color="auto" w:fill="0D2B55"/>
          </w:tcPr>
          <w:p>
            <w:pPr>
              <w:spacing w:before="40" w:after="40"/>
            </w:pPr>
            <w:r>
              <w:rPr>
                <w:rFonts w:ascii="Calibri" w:hAnsi="Calibri"/>
                <w:b/>
                <w:color w:val="FFFFFF"/>
                <w:sz w:val="18"/>
              </w:rPr>
              <w:t>Proposed Value</w:t>
            </w:r>
          </w:p>
        </w:tc>
        <w:tc>
          <w:tcPr>
            <w:tcW w:type="dxa" w:w="4464"/>
            <w:shd w:val="clear" w:color="auto" w:fill="0D2B55"/>
          </w:tcPr>
          <w:p>
            <w:pPr>
              <w:spacing w:before="40" w:after="40"/>
            </w:pPr>
            <w:r>
              <w:rPr>
                <w:rFonts w:ascii="Calibri" w:hAnsi="Calibri"/>
                <w:b/>
                <w:color w:val="FFFFFF"/>
                <w:sz w:val="18"/>
              </w:rPr>
              <w:t>Notes</w:t>
            </w:r>
          </w:p>
        </w:tc>
      </w:tr>
      <w:tr>
        <w:tc>
          <w:tcPr>
            <w:tcW w:type="dxa" w:w="2304"/>
            <w:shd w:val="clear" w:color="auto" w:fill="FFFFFF"/>
          </w:tcPr>
          <w:p>
            <w:pPr>
              <w:spacing w:before="20" w:after="20"/>
            </w:pPr>
            <w:r>
              <w:rPr>
                <w:rFonts w:ascii="Calibri" w:hAnsi="Calibri"/>
                <w:sz w:val="18"/>
              </w:rPr>
              <w:t>Lease Term</w:t>
            </w:r>
          </w:p>
        </w:tc>
        <w:tc>
          <w:tcPr>
            <w:tcW w:type="dxa" w:w="2592"/>
            <w:shd w:val="clear" w:color="auto" w:fill="FFFFFF"/>
          </w:tcPr>
          <w:p>
            <w:pPr>
              <w:spacing w:before="20" w:after="20"/>
            </w:pPr>
            <w:r>
              <w:rPr>
                <w:rFonts w:ascii="Calibri" w:hAnsi="Calibri"/>
                <w:sz w:val="18"/>
              </w:rPr>
              <w:t>84 months (7 years)</w:t>
            </w:r>
          </w:p>
        </w:tc>
        <w:tc>
          <w:tcPr>
            <w:tcW w:type="dxa" w:w="4464"/>
            <w:shd w:val="clear" w:color="auto" w:fill="FFFFFF"/>
          </w:tcPr>
          <w:p>
            <w:pPr>
              <w:spacing w:before="20" w:after="20"/>
            </w:pPr>
            <w:r>
              <w:rPr>
                <w:rFonts w:ascii="Calibri" w:hAnsi="Calibri"/>
                <w:sz w:val="18"/>
              </w:rPr>
              <w:t>Subject to ALA negotiation</w:t>
            </w:r>
          </w:p>
        </w:tc>
      </w:tr>
      <w:tr>
        <w:tc>
          <w:tcPr>
            <w:tcW w:type="dxa" w:w="2304"/>
            <w:shd w:val="clear" w:color="auto" w:fill="F4F7FC"/>
          </w:tcPr>
          <w:p>
            <w:pPr>
              <w:spacing w:before="20" w:after="20"/>
            </w:pPr>
            <w:r>
              <w:rPr>
                <w:rFonts w:ascii="Calibri" w:hAnsi="Calibri"/>
                <w:sz w:val="18"/>
              </w:rPr>
              <w:t>Commencement</w:t>
            </w:r>
          </w:p>
        </w:tc>
        <w:tc>
          <w:tcPr>
            <w:tcW w:type="dxa" w:w="2592"/>
            <w:shd w:val="clear" w:color="auto" w:fill="F4F7FC"/>
          </w:tcPr>
          <w:p>
            <w:pPr>
              <w:spacing w:before="20" w:after="20"/>
            </w:pPr>
            <w:r>
              <w:rPr>
                <w:rFonts w:ascii="Calibri" w:hAnsi="Calibri"/>
                <w:sz w:val="18"/>
              </w:rPr>
              <w:t>1 October 2026</w:t>
            </w:r>
          </w:p>
        </w:tc>
        <w:tc>
          <w:tcPr>
            <w:tcW w:type="dxa" w:w="4464"/>
            <w:shd w:val="clear" w:color="auto" w:fill="F4F7FC"/>
          </w:tcPr>
          <w:p>
            <w:pPr>
              <w:spacing w:before="20" w:after="20"/>
            </w:pPr>
            <w:r>
              <w:rPr>
                <w:rFonts w:ascii="Calibri" w:hAnsi="Calibri"/>
                <w:sz w:val="18"/>
              </w:rPr>
              <w:t>Subject to delivery conditions</w:t>
            </w:r>
          </w:p>
        </w:tc>
      </w:tr>
      <w:tr>
        <w:tc>
          <w:tcPr>
            <w:tcW w:type="dxa" w:w="2304"/>
            <w:shd w:val="clear" w:color="auto" w:fill="FFFFFF"/>
          </w:tcPr>
          <w:p>
            <w:pPr>
              <w:spacing w:before="20" w:after="20"/>
            </w:pPr>
            <w:r>
              <w:rPr>
                <w:rFonts w:ascii="Calibri" w:hAnsi="Calibri"/>
                <w:sz w:val="18"/>
              </w:rPr>
              <w:t>Expiry</w:t>
            </w:r>
          </w:p>
        </w:tc>
        <w:tc>
          <w:tcPr>
            <w:tcW w:type="dxa" w:w="2592"/>
            <w:shd w:val="clear" w:color="auto" w:fill="FFFFFF"/>
          </w:tcPr>
          <w:p>
            <w:pPr>
              <w:spacing w:before="20" w:after="20"/>
            </w:pPr>
            <w:r>
              <w:rPr>
                <w:rFonts w:ascii="Calibri" w:hAnsi="Calibri"/>
                <w:sz w:val="18"/>
              </w:rPr>
              <w:t>30 September 2033</w:t>
            </w:r>
          </w:p>
        </w:tc>
        <w:tc>
          <w:tcPr>
            <w:tcW w:type="dxa" w:w="4464"/>
            <w:shd w:val="clear" w:color="auto" w:fill="FFFFFF"/>
          </w:tcPr>
          <w:p>
            <w:pPr>
              <w:spacing w:before="20" w:after="20"/>
            </w:pPr>
            <w:r>
              <w:rPr>
                <w:rFonts w:ascii="Calibri" w:hAnsi="Calibri"/>
                <w:sz w:val="18"/>
              </w:rPr>
              <w:t>—</w:t>
            </w:r>
          </w:p>
        </w:tc>
      </w:tr>
      <w:tr>
        <w:tc>
          <w:tcPr>
            <w:tcW w:type="dxa" w:w="2304"/>
            <w:shd w:val="clear" w:color="auto" w:fill="F4F7FC"/>
          </w:tcPr>
          <w:p>
            <w:pPr>
              <w:spacing w:before="20" w:after="20"/>
            </w:pPr>
            <w:r>
              <w:rPr>
                <w:rFonts w:ascii="Calibri" w:hAnsi="Calibri"/>
                <w:sz w:val="18"/>
              </w:rPr>
              <w:t>Monthly Base Rent</w:t>
            </w:r>
          </w:p>
        </w:tc>
        <w:tc>
          <w:tcPr>
            <w:tcW w:type="dxa" w:w="2592"/>
            <w:shd w:val="clear" w:color="auto" w:fill="F4F7FC"/>
          </w:tcPr>
          <w:p>
            <w:pPr>
              <w:spacing w:before="20" w:after="20"/>
            </w:pPr>
            <w:r>
              <w:rPr>
                <w:rFonts w:ascii="Calibri" w:hAnsi="Calibri"/>
                <w:sz w:val="18"/>
              </w:rPr>
              <w:t>USD 453,600</w:t>
            </w:r>
          </w:p>
        </w:tc>
        <w:tc>
          <w:tcPr>
            <w:tcW w:type="dxa" w:w="4464"/>
            <w:shd w:val="clear" w:color="auto" w:fill="F4F7FC"/>
          </w:tcPr>
          <w:p>
            <w:pPr>
              <w:spacing w:before="20" w:after="20"/>
            </w:pPr>
            <w:r>
              <w:rPr>
                <w:rFonts w:ascii="Calibri" w:hAnsi="Calibri"/>
                <w:sz w:val="18"/>
              </w:rPr>
              <w:t>Based on current appraisal; to be confirmed</w:t>
            </w:r>
          </w:p>
        </w:tc>
      </w:tr>
      <w:tr>
        <w:tc>
          <w:tcPr>
            <w:tcW w:type="dxa" w:w="2304"/>
            <w:shd w:val="clear" w:color="auto" w:fill="FFFFFF"/>
          </w:tcPr>
          <w:p>
            <w:pPr>
              <w:spacing w:before="20" w:after="20"/>
            </w:pPr>
            <w:r>
              <w:rPr>
                <w:rFonts w:ascii="Calibri" w:hAnsi="Calibri"/>
                <w:sz w:val="18"/>
              </w:rPr>
              <w:t>Rent Escalation</w:t>
            </w:r>
          </w:p>
        </w:tc>
        <w:tc>
          <w:tcPr>
            <w:tcW w:type="dxa" w:w="2592"/>
            <w:shd w:val="clear" w:color="auto" w:fill="FFFFFF"/>
          </w:tcPr>
          <w:p>
            <w:pPr>
              <w:spacing w:before="20" w:after="20"/>
            </w:pPr>
            <w:r>
              <w:rPr>
                <w:rFonts w:ascii="Calibri" w:hAnsi="Calibri"/>
                <w:sz w:val="18"/>
              </w:rPr>
              <w:t>CPI-U annually; floor 2%, ceiling 5%</w:t>
            </w:r>
          </w:p>
        </w:tc>
        <w:tc>
          <w:tcPr>
            <w:tcW w:type="dxa" w:w="4464"/>
            <w:shd w:val="clear" w:color="auto" w:fill="FFFFFF"/>
          </w:tcPr>
          <w:p>
            <w:pPr>
              <w:spacing w:before="20" w:after="20"/>
            </w:pPr>
            <w:r>
              <w:rPr>
                <w:rFonts w:ascii="Calibri" w:hAnsi="Calibri"/>
                <w:sz w:val="18"/>
              </w:rPr>
              <w:t>—</w:t>
            </w:r>
          </w:p>
        </w:tc>
      </w:tr>
      <w:tr>
        <w:tc>
          <w:tcPr>
            <w:tcW w:type="dxa" w:w="2304"/>
            <w:shd w:val="clear" w:color="auto" w:fill="F4F7FC"/>
          </w:tcPr>
          <w:p>
            <w:pPr>
              <w:spacing w:before="20" w:after="20"/>
            </w:pPr>
            <w:r>
              <w:rPr>
                <w:rFonts w:ascii="Calibri" w:hAnsi="Calibri"/>
                <w:sz w:val="18"/>
              </w:rPr>
              <w:t>Security Deposit</w:t>
            </w:r>
          </w:p>
        </w:tc>
        <w:tc>
          <w:tcPr>
            <w:tcW w:type="dxa" w:w="2592"/>
            <w:shd w:val="clear" w:color="auto" w:fill="F4F7FC"/>
          </w:tcPr>
          <w:p>
            <w:pPr>
              <w:spacing w:before="20" w:after="20"/>
            </w:pPr>
            <w:r>
              <w:rPr>
                <w:rFonts w:ascii="Calibri" w:hAnsi="Calibri"/>
                <w:sz w:val="18"/>
              </w:rPr>
              <w:t>USD 1,360,800 (3 months)</w:t>
            </w:r>
          </w:p>
        </w:tc>
        <w:tc>
          <w:tcPr>
            <w:tcW w:type="dxa" w:w="4464"/>
            <w:shd w:val="clear" w:color="auto" w:fill="F4F7FC"/>
          </w:tcPr>
          <w:p>
            <w:pPr>
              <w:spacing w:before="20" w:after="20"/>
            </w:pPr>
            <w:r>
              <w:rPr>
                <w:rFonts w:ascii="Calibri" w:hAnsi="Calibri"/>
                <w:sz w:val="18"/>
              </w:rPr>
              <w:t>Cash or acceptable L/C</w:t>
            </w:r>
          </w:p>
        </w:tc>
      </w:tr>
      <w:tr>
        <w:tc>
          <w:tcPr>
            <w:tcW w:type="dxa" w:w="2304"/>
            <w:shd w:val="clear" w:color="auto" w:fill="FFFFFF"/>
          </w:tcPr>
          <w:p>
            <w:pPr>
              <w:spacing w:before="20" w:after="20"/>
            </w:pPr>
            <w:r>
              <w:rPr>
                <w:rFonts w:ascii="Calibri" w:hAnsi="Calibri"/>
                <w:sz w:val="18"/>
              </w:rPr>
              <w:t>Maintenance Reserves</w:t>
            </w:r>
          </w:p>
        </w:tc>
        <w:tc>
          <w:tcPr>
            <w:tcW w:type="dxa" w:w="2592"/>
            <w:shd w:val="clear" w:color="auto" w:fill="FFFFFF"/>
          </w:tcPr>
          <w:p>
            <w:pPr>
              <w:spacing w:before="20" w:after="20"/>
            </w:pPr>
            <w:r>
              <w:rPr>
                <w:rFonts w:ascii="Calibri" w:hAnsi="Calibri"/>
                <w:sz w:val="18"/>
              </w:rPr>
              <w:t>Per Schedule 3 to ALA — rates TBD</w:t>
            </w:r>
          </w:p>
        </w:tc>
        <w:tc>
          <w:tcPr>
            <w:tcW w:type="dxa" w:w="4464"/>
            <w:shd w:val="clear" w:color="auto" w:fill="FFFFFF"/>
          </w:tcPr>
          <w:p>
            <w:pPr>
              <w:spacing w:before="20" w:after="20"/>
            </w:pPr>
            <w:r>
              <w:rPr>
                <w:rFonts w:ascii="Calibri" w:hAnsi="Calibri"/>
                <w:sz w:val="18"/>
              </w:rPr>
              <w:t>Subject to technical inspection</w:t>
            </w:r>
          </w:p>
        </w:tc>
      </w:tr>
      <w:tr>
        <w:tc>
          <w:tcPr>
            <w:tcW w:type="dxa" w:w="2304"/>
            <w:shd w:val="clear" w:color="auto" w:fill="F4F7FC"/>
          </w:tcPr>
          <w:p>
            <w:pPr>
              <w:spacing w:before="20" w:after="20"/>
            </w:pPr>
            <w:r>
              <w:rPr>
                <w:rFonts w:ascii="Calibri" w:hAnsi="Calibri"/>
                <w:sz w:val="18"/>
              </w:rPr>
              <w:t>Delivery Condition</w:t>
            </w:r>
          </w:p>
        </w:tc>
        <w:tc>
          <w:tcPr>
            <w:tcW w:type="dxa" w:w="2592"/>
            <w:shd w:val="clear" w:color="auto" w:fill="F4F7FC"/>
          </w:tcPr>
          <w:p>
            <w:pPr>
              <w:spacing w:before="20" w:after="20"/>
            </w:pPr>
            <w:r>
              <w:rPr>
                <w:rFonts w:ascii="Calibri" w:hAnsi="Calibri"/>
                <w:sz w:val="18"/>
              </w:rPr>
              <w:t>Half-life or better on all major components</w:t>
            </w:r>
          </w:p>
        </w:tc>
        <w:tc>
          <w:tcPr>
            <w:tcW w:type="dxa" w:w="4464"/>
            <w:shd w:val="clear" w:color="auto" w:fill="F4F7FC"/>
          </w:tcPr>
          <w:p>
            <w:pPr>
              <w:spacing w:before="20" w:after="20"/>
            </w:pPr>
            <w:r>
              <w:rPr>
                <w:rFonts w:ascii="Calibri" w:hAnsi="Calibri"/>
                <w:sz w:val="18"/>
              </w:rPr>
              <w:t>To be confirmed via PDI</w:t>
            </w:r>
          </w:p>
        </w:tc>
      </w:tr>
      <w:tr>
        <w:tc>
          <w:tcPr>
            <w:tcW w:type="dxa" w:w="2304"/>
            <w:shd w:val="clear" w:color="auto" w:fill="FFFFFF"/>
          </w:tcPr>
          <w:p>
            <w:pPr>
              <w:spacing w:before="20" w:after="20"/>
            </w:pPr>
            <w:r>
              <w:rPr>
                <w:rFonts w:ascii="Calibri" w:hAnsi="Calibri"/>
                <w:sz w:val="18"/>
              </w:rPr>
              <w:t>Governing Law</w:t>
            </w:r>
          </w:p>
        </w:tc>
        <w:tc>
          <w:tcPr>
            <w:tcW w:type="dxa" w:w="2592"/>
            <w:shd w:val="clear" w:color="auto" w:fill="FFFFFF"/>
          </w:tcPr>
          <w:p>
            <w:pPr>
              <w:spacing w:before="20" w:after="20"/>
            </w:pPr>
            <w:r>
              <w:rPr>
                <w:rFonts w:ascii="Calibri" w:hAnsi="Calibri"/>
                <w:sz w:val="18"/>
              </w:rPr>
              <w:t>New York / ICC Arbitration</w:t>
            </w:r>
          </w:p>
        </w:tc>
        <w:tc>
          <w:tcPr>
            <w:tcW w:type="dxa" w:w="4464"/>
            <w:shd w:val="clear" w:color="auto" w:fill="FFFFFF"/>
          </w:tcPr>
          <w:p>
            <w:pPr>
              <w:spacing w:before="20" w:after="20"/>
            </w:pPr>
            <w:r>
              <w:rPr>
                <w:rFonts w:ascii="Calibri" w:hAnsi="Calibri"/>
                <w:sz w:val="18"/>
              </w:rPr>
              <w:t>Standard ALA terms</w:t>
            </w:r>
          </w:p>
        </w:tc>
      </w:tr>
      <w:tr>
        <w:tc>
          <w:tcPr>
            <w:tcW w:type="dxa" w:w="2304"/>
            <w:shd w:val="clear" w:color="auto" w:fill="F4F7FC"/>
          </w:tcPr>
          <w:p>
            <w:pPr>
              <w:spacing w:before="20" w:after="20"/>
            </w:pPr>
            <w:r>
              <w:rPr>
                <w:rFonts w:ascii="Calibri" w:hAnsi="Calibri"/>
                <w:sz w:val="18"/>
              </w:rPr>
              <w:t>Exclusivity Period</w:t>
            </w:r>
          </w:p>
        </w:tc>
        <w:tc>
          <w:tcPr>
            <w:tcW w:type="dxa" w:w="2592"/>
            <w:shd w:val="clear" w:color="auto" w:fill="F4F7FC"/>
          </w:tcPr>
          <w:p>
            <w:pPr>
              <w:spacing w:before="20" w:after="20"/>
            </w:pPr>
            <w:r>
              <w:rPr>
                <w:rFonts w:ascii="Calibri" w:hAnsi="Calibri"/>
                <w:sz w:val="18"/>
              </w:rPr>
              <w:t>45 days from LOI execution</w:t>
            </w:r>
          </w:p>
        </w:tc>
        <w:tc>
          <w:tcPr>
            <w:tcW w:type="dxa" w:w="4464"/>
            <w:shd w:val="clear" w:color="auto" w:fill="F4F7FC"/>
          </w:tcPr>
          <w:p>
            <w:pPr>
              <w:spacing w:before="20" w:after="20"/>
            </w:pPr>
            <w:r>
              <w:rPr>
                <w:rFonts w:ascii="Calibri" w:hAnsi="Calibri"/>
                <w:sz w:val="18"/>
              </w:rPr>
              <w:t>Lessor commits not to market to third parties</w:t>
            </w:r>
          </w:p>
        </w:tc>
      </w:tr>
      <w:tr>
        <w:tc>
          <w:tcPr>
            <w:tcW w:type="dxa" w:w="2304"/>
            <w:shd w:val="clear" w:color="auto" w:fill="FFFFFF"/>
          </w:tcPr>
          <w:p>
            <w:pPr>
              <w:spacing w:before="20" w:after="20"/>
            </w:pPr>
            <w:r>
              <w:rPr>
                <w:rFonts w:ascii="Calibri" w:hAnsi="Calibri"/>
                <w:sz w:val="18"/>
              </w:rPr>
              <w:t>Non-Refundable Deposit</w:t>
            </w:r>
          </w:p>
        </w:tc>
        <w:tc>
          <w:tcPr>
            <w:tcW w:type="dxa" w:w="2592"/>
            <w:shd w:val="clear" w:color="auto" w:fill="FFFFFF"/>
          </w:tcPr>
          <w:p>
            <w:pPr>
              <w:spacing w:before="20" w:after="20"/>
            </w:pPr>
            <w:r>
              <w:rPr>
                <w:rFonts w:ascii="Calibri" w:hAnsi="Calibri"/>
                <w:sz w:val="18"/>
              </w:rPr>
              <w:t>USD 250,000 payable on LOI execution</w:t>
            </w:r>
          </w:p>
        </w:tc>
        <w:tc>
          <w:tcPr>
            <w:tcW w:type="dxa" w:w="4464"/>
            <w:shd w:val="clear" w:color="auto" w:fill="FFFFFF"/>
          </w:tcPr>
          <w:p>
            <w:pPr>
              <w:spacing w:before="20" w:after="20"/>
            </w:pPr>
            <w:r>
              <w:rPr>
                <w:rFonts w:ascii="Calibri" w:hAnsi="Calibri"/>
                <w:sz w:val="18"/>
              </w:rPr>
              <w:t>Credited to Security Deposit at lease start</w:t>
            </w:r>
          </w:p>
        </w:tc>
      </w:tr>
    </w:tbl>
    <w:p/>
    <w:p>
      <w:r>
        <w:br w:type="page"/>
      </w:r>
    </w:p>
    <w:p>
      <w:pPr>
        <w:pStyle w:val="Heading2"/>
      </w:pPr>
      <w:r>
        <w:rPr>
          <w:rFonts w:ascii="Calibri" w:hAnsi="Calibri"/>
          <w:b/>
          <w:color w:val="0D2B55"/>
          <w:sz w:val="24"/>
        </w:rPr>
        <w:t>3. MR TERM SHEET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0D2B55"/>
          </w:tcPr>
          <w:p>
            <w:pPr>
              <w:spacing w:before="40" w:after="40"/>
            </w:pPr>
            <w:r>
              <w:rPr>
                <w:rFonts w:ascii="Calibri" w:hAnsi="Calibri"/>
                <w:b/>
                <w:color w:val="FFFFFF"/>
                <w:sz w:val="18"/>
              </w:rPr>
              <w:t>Component</w:t>
            </w:r>
          </w:p>
        </w:tc>
        <w:tc>
          <w:tcPr>
            <w:tcW w:type="dxa" w:w="2592"/>
            <w:shd w:val="clear" w:color="auto" w:fill="0D2B55"/>
          </w:tcPr>
          <w:p>
            <w:pPr>
              <w:spacing w:before="40" w:after="40"/>
            </w:pPr>
            <w:r>
              <w:rPr>
                <w:rFonts w:ascii="Calibri" w:hAnsi="Calibri"/>
                <w:b/>
                <w:color w:val="FFFFFF"/>
                <w:sz w:val="18"/>
              </w:rPr>
              <w:t>Proposed Rate</w:t>
            </w:r>
          </w:p>
        </w:tc>
        <w:tc>
          <w:tcPr>
            <w:tcW w:type="dxa" w:w="3600"/>
            <w:shd w:val="clear" w:color="auto" w:fill="0D2B55"/>
          </w:tcPr>
          <w:p>
            <w:pPr>
              <w:spacing w:before="40" w:after="40"/>
            </w:pPr>
            <w:r>
              <w:rPr>
                <w:rFonts w:ascii="Calibri" w:hAnsi="Calibri"/>
                <w:b/>
                <w:color w:val="FFFFFF"/>
                <w:sz w:val="18"/>
              </w:rPr>
              <w:t>Escalation</w:t>
            </w:r>
          </w:p>
        </w:tc>
      </w:tr>
      <w:tr>
        <w:tc>
          <w:tcPr>
            <w:tcW w:type="dxa" w:w="3168"/>
            <w:shd w:val="clear" w:color="auto" w:fill="FFFFFF"/>
          </w:tcPr>
          <w:p>
            <w:pPr>
              <w:spacing w:before="20" w:after="20"/>
            </w:pPr>
            <w:r>
              <w:rPr>
                <w:rFonts w:ascii="Calibri" w:hAnsi="Calibri"/>
                <w:sz w:val="18"/>
              </w:rPr>
              <w:t>Airframe A/B Check</w:t>
            </w:r>
          </w:p>
        </w:tc>
        <w:tc>
          <w:tcPr>
            <w:tcW w:type="dxa" w:w="2592"/>
            <w:shd w:val="clear" w:color="auto" w:fill="FFFFFF"/>
          </w:tcPr>
          <w:p>
            <w:pPr>
              <w:spacing w:before="20" w:after="20"/>
            </w:pPr>
            <w:r>
              <w:rPr>
                <w:rFonts w:ascii="Calibri" w:hAnsi="Calibri"/>
                <w:sz w:val="18"/>
              </w:rPr>
              <w:t>USD 167/FH</w:t>
            </w:r>
          </w:p>
        </w:tc>
        <w:tc>
          <w:tcPr>
            <w:tcW w:type="dxa" w:w="3600"/>
            <w:shd w:val="clear" w:color="auto" w:fill="FFFFFF"/>
          </w:tcPr>
          <w:p>
            <w:pPr>
              <w:spacing w:before="20" w:after="20"/>
            </w:pPr>
            <w:r>
              <w:rPr>
                <w:rFonts w:ascii="Calibri" w:hAnsi="Calibri"/>
                <w:sz w:val="18"/>
              </w:rPr>
              <w:t>CPI-U</w:t>
            </w:r>
          </w:p>
        </w:tc>
      </w:tr>
      <w:tr>
        <w:tc>
          <w:tcPr>
            <w:tcW w:type="dxa" w:w="3168"/>
            <w:shd w:val="clear" w:color="auto" w:fill="F4F7FC"/>
          </w:tcPr>
          <w:p>
            <w:pPr>
              <w:spacing w:before="20" w:after="20"/>
            </w:pPr>
            <w:r>
              <w:rPr>
                <w:rFonts w:ascii="Calibri" w:hAnsi="Calibri"/>
                <w:sz w:val="18"/>
              </w:rPr>
              <w:t>Airframe C Check</w:t>
            </w:r>
          </w:p>
        </w:tc>
        <w:tc>
          <w:tcPr>
            <w:tcW w:type="dxa" w:w="2592"/>
            <w:shd w:val="clear" w:color="auto" w:fill="F4F7FC"/>
          </w:tcPr>
          <w:p>
            <w:pPr>
              <w:spacing w:before="20" w:after="20"/>
            </w:pPr>
            <w:r>
              <w:rPr>
                <w:rFonts w:ascii="Calibri" w:hAnsi="Calibri"/>
                <w:sz w:val="18"/>
              </w:rPr>
              <w:t>USD 502/FH</w:t>
            </w:r>
          </w:p>
        </w:tc>
        <w:tc>
          <w:tcPr>
            <w:tcW w:type="dxa" w:w="3600"/>
            <w:shd w:val="clear" w:color="auto" w:fill="F4F7FC"/>
          </w:tcPr>
          <w:p>
            <w:pPr>
              <w:spacing w:before="20" w:after="20"/>
            </w:pPr>
            <w:r>
              <w:rPr>
                <w:rFonts w:ascii="Calibri" w:hAnsi="Calibri"/>
                <w:sz w:val="18"/>
              </w:rPr>
              <w:t>CPI-U</w:t>
            </w:r>
          </w:p>
        </w:tc>
      </w:tr>
      <w:tr>
        <w:tc>
          <w:tcPr>
            <w:tcW w:type="dxa" w:w="3168"/>
            <w:shd w:val="clear" w:color="auto" w:fill="FFFFFF"/>
          </w:tcPr>
          <w:p>
            <w:pPr>
              <w:spacing w:before="20" w:after="20"/>
            </w:pPr>
            <w:r>
              <w:rPr>
                <w:rFonts w:ascii="Calibri" w:hAnsi="Calibri"/>
                <w:sz w:val="18"/>
              </w:rPr>
              <w:t>Engine LLP – No.1</w:t>
            </w:r>
          </w:p>
        </w:tc>
        <w:tc>
          <w:tcPr>
            <w:tcW w:type="dxa" w:w="2592"/>
            <w:shd w:val="clear" w:color="auto" w:fill="FFFFFF"/>
          </w:tcPr>
          <w:p>
            <w:pPr>
              <w:spacing w:before="20" w:after="20"/>
            </w:pPr>
            <w:r>
              <w:rPr>
                <w:rFonts w:ascii="Calibri" w:hAnsi="Calibri"/>
                <w:sz w:val="18"/>
              </w:rPr>
              <w:t>USD 243/FC</w:t>
            </w:r>
          </w:p>
        </w:tc>
        <w:tc>
          <w:tcPr>
            <w:tcW w:type="dxa" w:w="3600"/>
            <w:shd w:val="clear" w:color="auto" w:fill="FFFFFF"/>
          </w:tcPr>
          <w:p>
            <w:pPr>
              <w:spacing w:before="20" w:after="20"/>
            </w:pPr>
            <w:r>
              <w:rPr>
                <w:rFonts w:ascii="Calibri" w:hAnsi="Calibri"/>
                <w:sz w:val="18"/>
              </w:rPr>
              <w:t>CPI-U + 1%</w:t>
            </w:r>
          </w:p>
        </w:tc>
      </w:tr>
      <w:tr>
        <w:tc>
          <w:tcPr>
            <w:tcW w:type="dxa" w:w="3168"/>
            <w:shd w:val="clear" w:color="auto" w:fill="F4F7FC"/>
          </w:tcPr>
          <w:p>
            <w:pPr>
              <w:spacing w:before="20" w:after="20"/>
            </w:pPr>
            <w:r>
              <w:rPr>
                <w:rFonts w:ascii="Calibri" w:hAnsi="Calibri"/>
                <w:sz w:val="18"/>
              </w:rPr>
              <w:t>Engine LLP – No.2</w:t>
            </w:r>
          </w:p>
        </w:tc>
        <w:tc>
          <w:tcPr>
            <w:tcW w:type="dxa" w:w="2592"/>
            <w:shd w:val="clear" w:color="auto" w:fill="F4F7FC"/>
          </w:tcPr>
          <w:p>
            <w:pPr>
              <w:spacing w:before="20" w:after="20"/>
            </w:pPr>
            <w:r>
              <w:rPr>
                <w:rFonts w:ascii="Calibri" w:hAnsi="Calibri"/>
                <w:sz w:val="18"/>
              </w:rPr>
              <w:t>USD 243/FC</w:t>
            </w:r>
          </w:p>
        </w:tc>
        <w:tc>
          <w:tcPr>
            <w:tcW w:type="dxa" w:w="3600"/>
            <w:shd w:val="clear" w:color="auto" w:fill="F4F7FC"/>
          </w:tcPr>
          <w:p>
            <w:pPr>
              <w:spacing w:before="20" w:after="20"/>
            </w:pPr>
            <w:r>
              <w:rPr>
                <w:rFonts w:ascii="Calibri" w:hAnsi="Calibri"/>
                <w:sz w:val="18"/>
              </w:rPr>
              <w:t>CPI-U + 1%</w:t>
            </w:r>
          </w:p>
        </w:tc>
      </w:tr>
      <w:tr>
        <w:tc>
          <w:tcPr>
            <w:tcW w:type="dxa" w:w="3168"/>
            <w:shd w:val="clear" w:color="auto" w:fill="FFFFFF"/>
          </w:tcPr>
          <w:p>
            <w:pPr>
              <w:spacing w:before="20" w:after="20"/>
            </w:pPr>
            <w:r>
              <w:rPr>
                <w:rFonts w:ascii="Calibri" w:hAnsi="Calibri"/>
                <w:sz w:val="18"/>
              </w:rPr>
              <w:t>Engine Performance – No.1</w:t>
            </w:r>
          </w:p>
        </w:tc>
        <w:tc>
          <w:tcPr>
            <w:tcW w:type="dxa" w:w="2592"/>
            <w:shd w:val="clear" w:color="auto" w:fill="FFFFFF"/>
          </w:tcPr>
          <w:p>
            <w:pPr>
              <w:spacing w:before="20" w:after="20"/>
            </w:pPr>
            <w:r>
              <w:rPr>
                <w:rFonts w:ascii="Calibri" w:hAnsi="Calibri"/>
                <w:sz w:val="18"/>
              </w:rPr>
              <w:t>USD 183/FH</w:t>
            </w:r>
          </w:p>
        </w:tc>
        <w:tc>
          <w:tcPr>
            <w:tcW w:type="dxa" w:w="3600"/>
            <w:shd w:val="clear" w:color="auto" w:fill="FFFFFF"/>
          </w:tcPr>
          <w:p>
            <w:pPr>
              <w:spacing w:before="20" w:after="20"/>
            </w:pPr>
            <w:r>
              <w:rPr>
                <w:rFonts w:ascii="Calibri" w:hAnsi="Calibri"/>
                <w:sz w:val="18"/>
              </w:rPr>
              <w:t>CPI-U + 1%</w:t>
            </w:r>
          </w:p>
        </w:tc>
      </w:tr>
      <w:tr>
        <w:tc>
          <w:tcPr>
            <w:tcW w:type="dxa" w:w="3168"/>
            <w:shd w:val="clear" w:color="auto" w:fill="F4F7FC"/>
          </w:tcPr>
          <w:p>
            <w:pPr>
              <w:spacing w:before="20" w:after="20"/>
            </w:pPr>
            <w:r>
              <w:rPr>
                <w:rFonts w:ascii="Calibri" w:hAnsi="Calibri"/>
                <w:sz w:val="18"/>
              </w:rPr>
              <w:t>Engine Performance – No.2</w:t>
            </w:r>
          </w:p>
        </w:tc>
        <w:tc>
          <w:tcPr>
            <w:tcW w:type="dxa" w:w="2592"/>
            <w:shd w:val="clear" w:color="auto" w:fill="F4F7FC"/>
          </w:tcPr>
          <w:p>
            <w:pPr>
              <w:spacing w:before="20" w:after="20"/>
            </w:pPr>
            <w:r>
              <w:rPr>
                <w:rFonts w:ascii="Calibri" w:hAnsi="Calibri"/>
                <w:sz w:val="18"/>
              </w:rPr>
              <w:t>USD 183/FH</w:t>
            </w:r>
          </w:p>
        </w:tc>
        <w:tc>
          <w:tcPr>
            <w:tcW w:type="dxa" w:w="3600"/>
            <w:shd w:val="clear" w:color="auto" w:fill="F4F7FC"/>
          </w:tcPr>
          <w:p>
            <w:pPr>
              <w:spacing w:before="20" w:after="20"/>
            </w:pPr>
            <w:r>
              <w:rPr>
                <w:rFonts w:ascii="Calibri" w:hAnsi="Calibri"/>
                <w:sz w:val="18"/>
              </w:rPr>
              <w:t>CPI-U + 1%</w:t>
            </w:r>
          </w:p>
        </w:tc>
      </w:tr>
      <w:tr>
        <w:tc>
          <w:tcPr>
            <w:tcW w:type="dxa" w:w="3168"/>
            <w:shd w:val="clear" w:color="auto" w:fill="FFFFFF"/>
          </w:tcPr>
          <w:p>
            <w:pPr>
              <w:spacing w:before="20" w:after="20"/>
            </w:pPr>
            <w:r>
              <w:rPr>
                <w:rFonts w:ascii="Calibri" w:hAnsi="Calibri"/>
                <w:sz w:val="18"/>
              </w:rPr>
              <w:t>Landing Gear</w:t>
            </w:r>
          </w:p>
        </w:tc>
        <w:tc>
          <w:tcPr>
            <w:tcW w:type="dxa" w:w="2592"/>
            <w:shd w:val="clear" w:color="auto" w:fill="FFFFFF"/>
          </w:tcPr>
          <w:p>
            <w:pPr>
              <w:spacing w:before="20" w:after="20"/>
            </w:pPr>
            <w:r>
              <w:rPr>
                <w:rFonts w:ascii="Calibri" w:hAnsi="Calibri"/>
                <w:sz w:val="18"/>
              </w:rPr>
              <w:t>USD 108/FH</w:t>
            </w:r>
          </w:p>
        </w:tc>
        <w:tc>
          <w:tcPr>
            <w:tcW w:type="dxa" w:w="3600"/>
            <w:shd w:val="clear" w:color="auto" w:fill="FFFFFF"/>
          </w:tcPr>
          <w:p>
            <w:pPr>
              <w:spacing w:before="20" w:after="20"/>
            </w:pPr>
            <w:r>
              <w:rPr>
                <w:rFonts w:ascii="Calibri" w:hAnsi="Calibri"/>
                <w:sz w:val="18"/>
              </w:rPr>
              <w:t>CPI-U</w:t>
            </w:r>
          </w:p>
        </w:tc>
      </w:tr>
      <w:tr>
        <w:tc>
          <w:tcPr>
            <w:tcW w:type="dxa" w:w="3168"/>
            <w:shd w:val="clear" w:color="auto" w:fill="F4F7FC"/>
          </w:tcPr>
          <w:p>
            <w:pPr>
              <w:spacing w:before="20" w:after="20"/>
            </w:pPr>
            <w:r>
              <w:rPr>
                <w:rFonts w:ascii="Calibri" w:hAnsi="Calibri"/>
                <w:sz w:val="18"/>
              </w:rPr>
              <w:t>APU</w:t>
            </w:r>
          </w:p>
        </w:tc>
        <w:tc>
          <w:tcPr>
            <w:tcW w:type="dxa" w:w="2592"/>
            <w:shd w:val="clear" w:color="auto" w:fill="F4F7FC"/>
          </w:tcPr>
          <w:p>
            <w:pPr>
              <w:spacing w:before="20" w:after="20"/>
            </w:pPr>
            <w:r>
              <w:rPr>
                <w:rFonts w:ascii="Calibri" w:hAnsi="Calibri"/>
                <w:sz w:val="18"/>
              </w:rPr>
              <w:t>USD 64/APU-H</w:t>
            </w:r>
          </w:p>
        </w:tc>
        <w:tc>
          <w:tcPr>
            <w:tcW w:type="dxa" w:w="3600"/>
            <w:shd w:val="clear" w:color="auto" w:fill="F4F7FC"/>
          </w:tcPr>
          <w:p>
            <w:pPr>
              <w:spacing w:before="20" w:after="20"/>
            </w:pPr>
            <w:r>
              <w:rPr>
                <w:rFonts w:ascii="Calibri" w:hAnsi="Calibri"/>
                <w:sz w:val="18"/>
              </w:rPr>
              <w:t>CPI-U</w:t>
            </w:r>
          </w:p>
        </w:tc>
      </w:tr>
    </w:tbl>
    <w:p/>
    <w:p>
      <w:pPr>
        <w:pStyle w:val="Heading2"/>
      </w:pPr>
      <w:r>
        <w:rPr>
          <w:rFonts w:ascii="Calibri" w:hAnsi="Calibri"/>
          <w:b/>
          <w:color w:val="0D2B55"/>
          <w:sz w:val="24"/>
        </w:rPr>
        <w:t>4. CONDITIONS PRECEDENT TO ALA EXECUTION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864"/>
            <w:shd w:val="clear" w:color="auto" w:fill="0D2B55"/>
          </w:tcPr>
          <w:p>
            <w:pPr>
              <w:spacing w:before="40" w:after="40"/>
            </w:pPr>
            <w:r>
              <w:rPr>
                <w:rFonts w:ascii="Calibri" w:hAnsi="Calibri"/>
                <w:b/>
                <w:color w:val="FFFFFF"/>
                <w:sz w:val="18"/>
              </w:rPr>
              <w:t>Ref</w:t>
            </w:r>
          </w:p>
        </w:tc>
        <w:tc>
          <w:tcPr>
            <w:tcW w:type="dxa" w:w="8496"/>
            <w:shd w:val="clear" w:color="auto" w:fill="0D2B55"/>
          </w:tcPr>
          <w:p>
            <w:pPr>
              <w:spacing w:before="40" w:after="40"/>
            </w:pPr>
            <w:r>
              <w:rPr>
                <w:rFonts w:ascii="Calibri" w:hAnsi="Calibri"/>
                <w:b/>
                <w:color w:val="FFFFFF"/>
                <w:sz w:val="18"/>
              </w:rPr>
              <w:t>Condition</w:t>
            </w:r>
          </w:p>
        </w:tc>
      </w:tr>
      <w:tr>
        <w:tc>
          <w:tcPr>
            <w:tcW w:type="dxa" w:w="864"/>
            <w:shd w:val="clear" w:color="auto" w:fill="FFFFFF"/>
          </w:tcPr>
          <w:p>
            <w:pPr>
              <w:spacing w:before="20" w:after="20"/>
            </w:pPr>
            <w:r>
              <w:rPr>
                <w:rFonts w:ascii="Calibri" w:hAnsi="Calibri"/>
                <w:sz w:val="18"/>
              </w:rPr>
              <w:t>CP-01</w:t>
            </w:r>
          </w:p>
        </w:tc>
        <w:tc>
          <w:tcPr>
            <w:tcW w:type="dxa" w:w="8496"/>
            <w:shd w:val="clear" w:color="auto" w:fill="FFFFFF"/>
          </w:tcPr>
          <w:p>
            <w:pPr>
              <w:spacing w:before="20" w:after="20"/>
            </w:pPr>
            <w:r>
              <w:rPr>
                <w:rFonts w:ascii="Calibri" w:hAnsi="Calibri"/>
                <w:sz w:val="18"/>
              </w:rPr>
              <w:t>Satisfactory pre-delivery inspection (physical, technical, borescope)</w:t>
            </w:r>
          </w:p>
        </w:tc>
      </w:tr>
      <w:tr>
        <w:tc>
          <w:tcPr>
            <w:tcW w:type="dxa" w:w="864"/>
            <w:shd w:val="clear" w:color="auto" w:fill="F4F7FC"/>
          </w:tcPr>
          <w:p>
            <w:pPr>
              <w:spacing w:before="20" w:after="20"/>
            </w:pPr>
            <w:r>
              <w:rPr>
                <w:rFonts w:ascii="Calibri" w:hAnsi="Calibri"/>
                <w:sz w:val="18"/>
              </w:rPr>
              <w:t>CP-02</w:t>
            </w:r>
          </w:p>
        </w:tc>
        <w:tc>
          <w:tcPr>
            <w:tcW w:type="dxa" w:w="8496"/>
            <w:shd w:val="clear" w:color="auto" w:fill="F4F7FC"/>
          </w:tcPr>
          <w:p>
            <w:pPr>
              <w:spacing w:before="20" w:after="20"/>
            </w:pPr>
            <w:r>
              <w:rPr>
                <w:rFonts w:ascii="Calibri" w:hAnsi="Calibri"/>
                <w:sz w:val="18"/>
              </w:rPr>
              <w:t>Satisfactory financial due diligence (audited accounts last 2 fiscal years)</w:t>
            </w:r>
          </w:p>
        </w:tc>
      </w:tr>
      <w:tr>
        <w:tc>
          <w:tcPr>
            <w:tcW w:type="dxa" w:w="864"/>
            <w:shd w:val="clear" w:color="auto" w:fill="FFFFFF"/>
          </w:tcPr>
          <w:p>
            <w:pPr>
              <w:spacing w:before="20" w:after="20"/>
            </w:pPr>
            <w:r>
              <w:rPr>
                <w:rFonts w:ascii="Calibri" w:hAnsi="Calibri"/>
                <w:sz w:val="18"/>
              </w:rPr>
              <w:t>CP-03</w:t>
            </w:r>
          </w:p>
        </w:tc>
        <w:tc>
          <w:tcPr>
            <w:tcW w:type="dxa" w:w="8496"/>
            <w:shd w:val="clear" w:color="auto" w:fill="FFFFFF"/>
          </w:tcPr>
          <w:p>
            <w:pPr>
              <w:spacing w:before="20" w:after="20"/>
            </w:pPr>
            <w:r>
              <w:rPr>
                <w:rFonts w:ascii="Calibri" w:hAnsi="Calibri"/>
                <w:sz w:val="18"/>
              </w:rPr>
              <w:t>FAA IASA Category 1 status maintained throughout negotiations</w:t>
            </w:r>
          </w:p>
        </w:tc>
      </w:tr>
      <w:tr>
        <w:tc>
          <w:tcPr>
            <w:tcW w:type="dxa" w:w="864"/>
            <w:shd w:val="clear" w:color="auto" w:fill="F4F7FC"/>
          </w:tcPr>
          <w:p>
            <w:pPr>
              <w:spacing w:before="20" w:after="20"/>
            </w:pPr>
            <w:r>
              <w:rPr>
                <w:rFonts w:ascii="Calibri" w:hAnsi="Calibri"/>
                <w:sz w:val="18"/>
              </w:rPr>
              <w:t>CP-04</w:t>
            </w:r>
          </w:p>
        </w:tc>
        <w:tc>
          <w:tcPr>
            <w:tcW w:type="dxa" w:w="8496"/>
            <w:shd w:val="clear" w:color="auto" w:fill="F4F7FC"/>
          </w:tcPr>
          <w:p>
            <w:pPr>
              <w:spacing w:before="20" w:after="20"/>
            </w:pPr>
            <w:r>
              <w:rPr>
                <w:rFonts w:ascii="Calibri" w:hAnsi="Calibri"/>
                <w:sz w:val="18"/>
              </w:rPr>
              <w:t>Insurance brokers confirm coverages placeable on Lessor's standard terms</w:t>
            </w:r>
          </w:p>
        </w:tc>
      </w:tr>
      <w:tr>
        <w:tc>
          <w:tcPr>
            <w:tcW w:type="dxa" w:w="864"/>
            <w:shd w:val="clear" w:color="auto" w:fill="FFFFFF"/>
          </w:tcPr>
          <w:p>
            <w:pPr>
              <w:spacing w:before="20" w:after="20"/>
            </w:pPr>
            <w:r>
              <w:rPr>
                <w:rFonts w:ascii="Calibri" w:hAnsi="Calibri"/>
                <w:sz w:val="18"/>
              </w:rPr>
              <w:t>CP-05</w:t>
            </w:r>
          </w:p>
        </w:tc>
        <w:tc>
          <w:tcPr>
            <w:tcW w:type="dxa" w:w="8496"/>
            <w:shd w:val="clear" w:color="auto" w:fill="FFFFFF"/>
          </w:tcPr>
          <w:p>
            <w:pPr>
              <w:spacing w:before="20" w:after="20"/>
            </w:pPr>
            <w:r>
              <w:rPr>
                <w:rFonts w:ascii="Calibri" w:hAnsi="Calibri"/>
                <w:sz w:val="18"/>
              </w:rPr>
              <w:t>Current IOSA certification (within 24 months)</w:t>
            </w:r>
          </w:p>
        </w:tc>
      </w:tr>
      <w:tr>
        <w:tc>
          <w:tcPr>
            <w:tcW w:type="dxa" w:w="864"/>
            <w:shd w:val="clear" w:color="auto" w:fill="F4F7FC"/>
          </w:tcPr>
          <w:p>
            <w:pPr>
              <w:spacing w:before="20" w:after="20"/>
            </w:pPr>
            <w:r>
              <w:rPr>
                <w:rFonts w:ascii="Calibri" w:hAnsi="Calibri"/>
                <w:sz w:val="18"/>
              </w:rPr>
              <w:t>CP-06</w:t>
            </w:r>
          </w:p>
        </w:tc>
        <w:tc>
          <w:tcPr>
            <w:tcW w:type="dxa" w:w="8496"/>
            <w:shd w:val="clear" w:color="auto" w:fill="F4F7FC"/>
          </w:tcPr>
          <w:p>
            <w:pPr>
              <w:spacing w:before="20" w:after="20"/>
            </w:pPr>
            <w:r>
              <w:rPr>
                <w:rFonts w:ascii="Calibri" w:hAnsi="Calibri"/>
                <w:sz w:val="18"/>
              </w:rPr>
              <w:t>No Material Adverse Change in Lessee's condition</w:t>
            </w:r>
          </w:p>
        </w:tc>
      </w:tr>
      <w:tr>
        <w:tc>
          <w:tcPr>
            <w:tcW w:type="dxa" w:w="864"/>
            <w:shd w:val="clear" w:color="auto" w:fill="FFFFFF"/>
          </w:tcPr>
          <w:p>
            <w:pPr>
              <w:spacing w:before="20" w:after="20"/>
            </w:pPr>
            <w:r>
              <w:rPr>
                <w:rFonts w:ascii="Calibri" w:hAnsi="Calibri"/>
                <w:sz w:val="18"/>
              </w:rPr>
              <w:t>CP-07</w:t>
            </w:r>
          </w:p>
        </w:tc>
        <w:tc>
          <w:tcPr>
            <w:tcW w:type="dxa" w:w="8496"/>
            <w:shd w:val="clear" w:color="auto" w:fill="FFFFFF"/>
          </w:tcPr>
          <w:p>
            <w:pPr>
              <w:spacing w:before="20" w:after="20"/>
            </w:pPr>
            <w:r>
              <w:rPr>
                <w:rFonts w:ascii="Calibri" w:hAnsi="Calibri"/>
                <w:sz w:val="18"/>
              </w:rPr>
              <w:t>Satisfactory legal opinion from Lessee's external counsel</w:t>
            </w:r>
          </w:p>
        </w:tc>
      </w:tr>
      <w:tr>
        <w:tc>
          <w:tcPr>
            <w:tcW w:type="dxa" w:w="864"/>
            <w:shd w:val="clear" w:color="auto" w:fill="F4F7FC"/>
          </w:tcPr>
          <w:p>
            <w:pPr>
              <w:spacing w:before="20" w:after="20"/>
            </w:pPr>
            <w:r>
              <w:rPr>
                <w:rFonts w:ascii="Calibri" w:hAnsi="Calibri"/>
                <w:sz w:val="18"/>
              </w:rPr>
              <w:t>CP-08</w:t>
            </w:r>
          </w:p>
        </w:tc>
        <w:tc>
          <w:tcPr>
            <w:tcW w:type="dxa" w:w="8496"/>
            <w:shd w:val="clear" w:color="auto" w:fill="F4F7FC"/>
          </w:tcPr>
          <w:p>
            <w:pPr>
              <w:spacing w:before="20" w:after="20"/>
            </w:pPr>
            <w:r>
              <w:rPr>
                <w:rFonts w:ascii="Calibri" w:hAnsi="Calibri"/>
                <w:sz w:val="18"/>
              </w:rPr>
              <w:t>No existing liens or encumbrances on Aircraft</w:t>
            </w:r>
          </w:p>
        </w:tc>
      </w:tr>
      <w:tr>
        <w:tc>
          <w:tcPr>
            <w:tcW w:type="dxa" w:w="864"/>
            <w:shd w:val="clear" w:color="auto" w:fill="FFFFFF"/>
          </w:tcPr>
          <w:p>
            <w:pPr>
              <w:spacing w:before="20" w:after="20"/>
            </w:pPr>
            <w:r>
              <w:rPr>
                <w:rFonts w:ascii="Calibri" w:hAnsi="Calibri"/>
                <w:sz w:val="18"/>
              </w:rPr>
              <w:t>CP-09</w:t>
            </w:r>
          </w:p>
        </w:tc>
        <w:tc>
          <w:tcPr>
            <w:tcW w:type="dxa" w:w="8496"/>
            <w:shd w:val="clear" w:color="auto" w:fill="FFFFFF"/>
          </w:tcPr>
          <w:p>
            <w:pPr>
              <w:spacing w:before="20" w:after="20"/>
            </w:pPr>
            <w:r>
              <w:rPr>
                <w:rFonts w:ascii="Calibri" w:hAnsi="Calibri"/>
                <w:sz w:val="18"/>
              </w:rPr>
              <w:t>Agreement on final form of ALA and all schedules</w:t>
            </w:r>
          </w:p>
        </w:tc>
      </w:tr>
      <w:tr>
        <w:tc>
          <w:tcPr>
            <w:tcW w:type="dxa" w:w="864"/>
            <w:shd w:val="clear" w:color="auto" w:fill="F4F7FC"/>
          </w:tcPr>
          <w:p>
            <w:pPr>
              <w:spacing w:before="20" w:after="20"/>
            </w:pPr>
            <w:r>
              <w:rPr>
                <w:rFonts w:ascii="Calibri" w:hAnsi="Calibri"/>
                <w:sz w:val="18"/>
              </w:rPr>
              <w:t>CP-10</w:t>
            </w:r>
          </w:p>
        </w:tc>
        <w:tc>
          <w:tcPr>
            <w:tcW w:type="dxa" w:w="8496"/>
            <w:shd w:val="clear" w:color="auto" w:fill="F4F7FC"/>
          </w:tcPr>
          <w:p>
            <w:pPr>
              <w:spacing w:before="20" w:after="20"/>
            </w:pPr>
            <w:r>
              <w:rPr>
                <w:rFonts w:ascii="Calibri" w:hAnsi="Calibri"/>
                <w:sz w:val="18"/>
              </w:rPr>
              <w:t>Payment of Non-Refundable Deposit</w:t>
            </w:r>
          </w:p>
        </w:tc>
      </w:tr>
    </w:tbl>
    <w:p/>
    <w:p>
      <w:pPr>
        <w:pStyle w:val="Heading2"/>
      </w:pPr>
      <w:r>
        <w:rPr>
          <w:rFonts w:ascii="Calibri" w:hAnsi="Calibri"/>
          <w:b/>
          <w:color w:val="0D2B55"/>
          <w:sz w:val="24"/>
        </w:rPr>
        <w:t>5. EXCLUSIVITY, CONFIDENTIALITY, AND EXPIRY</w:t>
      </w:r>
    </w:p>
    <w:p>
      <w:pPr>
        <w:pBdr>
          <w:bottom w:val="single" w:sz="6" w:space="1" w:color="0D2B55"/>
        </w:pBdr>
        <w:spacing w:before="40" w:after="120"/>
      </w:pPr>
    </w:p>
    <w:p>
      <w:pPr>
        <w:spacing w:after="100"/>
      </w:pPr>
      <w:r>
        <w:rPr>
          <w:rFonts w:ascii="Calibri" w:hAnsi="Calibri"/>
          <w:i w:val="0"/>
          <w:sz w:val="20"/>
        </w:rPr>
        <w:t>5.1  Exclusivity. Upon execution and Deposit payment, Lessor commits to a 45-day exclusivity period during which it will not enter into any agreement with any third party regarding the Aircraft.</w:t>
      </w:r>
    </w:p>
    <w:p>
      <w:pPr>
        <w:spacing w:after="100"/>
      </w:pPr>
      <w:r>
        <w:rPr>
          <w:rFonts w:ascii="Calibri" w:hAnsi="Calibri"/>
          <w:i w:val="0"/>
          <w:sz w:val="20"/>
        </w:rPr>
        <w:t>5.2  Confidentiality. Both Parties keep terms confidential; disclosure only to advisors on a need-to-know basis.</w:t>
      </w:r>
    </w:p>
    <w:p>
      <w:pPr>
        <w:spacing w:after="100"/>
      </w:pPr>
      <w:r>
        <w:rPr>
          <w:rFonts w:ascii="Calibri" w:hAnsi="Calibri"/>
          <w:i w:val="0"/>
          <w:sz w:val="20"/>
        </w:rPr>
        <w:t>5.3  Non-Binding. Except for Deposit, exclusivity, and confidentiality provisions, this LOI is not legally binding until ALA execution.</w:t>
      </w:r>
    </w:p>
    <w:p>
      <w:pPr>
        <w:spacing w:after="100"/>
      </w:pPr>
      <w:r>
        <w:rPr>
          <w:rFonts w:ascii="Calibri" w:hAnsi="Calibri"/>
          <w:i w:val="0"/>
          <w:sz w:val="20"/>
        </w:rPr>
        <w:t>5.4  Expiry. This LOI expires automatically if the ALA is not executed within 45 days of execution of this LOI.</w:t>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PROSPECTIVE LESSOR</w:t>
            </w:r>
          </w:p>
        </w:tc>
        <w:tc>
          <w:tcPr>
            <w:tcW w:type="dxa" w:w="4320"/>
            <w:shd w:val="clear" w:color="auto" w:fill="E8EFF8"/>
          </w:tcPr>
          <w:p>
            <w:r>
              <w:rPr>
                <w:rFonts w:ascii="Calibri" w:hAnsi="Calibri"/>
                <w:b/>
                <w:color w:val="0D2B55"/>
                <w:sz w:val="20"/>
              </w:rPr>
              <w:t>PROSPECTIVE LESSEE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Niamh Gallagher</w:t>
            </w:r>
          </w:p>
        </w:tc>
        <w:tc>
          <w:tcPr>
            <w:tcW w:type="dxa" w:w="4320"/>
          </w:tcPr>
          <w:p>
            <w:r>
              <w:rPr>
                <w:rFonts w:ascii="Calibri" w:hAnsi="Calibri"/>
                <w:sz w:val="20"/>
              </w:rPr>
              <w:t>Name: Dr. Elena V. Kowalski</w:t>
            </w:r>
          </w:p>
        </w:tc>
      </w:tr>
      <w:tr>
        <w:tc>
          <w:tcPr>
            <w:tcW w:type="dxa" w:w="4320"/>
          </w:tcPr>
          <w:p>
            <w:r>
              <w:rPr>
                <w:rFonts w:ascii="Calibri" w:hAnsi="Calibri"/>
                <w:sz w:val="20"/>
              </w:rPr>
              <w:t>Title: VP Asset Sales &amp; Leasing</w:t>
            </w:r>
          </w:p>
        </w:tc>
        <w:tc>
          <w:tcPr>
            <w:tcW w:type="dxa" w:w="4320"/>
          </w:tcPr>
          <w:p>
            <w:r>
              <w:rPr>
                <w:rFonts w:ascii="Calibri" w:hAnsi="Calibri"/>
                <w:sz w:val="20"/>
              </w:rPr>
              <w:t>Title: CEO</w:t>
            </w:r>
          </w:p>
        </w:tc>
      </w:tr>
      <w:tr>
        <w:tc>
          <w:tcPr>
            <w:tcW w:type="dxa" w:w="4320"/>
          </w:tcPr>
          <w:p>
            <w:r>
              <w:rPr>
                <w:rFonts w:ascii="Calibri" w:hAnsi="Calibri"/>
                <w:sz w:val="20"/>
              </w:rPr>
              <w:t>Date: 2026-02-10</w:t>
            </w:r>
          </w:p>
        </w:tc>
        <w:tc>
          <w:tcPr>
            <w:tcW w:type="dxa" w:w="4320"/>
          </w:tcPr>
          <w:p>
            <w:r>
              <w:rPr>
                <w:rFonts w:ascii="Calibri" w:hAnsi="Calibri"/>
                <w:sz w:val="20"/>
              </w:rPr>
              <w:t>Date: 2026-02-10</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Aero Capital Finance Ltd.</w:t>
          </w:r>
        </w:p>
      </w:tc>
      <w:tc>
        <w:tcPr>
          <w:tcW w:type="dxa" w:w="3120"/>
        </w:tcPr>
        <w:p>
          <w:pPr>
            <w:jc w:val="center"/>
          </w:pPr>
          <w:r>
            <w:rPr>
              <w:rFonts w:ascii="Calibri" w:hAnsi="Calibri"/>
              <w:color w:val="666666"/>
              <w:sz w:val="16"/>
            </w:rPr>
            <w:t>LETTER OF INTENT</w:t>
          </w:r>
        </w:p>
      </w:tc>
      <w:tc>
        <w:tcPr>
          <w:tcW w:type="dxa" w:w="3120"/>
        </w:tcPr>
        <w:p>
          <w:pPr>
            <w:jc w:val="right"/>
          </w:pPr>
          <w:r>
            <w:rPr>
              <w:rFonts w:ascii="Calibri" w:hAnsi="Calibri"/>
              <w:color w:val="666666"/>
              <w:sz w:val="16"/>
            </w:rPr>
            <w:t>LOI-N302-2026</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