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AERO CAPITAL FINANCE LTD.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CERTIFICATE OF INSURANCE</w:t>
      </w:r>
    </w:p>
    <w:p>
      <w:pPr>
        <w:spacing w:after="120"/>
        <w:jc w:val="left"/>
      </w:pPr>
      <w:r>
        <w:rPr>
          <w:rFonts w:ascii="Calibri" w:hAnsi="Calibri"/>
          <w:b/>
          <w:color w:val="0D2B55"/>
          <w:sz w:val="44"/>
        </w:rPr>
        <w:t>Aviation Insurance — Certificate of Cover</w:t>
      </w:r>
    </w:p>
    <w:p>
      <w:pPr>
        <w:spacing w:after="400"/>
      </w:pPr>
      <w:r>
        <w:rPr>
          <w:rFonts w:ascii="Calibri" w:hAnsi="Calibri"/>
          <w:color w:val="666666"/>
          <w:sz w:val="20"/>
        </w:rPr>
        <w:t>Reference: IC-N34567-2025-01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Boeing 737-900ER</w:t>
            </w:r>
          </w:p>
        </w:tc>
        <w:tc>
          <w:tcPr>
            <w:tcW w:type="dxa" w:w="1728"/>
            <w:shd w:val="clear" w:color="auto" w:fill="E8EFF8"/>
          </w:tcPr>
          <w:p>
            <w:r>
              <w:rPr>
                <w:rFonts w:ascii="Calibri" w:hAnsi="Calibri"/>
                <w:b/>
                <w:color w:val="0D2B55"/>
                <w:sz w:val="18"/>
              </w:rPr>
              <w:t>44501</w:t>
            </w:r>
          </w:p>
        </w:tc>
        <w:tc>
          <w:tcPr>
            <w:tcW w:type="dxa" w:w="1728"/>
            <w:shd w:val="clear" w:color="auto" w:fill="E8EFF8"/>
          </w:tcPr>
          <w:p>
            <w:r>
              <w:rPr>
                <w:rFonts w:ascii="Calibri" w:hAnsi="Calibri"/>
                <w:b/>
                <w:color w:val="0D2B55"/>
                <w:sz w:val="18"/>
              </w:rPr>
              <w:t>N34567</w:t>
            </w:r>
          </w:p>
        </w:tc>
        <w:tc>
          <w:tcPr>
            <w:tcW w:type="dxa" w:w="1728"/>
            <w:shd w:val="clear" w:color="auto" w:fill="E8EFF8"/>
          </w:tcPr>
          <w:p>
            <w:r>
              <w:rPr>
                <w:rFonts w:ascii="Calibri" w:hAnsi="Calibri"/>
                <w:b/>
                <w:color w:val="0D2B55"/>
                <w:sz w:val="18"/>
              </w:rPr>
              <w:t>CFM56-7B27E</w:t>
            </w:r>
          </w:p>
        </w:tc>
        <w:tc>
          <w:tcPr>
            <w:tcW w:type="dxa" w:w="1728"/>
            <w:shd w:val="clear" w:color="auto" w:fill="E8EFF8"/>
          </w:tcPr>
          <w:p>
            <w:r>
              <w:rPr>
                <w:rFonts w:ascii="Calibri" w:hAnsi="Calibri"/>
                <w:b/>
                <w:color w:val="0D2B55"/>
                <w:sz w:val="18"/>
              </w:rPr>
              <w:t>2019</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Named Insured</w:t>
            </w:r>
          </w:p>
        </w:tc>
        <w:tc>
          <w:tcPr>
            <w:tcW w:type="dxa" w:w="4752"/>
            <w:shd w:val="clear" w:color="auto" w:fill="E8EFF8"/>
          </w:tcPr>
          <w:p>
            <w:r>
              <w:rPr>
                <w:rFonts w:ascii="Calibri" w:hAnsi="Calibri"/>
                <w:sz w:val="18"/>
              </w:rPr>
              <w:t>Apex Continental Airlines</w:t>
            </w:r>
          </w:p>
        </w:tc>
        <w:tc>
          <w:tcPr>
            <w:tcW w:type="dxa" w:w="2880"/>
            <w:shd w:val="clear" w:color="auto" w:fill="E8EFF8"/>
          </w:tcPr>
          <w:p>
            <w:r>
              <w:rPr>
                <w:rFonts w:ascii="Calibri" w:hAnsi="Calibri"/>
                <w:sz w:val="18"/>
              </w:rPr>
              <w:t>USA</w:t>
            </w:r>
          </w:p>
        </w:tc>
      </w:tr>
      <w:tr>
        <w:tc>
          <w:tcPr>
            <w:tcW w:type="dxa" w:w="1728"/>
            <w:shd w:val="clear" w:color="auto" w:fill="FFFFFF"/>
          </w:tcPr>
          <w:p>
            <w:r>
              <w:rPr>
                <w:rFonts w:ascii="Calibri" w:hAnsi="Calibri"/>
                <w:b/>
                <w:color w:val="0D2B55"/>
                <w:sz w:val="18"/>
              </w:rPr>
              <w:t>Additional Insured / Loss Payee</w:t>
            </w:r>
          </w:p>
        </w:tc>
        <w:tc>
          <w:tcPr>
            <w:tcW w:type="dxa" w:w="4752"/>
            <w:shd w:val="clear" w:color="auto" w:fill="FFFFFF"/>
          </w:tcPr>
          <w:p>
            <w:r>
              <w:rPr>
                <w:rFonts w:ascii="Calibri" w:hAnsi="Calibri"/>
                <w:sz w:val="18"/>
              </w:rPr>
              <w:t>Aero Capital Finance Ltd.</w:t>
            </w:r>
          </w:p>
        </w:tc>
        <w:tc>
          <w:tcPr>
            <w:tcW w:type="dxa" w:w="2880"/>
            <w:shd w:val="clear" w:color="auto" w:fill="FFFFFF"/>
          </w:tcPr>
          <w:p>
            <w:r>
              <w:rPr>
                <w:rFonts w:ascii="Calibri" w:hAnsi="Calibri"/>
                <w:sz w:val="18"/>
              </w:rPr>
              <w:t>Ireland</w:t>
            </w:r>
          </w:p>
        </w:tc>
      </w:tr>
      <w:tr>
        <w:tc>
          <w:tcPr>
            <w:tcW w:type="dxa" w:w="1728"/>
            <w:shd w:val="clear" w:color="auto" w:fill="E8EFF8"/>
          </w:tcPr>
          <w:p>
            <w:r>
              <w:rPr>
                <w:rFonts w:ascii="Calibri" w:hAnsi="Calibri"/>
                <w:b/>
                <w:color w:val="0D2B55"/>
                <w:sz w:val="18"/>
              </w:rPr>
              <w:t>Broker</w:t>
            </w:r>
          </w:p>
        </w:tc>
        <w:tc>
          <w:tcPr>
            <w:tcW w:type="dxa" w:w="4752"/>
            <w:shd w:val="clear" w:color="auto" w:fill="E8EFF8"/>
          </w:tcPr>
          <w:p>
            <w:r>
              <w:rPr>
                <w:rFonts w:ascii="Calibri" w:hAnsi="Calibri"/>
                <w:sz w:val="18"/>
              </w:rPr>
              <w:t>Gallagher Heath Aviation</w:t>
            </w:r>
          </w:p>
        </w:tc>
        <w:tc>
          <w:tcPr>
            <w:tcW w:type="dxa" w:w="2880"/>
            <w:shd w:val="clear" w:color="auto" w:fill="E8EFF8"/>
          </w:tcPr>
          <w:p>
            <w:r>
              <w:rPr>
                <w:rFonts w:ascii="Calibri" w:hAnsi="Calibri"/>
                <w:sz w:val="18"/>
              </w:rPr>
              <w:t>Lloyd's, London</w:t>
            </w:r>
          </w:p>
        </w:tc>
      </w:tr>
    </w:tbl>
    <w:p/>
    <w:p>
      <w:pPr>
        <w:spacing w:after="120"/>
        <w:jc w:val="left"/>
        <w:shd w:val="clear" w:color="auto" w:fill="1A569E"/>
      </w:pPr>
      <w:r>
        <w:rPr>
          <w:rFonts w:ascii="Calibri" w:hAnsi="Calibri"/>
          <w:b/>
          <w:color w:val="FFFFFF"/>
          <w:sz w:val="20"/>
        </w:rPr>
        <w:t xml:space="preserve">  VALID — NOT A POLICY DOCUMENT  </w:t>
      </w:r>
    </w:p>
    <w:p>
      <w:r>
        <w:rPr>
          <w:rFonts w:ascii="Calibri" w:hAnsi="Calibri"/>
          <w:color w:val="666666"/>
          <w:sz w:val="20"/>
        </w:rPr>
        <w:t>Dated: 2024-03-01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Aero Capital Finance Ltd. is strictly prohibited.</w:t>
      </w:r>
    </w:p>
    <w:p>
      <w:r>
        <w:br w:type="page"/>
      </w:r>
    </w:p>
    <w:p>
      <w:pPr>
        <w:pStyle w:val="Heading2"/>
      </w:pPr>
      <w:r>
        <w:rPr>
          <w:rFonts w:ascii="Calibri" w:hAnsi="Calibri"/>
          <w:b/>
          <w:color w:val="0D2B55"/>
          <w:sz w:val="24"/>
        </w:rPr>
        <w:t>1. POLICYHOLDER AND PERIOD</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168"/>
            <w:shd w:val="clear" w:color="auto" w:fill="0D2B55"/>
          </w:tcPr>
          <w:p>
            <w:pPr>
              <w:spacing w:before="40" w:after="40"/>
            </w:pPr>
            <w:r>
              <w:rPr>
                <w:rFonts w:ascii="Calibri" w:hAnsi="Calibri"/>
                <w:b/>
                <w:color w:val="FFFFFF"/>
                <w:sz w:val="18"/>
              </w:rPr>
              <w:t>Field</w:t>
            </w:r>
          </w:p>
        </w:tc>
        <w:tc>
          <w:tcPr>
            <w:tcW w:type="dxa" w:w="6192"/>
            <w:shd w:val="clear" w:color="auto" w:fill="0D2B55"/>
          </w:tcPr>
          <w:p>
            <w:pPr>
              <w:spacing w:before="40" w:after="40"/>
            </w:pPr>
            <w:r>
              <w:rPr>
                <w:rFonts w:ascii="Calibri" w:hAnsi="Calibri"/>
                <w:b/>
                <w:color w:val="FFFFFF"/>
                <w:sz w:val="18"/>
              </w:rPr>
              <w:t>Detail</w:t>
            </w:r>
          </w:p>
        </w:tc>
      </w:tr>
      <w:tr>
        <w:tc>
          <w:tcPr>
            <w:tcW w:type="dxa" w:w="3168"/>
            <w:shd w:val="clear" w:color="auto" w:fill="FFFFFF"/>
          </w:tcPr>
          <w:p>
            <w:pPr>
              <w:spacing w:before="20" w:after="20"/>
            </w:pPr>
            <w:r>
              <w:rPr>
                <w:rFonts w:ascii="Calibri" w:hAnsi="Calibri"/>
                <w:sz w:val="18"/>
              </w:rPr>
              <w:t>Policyholder</w:t>
            </w:r>
          </w:p>
        </w:tc>
        <w:tc>
          <w:tcPr>
            <w:tcW w:type="dxa" w:w="6192"/>
            <w:shd w:val="clear" w:color="auto" w:fill="FFFFFF"/>
          </w:tcPr>
          <w:p>
            <w:pPr>
              <w:spacing w:before="20" w:after="20"/>
            </w:pPr>
            <w:r>
              <w:rPr>
                <w:rFonts w:ascii="Calibri" w:hAnsi="Calibri"/>
                <w:sz w:val="18"/>
              </w:rPr>
              <w:t>Apex Continental Airlines</w:t>
            </w:r>
          </w:p>
        </w:tc>
      </w:tr>
      <w:tr>
        <w:tc>
          <w:tcPr>
            <w:tcW w:type="dxa" w:w="3168"/>
            <w:shd w:val="clear" w:color="auto" w:fill="F4F7FC"/>
          </w:tcPr>
          <w:p>
            <w:pPr>
              <w:spacing w:before="20" w:after="20"/>
            </w:pPr>
            <w:r>
              <w:rPr>
                <w:rFonts w:ascii="Calibri" w:hAnsi="Calibri"/>
                <w:sz w:val="18"/>
              </w:rPr>
              <w:t>Additional Insured / Loss Payee</w:t>
            </w:r>
          </w:p>
        </w:tc>
        <w:tc>
          <w:tcPr>
            <w:tcW w:type="dxa" w:w="6192"/>
            <w:shd w:val="clear" w:color="auto" w:fill="F4F7FC"/>
          </w:tcPr>
          <w:p>
            <w:pPr>
              <w:spacing w:before="20" w:after="20"/>
            </w:pPr>
            <w:r>
              <w:rPr>
                <w:rFonts w:ascii="Calibri" w:hAnsi="Calibri"/>
                <w:sz w:val="18"/>
              </w:rPr>
              <w:t>Aero Capital Finance Ltd. and affiliates, successors, assigns</w:t>
            </w:r>
          </w:p>
        </w:tc>
      </w:tr>
      <w:tr>
        <w:tc>
          <w:tcPr>
            <w:tcW w:type="dxa" w:w="3168"/>
            <w:shd w:val="clear" w:color="auto" w:fill="FFFFFF"/>
          </w:tcPr>
          <w:p>
            <w:pPr>
              <w:spacing w:before="20" w:after="20"/>
            </w:pPr>
            <w:r>
              <w:rPr>
                <w:rFonts w:ascii="Calibri" w:hAnsi="Calibri"/>
                <w:sz w:val="18"/>
              </w:rPr>
              <w:t>Broker</w:t>
            </w:r>
          </w:p>
        </w:tc>
        <w:tc>
          <w:tcPr>
            <w:tcW w:type="dxa" w:w="6192"/>
            <w:shd w:val="clear" w:color="auto" w:fill="FFFFFF"/>
          </w:tcPr>
          <w:p>
            <w:pPr>
              <w:spacing w:before="20" w:after="20"/>
            </w:pPr>
            <w:r>
              <w:rPr>
                <w:rFonts w:ascii="Calibri" w:hAnsi="Calibri"/>
                <w:sz w:val="18"/>
              </w:rPr>
              <w:t>Gallagher Heath Aviation, 1 Lime Street, London EC3M 7HA</w:t>
            </w:r>
          </w:p>
        </w:tc>
      </w:tr>
      <w:tr>
        <w:tc>
          <w:tcPr>
            <w:tcW w:type="dxa" w:w="3168"/>
            <w:shd w:val="clear" w:color="auto" w:fill="F4F7FC"/>
          </w:tcPr>
          <w:p>
            <w:pPr>
              <w:spacing w:before="20" w:after="20"/>
            </w:pPr>
            <w:r>
              <w:rPr>
                <w:rFonts w:ascii="Calibri" w:hAnsi="Calibri"/>
                <w:sz w:val="18"/>
              </w:rPr>
              <w:t>Policy No.</w:t>
            </w:r>
          </w:p>
        </w:tc>
        <w:tc>
          <w:tcPr>
            <w:tcW w:type="dxa" w:w="6192"/>
            <w:shd w:val="clear" w:color="auto" w:fill="F4F7FC"/>
          </w:tcPr>
          <w:p>
            <w:pPr>
              <w:spacing w:before="20" w:after="20"/>
            </w:pPr>
            <w:r>
              <w:rPr>
                <w:rFonts w:ascii="Calibri" w:hAnsi="Calibri"/>
                <w:sz w:val="18"/>
              </w:rPr>
              <w:t>AV-2025-4501-BDX</w:t>
            </w:r>
          </w:p>
        </w:tc>
      </w:tr>
      <w:tr>
        <w:tc>
          <w:tcPr>
            <w:tcW w:type="dxa" w:w="3168"/>
            <w:shd w:val="clear" w:color="auto" w:fill="FFFFFF"/>
          </w:tcPr>
          <w:p>
            <w:pPr>
              <w:spacing w:before="20" w:after="20"/>
            </w:pPr>
            <w:r>
              <w:rPr>
                <w:rFonts w:ascii="Calibri" w:hAnsi="Calibri"/>
                <w:sz w:val="18"/>
              </w:rPr>
              <w:t>Lloyd's Policy Ref.</w:t>
            </w:r>
          </w:p>
        </w:tc>
        <w:tc>
          <w:tcPr>
            <w:tcW w:type="dxa" w:w="6192"/>
            <w:shd w:val="clear" w:color="auto" w:fill="FFFFFF"/>
          </w:tcPr>
          <w:p>
            <w:pPr>
              <w:spacing w:before="20" w:after="20"/>
            </w:pPr>
            <w:r>
              <w:rPr>
                <w:rFonts w:ascii="Calibri" w:hAnsi="Calibri"/>
                <w:sz w:val="18"/>
              </w:rPr>
              <w:t>B0711/AV/2025/001234</w:t>
            </w:r>
          </w:p>
        </w:tc>
      </w:tr>
      <w:tr>
        <w:tc>
          <w:tcPr>
            <w:tcW w:type="dxa" w:w="3168"/>
            <w:shd w:val="clear" w:color="auto" w:fill="F4F7FC"/>
          </w:tcPr>
          <w:p>
            <w:pPr>
              <w:spacing w:before="20" w:after="20"/>
            </w:pPr>
            <w:r>
              <w:rPr>
                <w:rFonts w:ascii="Calibri" w:hAnsi="Calibri"/>
                <w:sz w:val="18"/>
              </w:rPr>
              <w:t>Policy Period</w:t>
            </w:r>
          </w:p>
        </w:tc>
        <w:tc>
          <w:tcPr>
            <w:tcW w:type="dxa" w:w="6192"/>
            <w:shd w:val="clear" w:color="auto" w:fill="F4F7FC"/>
          </w:tcPr>
          <w:p>
            <w:pPr>
              <w:spacing w:before="20" w:after="20"/>
            </w:pPr>
            <w:r>
              <w:rPr>
                <w:rFonts w:ascii="Calibri" w:hAnsi="Calibri"/>
                <w:sz w:val="18"/>
              </w:rPr>
              <w:t>01 Jan 2025 — 31 Dec 2025 (12:01 AM local time each date)</w:t>
            </w:r>
          </w:p>
        </w:tc>
      </w:tr>
      <w:tr>
        <w:tc>
          <w:tcPr>
            <w:tcW w:type="dxa" w:w="3168"/>
            <w:shd w:val="clear" w:color="auto" w:fill="FFFFFF"/>
          </w:tcPr>
          <w:p>
            <w:pPr>
              <w:spacing w:before="20" w:after="20"/>
            </w:pPr>
            <w:r>
              <w:rPr>
                <w:rFonts w:ascii="Calibri" w:hAnsi="Calibri"/>
                <w:sz w:val="18"/>
              </w:rPr>
              <w:t>Aircraft on Cover</w:t>
            </w:r>
          </w:p>
        </w:tc>
        <w:tc>
          <w:tcPr>
            <w:tcW w:type="dxa" w:w="6192"/>
            <w:shd w:val="clear" w:color="auto" w:fill="FFFFFF"/>
          </w:tcPr>
          <w:p>
            <w:pPr>
              <w:spacing w:before="20" w:after="20"/>
            </w:pPr>
            <w:r>
              <w:rPr>
                <w:rFonts w:ascii="Calibri" w:hAnsi="Calibri"/>
                <w:sz w:val="18"/>
              </w:rPr>
              <w:t>Boeing 737-900ER / MSN 44501 / Reg N34567</w:t>
            </w:r>
          </w:p>
        </w:tc>
      </w:tr>
      <w:tr>
        <w:tc>
          <w:tcPr>
            <w:tcW w:type="dxa" w:w="3168"/>
            <w:shd w:val="clear" w:color="auto" w:fill="F4F7FC"/>
          </w:tcPr>
          <w:p>
            <w:pPr>
              <w:spacing w:before="20" w:after="20"/>
            </w:pPr>
            <w:r>
              <w:rPr>
                <w:rFonts w:ascii="Calibri" w:hAnsi="Calibri"/>
                <w:sz w:val="18"/>
              </w:rPr>
              <w:t>Agreed Hull Value</w:t>
            </w:r>
          </w:p>
        </w:tc>
        <w:tc>
          <w:tcPr>
            <w:tcW w:type="dxa" w:w="6192"/>
            <w:shd w:val="clear" w:color="auto" w:fill="F4F7FC"/>
          </w:tcPr>
          <w:p>
            <w:pPr>
              <w:spacing w:before="20" w:after="20"/>
            </w:pPr>
            <w:r>
              <w:rPr>
                <w:rFonts w:ascii="Calibri" w:hAnsi="Calibri"/>
                <w:sz w:val="18"/>
              </w:rPr>
              <w:t>USD 52,000,000</w:t>
            </w:r>
          </w:p>
        </w:tc>
      </w:tr>
    </w:tbl>
    <w:p/>
    <w:p>
      <w:pPr>
        <w:pStyle w:val="Heading2"/>
      </w:pPr>
      <w:r>
        <w:rPr>
          <w:rFonts w:ascii="Calibri" w:hAnsi="Calibri"/>
          <w:b/>
          <w:color w:val="0D2B55"/>
          <w:sz w:val="24"/>
        </w:rPr>
        <w:t>2. COVERAGES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160"/>
            <w:shd w:val="clear" w:color="auto" w:fill="0D2B55"/>
          </w:tcPr>
          <w:p>
            <w:pPr>
              <w:spacing w:before="40" w:after="40"/>
            </w:pPr>
            <w:r>
              <w:rPr>
                <w:rFonts w:ascii="Calibri" w:hAnsi="Calibri"/>
                <w:b/>
                <w:color w:val="FFFFFF"/>
                <w:sz w:val="18"/>
              </w:rPr>
              <w:t>Coverage</w:t>
            </w:r>
          </w:p>
        </w:tc>
        <w:tc>
          <w:tcPr>
            <w:tcW w:type="dxa" w:w="1728"/>
            <w:shd w:val="clear" w:color="auto" w:fill="0D2B55"/>
          </w:tcPr>
          <w:p>
            <w:pPr>
              <w:spacing w:before="40" w:after="40"/>
            </w:pPr>
            <w:r>
              <w:rPr>
                <w:rFonts w:ascii="Calibri" w:hAnsi="Calibri"/>
                <w:b/>
                <w:color w:val="FFFFFF"/>
                <w:sz w:val="18"/>
              </w:rPr>
              <w:t>Limit</w:t>
            </w:r>
          </w:p>
        </w:tc>
        <w:tc>
          <w:tcPr>
            <w:tcW w:type="dxa" w:w="1296"/>
            <w:shd w:val="clear" w:color="auto" w:fill="0D2B55"/>
          </w:tcPr>
          <w:p>
            <w:pPr>
              <w:spacing w:before="40" w:after="40"/>
            </w:pPr>
            <w:r>
              <w:rPr>
                <w:rFonts w:ascii="Calibri" w:hAnsi="Calibri"/>
                <w:b/>
                <w:color w:val="FFFFFF"/>
                <w:sz w:val="18"/>
              </w:rPr>
              <w:t>Form</w:t>
            </w:r>
          </w:p>
        </w:tc>
        <w:tc>
          <w:tcPr>
            <w:tcW w:type="dxa" w:w="1296"/>
            <w:shd w:val="clear" w:color="auto" w:fill="0D2B55"/>
          </w:tcPr>
          <w:p>
            <w:pPr>
              <w:spacing w:before="40" w:after="40"/>
            </w:pPr>
            <w:r>
              <w:rPr>
                <w:rFonts w:ascii="Calibri" w:hAnsi="Calibri"/>
                <w:b/>
                <w:color w:val="FFFFFF"/>
                <w:sz w:val="18"/>
              </w:rPr>
              <w:t>Deductible</w:t>
            </w:r>
          </w:p>
        </w:tc>
        <w:tc>
          <w:tcPr>
            <w:tcW w:type="dxa" w:w="2880"/>
            <w:shd w:val="clear" w:color="auto" w:fill="0D2B55"/>
          </w:tcPr>
          <w:p>
            <w:pPr>
              <w:spacing w:before="40" w:after="40"/>
            </w:pPr>
            <w:r>
              <w:rPr>
                <w:rFonts w:ascii="Calibri" w:hAnsi="Calibri"/>
                <w:b/>
                <w:color w:val="FFFFFF"/>
                <w:sz w:val="18"/>
              </w:rPr>
              <w:t>Key Terms</w:t>
            </w:r>
          </w:p>
        </w:tc>
      </w:tr>
      <w:tr>
        <w:tc>
          <w:tcPr>
            <w:tcW w:type="dxa" w:w="2160"/>
            <w:shd w:val="clear" w:color="auto" w:fill="FFFFFF"/>
          </w:tcPr>
          <w:p>
            <w:pPr>
              <w:spacing w:before="20" w:after="20"/>
            </w:pPr>
            <w:r>
              <w:rPr>
                <w:rFonts w:ascii="Calibri" w:hAnsi="Calibri"/>
                <w:sz w:val="18"/>
              </w:rPr>
              <w:t>Hull All Risks (Ground &amp; Flight)</w:t>
            </w:r>
          </w:p>
        </w:tc>
        <w:tc>
          <w:tcPr>
            <w:tcW w:type="dxa" w:w="1728"/>
            <w:shd w:val="clear" w:color="auto" w:fill="FFFFFF"/>
          </w:tcPr>
          <w:p>
            <w:pPr>
              <w:spacing w:before="20" w:after="20"/>
            </w:pPr>
            <w:r>
              <w:rPr>
                <w:rFonts w:ascii="Calibri" w:hAnsi="Calibri"/>
                <w:sz w:val="18"/>
              </w:rPr>
              <w:t>USD 52,000,000 AV</w:t>
            </w:r>
          </w:p>
        </w:tc>
        <w:tc>
          <w:tcPr>
            <w:tcW w:type="dxa" w:w="1296"/>
            <w:shd w:val="clear" w:color="auto" w:fill="FFFFFF"/>
          </w:tcPr>
          <w:p>
            <w:pPr>
              <w:spacing w:before="20" w:after="20"/>
            </w:pPr>
            <w:r>
              <w:rPr>
                <w:rFonts w:ascii="Calibri" w:hAnsi="Calibri"/>
                <w:sz w:val="18"/>
              </w:rPr>
              <w:t>AV1A + AVN52H</w:t>
            </w:r>
          </w:p>
        </w:tc>
        <w:tc>
          <w:tcPr>
            <w:tcW w:type="dxa" w:w="1296"/>
            <w:shd w:val="clear" w:color="auto" w:fill="FFFFFF"/>
          </w:tcPr>
          <w:p>
            <w:pPr>
              <w:spacing w:before="20" w:after="20"/>
            </w:pPr>
            <w:r>
              <w:rPr>
                <w:rFonts w:ascii="Calibri" w:hAnsi="Calibri"/>
                <w:sz w:val="18"/>
              </w:rPr>
              <w:t>USD 250,000</w:t>
            </w:r>
          </w:p>
        </w:tc>
        <w:tc>
          <w:tcPr>
            <w:tcW w:type="dxa" w:w="2880"/>
            <w:shd w:val="clear" w:color="auto" w:fill="FFFFFF"/>
          </w:tcPr>
          <w:p>
            <w:pPr>
              <w:spacing w:before="20" w:after="20"/>
            </w:pPr>
            <w:r>
              <w:rPr>
                <w:rFonts w:ascii="Calibri" w:hAnsi="Calibri"/>
                <w:sz w:val="18"/>
              </w:rPr>
              <w:t>Lessor loss payee; no co-insurance; subrogation waiver</w:t>
            </w:r>
          </w:p>
        </w:tc>
      </w:tr>
      <w:tr>
        <w:tc>
          <w:tcPr>
            <w:tcW w:type="dxa" w:w="2160"/>
            <w:shd w:val="clear" w:color="auto" w:fill="F4F7FC"/>
          </w:tcPr>
          <w:p>
            <w:pPr>
              <w:spacing w:before="20" w:after="20"/>
            </w:pPr>
            <w:r>
              <w:rPr>
                <w:rFonts w:ascii="Calibri" w:hAnsi="Calibri"/>
                <w:sz w:val="18"/>
              </w:rPr>
              <w:t>Hull War &amp; Allied Perils</w:t>
            </w:r>
          </w:p>
        </w:tc>
        <w:tc>
          <w:tcPr>
            <w:tcW w:type="dxa" w:w="1728"/>
            <w:shd w:val="clear" w:color="auto" w:fill="F4F7FC"/>
          </w:tcPr>
          <w:p>
            <w:pPr>
              <w:spacing w:before="20" w:after="20"/>
            </w:pPr>
            <w:r>
              <w:rPr>
                <w:rFonts w:ascii="Calibri" w:hAnsi="Calibri"/>
                <w:sz w:val="18"/>
              </w:rPr>
              <w:t>USD 52,000,000 AV</w:t>
            </w:r>
          </w:p>
        </w:tc>
        <w:tc>
          <w:tcPr>
            <w:tcW w:type="dxa" w:w="1296"/>
            <w:shd w:val="clear" w:color="auto" w:fill="F4F7FC"/>
          </w:tcPr>
          <w:p>
            <w:pPr>
              <w:spacing w:before="20" w:after="20"/>
            </w:pPr>
            <w:r>
              <w:rPr>
                <w:rFonts w:ascii="Calibri" w:hAnsi="Calibri"/>
                <w:sz w:val="18"/>
              </w:rPr>
              <w:t>AVN52H</w:t>
            </w:r>
          </w:p>
        </w:tc>
        <w:tc>
          <w:tcPr>
            <w:tcW w:type="dxa" w:w="1296"/>
            <w:shd w:val="clear" w:color="auto" w:fill="F4F7FC"/>
          </w:tcPr>
          <w:p>
            <w:pPr>
              <w:spacing w:before="20" w:after="20"/>
            </w:pPr>
            <w:r>
              <w:rPr>
                <w:rFonts w:ascii="Calibri" w:hAnsi="Calibri"/>
                <w:sz w:val="18"/>
              </w:rPr>
              <w:t>USD 500,000</w:t>
            </w:r>
          </w:p>
        </w:tc>
        <w:tc>
          <w:tcPr>
            <w:tcW w:type="dxa" w:w="2880"/>
            <w:shd w:val="clear" w:color="auto" w:fill="F4F7FC"/>
          </w:tcPr>
          <w:p>
            <w:pPr>
              <w:spacing w:before="20" w:after="20"/>
            </w:pPr>
            <w:r>
              <w:rPr>
                <w:rFonts w:ascii="Calibri" w:hAnsi="Calibri"/>
                <w:sz w:val="18"/>
              </w:rPr>
              <w:t>Confiscation/requisition; 7 days' notice</w:t>
            </w:r>
          </w:p>
        </w:tc>
      </w:tr>
      <w:tr>
        <w:tc>
          <w:tcPr>
            <w:tcW w:type="dxa" w:w="2160"/>
            <w:shd w:val="clear" w:color="auto" w:fill="FFFFFF"/>
          </w:tcPr>
          <w:p>
            <w:pPr>
              <w:spacing w:before="20" w:after="20"/>
            </w:pPr>
            <w:r>
              <w:rPr>
                <w:rFonts w:ascii="Calibri" w:hAnsi="Calibri"/>
                <w:sz w:val="18"/>
              </w:rPr>
              <w:t>Third-Party Liability</w:t>
            </w:r>
          </w:p>
        </w:tc>
        <w:tc>
          <w:tcPr>
            <w:tcW w:type="dxa" w:w="1728"/>
            <w:shd w:val="clear" w:color="auto" w:fill="FFFFFF"/>
          </w:tcPr>
          <w:p>
            <w:pPr>
              <w:spacing w:before="20" w:after="20"/>
            </w:pPr>
            <w:r>
              <w:rPr>
                <w:rFonts w:ascii="Calibri" w:hAnsi="Calibri"/>
                <w:sz w:val="18"/>
              </w:rPr>
              <w:t>USD 750M per occurrence</w:t>
            </w:r>
          </w:p>
        </w:tc>
        <w:tc>
          <w:tcPr>
            <w:tcW w:type="dxa" w:w="1296"/>
            <w:shd w:val="clear" w:color="auto" w:fill="FFFFFF"/>
          </w:tcPr>
          <w:p>
            <w:pPr>
              <w:spacing w:before="20" w:after="20"/>
            </w:pPr>
            <w:r>
              <w:rPr>
                <w:rFonts w:ascii="Calibri" w:hAnsi="Calibri"/>
                <w:sz w:val="18"/>
              </w:rPr>
              <w:t>AVN1C</w:t>
            </w:r>
          </w:p>
        </w:tc>
        <w:tc>
          <w:tcPr>
            <w:tcW w:type="dxa" w:w="1296"/>
            <w:shd w:val="clear" w:color="auto" w:fill="FFFFFF"/>
          </w:tcPr>
          <w:p>
            <w:pPr>
              <w:spacing w:before="20" w:after="20"/>
            </w:pPr>
            <w:r>
              <w:rPr>
                <w:rFonts w:ascii="Calibri" w:hAnsi="Calibri"/>
                <w:sz w:val="18"/>
              </w:rPr>
              <w:t>Nil</w:t>
            </w:r>
          </w:p>
        </w:tc>
        <w:tc>
          <w:tcPr>
            <w:tcW w:type="dxa" w:w="2880"/>
            <w:shd w:val="clear" w:color="auto" w:fill="FFFFFF"/>
          </w:tcPr>
          <w:p>
            <w:pPr>
              <w:spacing w:before="20" w:after="20"/>
            </w:pPr>
            <w:r>
              <w:rPr>
                <w:rFonts w:ascii="Calibri" w:hAnsi="Calibri"/>
                <w:sz w:val="18"/>
              </w:rPr>
              <w:t>Lessor additional insured; cross-liability; severability</w:t>
            </w:r>
          </w:p>
        </w:tc>
      </w:tr>
      <w:tr>
        <w:tc>
          <w:tcPr>
            <w:tcW w:type="dxa" w:w="2160"/>
            <w:shd w:val="clear" w:color="auto" w:fill="F4F7FC"/>
          </w:tcPr>
          <w:p>
            <w:pPr>
              <w:spacing w:before="20" w:after="20"/>
            </w:pPr>
            <w:r>
              <w:rPr>
                <w:rFonts w:ascii="Calibri" w:hAnsi="Calibri"/>
                <w:sz w:val="18"/>
              </w:rPr>
              <w:t>Passenger Liability</w:t>
            </w:r>
          </w:p>
        </w:tc>
        <w:tc>
          <w:tcPr>
            <w:tcW w:type="dxa" w:w="1728"/>
            <w:shd w:val="clear" w:color="auto" w:fill="F4F7FC"/>
          </w:tcPr>
          <w:p>
            <w:pPr>
              <w:spacing w:before="20" w:after="20"/>
            </w:pPr>
            <w:r>
              <w:rPr>
                <w:rFonts w:ascii="Calibri" w:hAnsi="Calibri"/>
                <w:sz w:val="18"/>
              </w:rPr>
              <w:t>USD 300K × 168 seats = USD 50.4M</w:t>
            </w:r>
          </w:p>
        </w:tc>
        <w:tc>
          <w:tcPr>
            <w:tcW w:type="dxa" w:w="1296"/>
            <w:shd w:val="clear" w:color="auto" w:fill="F4F7FC"/>
          </w:tcPr>
          <w:p>
            <w:pPr>
              <w:spacing w:before="20" w:after="20"/>
            </w:pPr>
            <w:r>
              <w:rPr>
                <w:rFonts w:ascii="Calibri" w:hAnsi="Calibri"/>
                <w:sz w:val="18"/>
              </w:rPr>
              <w:t>Montreal Convention</w:t>
            </w:r>
          </w:p>
        </w:tc>
        <w:tc>
          <w:tcPr>
            <w:tcW w:type="dxa" w:w="1296"/>
            <w:shd w:val="clear" w:color="auto" w:fill="F4F7FC"/>
          </w:tcPr>
          <w:p>
            <w:pPr>
              <w:spacing w:before="20" w:after="20"/>
            </w:pPr>
            <w:r>
              <w:rPr>
                <w:rFonts w:ascii="Calibri" w:hAnsi="Calibri"/>
                <w:sz w:val="18"/>
              </w:rPr>
              <w:t>Nil</w:t>
            </w:r>
          </w:p>
        </w:tc>
        <w:tc>
          <w:tcPr>
            <w:tcW w:type="dxa" w:w="2880"/>
            <w:shd w:val="clear" w:color="auto" w:fill="F4F7FC"/>
          </w:tcPr>
          <w:p>
            <w:pPr>
              <w:spacing w:before="20" w:after="20"/>
            </w:pPr>
            <w:r>
              <w:rPr>
                <w:rFonts w:ascii="Calibri" w:hAnsi="Calibri"/>
                <w:sz w:val="18"/>
              </w:rPr>
              <w:t>Per ICAO Annex 9</w:t>
            </w:r>
          </w:p>
        </w:tc>
      </w:tr>
      <w:tr>
        <w:tc>
          <w:tcPr>
            <w:tcW w:type="dxa" w:w="2160"/>
            <w:shd w:val="clear" w:color="auto" w:fill="FFFFFF"/>
          </w:tcPr>
          <w:p>
            <w:pPr>
              <w:spacing w:before="20" w:after="20"/>
            </w:pPr>
            <w:r>
              <w:rPr>
                <w:rFonts w:ascii="Calibri" w:hAnsi="Calibri"/>
                <w:sz w:val="18"/>
              </w:rPr>
              <w:t>Baggage &amp; Cargo</w:t>
            </w:r>
          </w:p>
        </w:tc>
        <w:tc>
          <w:tcPr>
            <w:tcW w:type="dxa" w:w="1728"/>
            <w:shd w:val="clear" w:color="auto" w:fill="FFFFFF"/>
          </w:tcPr>
          <w:p>
            <w:pPr>
              <w:spacing w:before="20" w:after="20"/>
            </w:pPr>
            <w:r>
              <w:rPr>
                <w:rFonts w:ascii="Calibri" w:hAnsi="Calibri"/>
                <w:sz w:val="18"/>
              </w:rPr>
              <w:t>USD 15M per occurrence</w:t>
            </w:r>
          </w:p>
        </w:tc>
        <w:tc>
          <w:tcPr>
            <w:tcW w:type="dxa" w:w="1296"/>
            <w:shd w:val="clear" w:color="auto" w:fill="FFFFFF"/>
          </w:tcPr>
          <w:p>
            <w:pPr>
              <w:spacing w:before="20" w:after="20"/>
            </w:pPr>
            <w:r>
              <w:rPr>
                <w:rFonts w:ascii="Calibri" w:hAnsi="Calibri"/>
                <w:sz w:val="18"/>
              </w:rPr>
              <w:t>Montreal Convention</w:t>
            </w:r>
          </w:p>
        </w:tc>
        <w:tc>
          <w:tcPr>
            <w:tcW w:type="dxa" w:w="1296"/>
            <w:shd w:val="clear" w:color="auto" w:fill="FFFFFF"/>
          </w:tcPr>
          <w:p>
            <w:pPr>
              <w:spacing w:before="20" w:after="20"/>
            </w:pPr>
            <w:r>
              <w:rPr>
                <w:rFonts w:ascii="Calibri" w:hAnsi="Calibri"/>
                <w:sz w:val="18"/>
              </w:rPr>
              <w:t>Nil</w:t>
            </w:r>
          </w:p>
        </w:tc>
        <w:tc>
          <w:tcPr>
            <w:tcW w:type="dxa" w:w="2880"/>
            <w:shd w:val="clear" w:color="auto" w:fill="FFFFFF"/>
          </w:tcPr>
          <w:p>
            <w:pPr>
              <w:spacing w:before="20" w:after="20"/>
            </w:pPr>
            <w:r>
              <w:rPr>
                <w:rFonts w:ascii="Calibri" w:hAnsi="Calibri"/>
                <w:sz w:val="18"/>
              </w:rPr>
              <w:t>—</w:t>
            </w:r>
          </w:p>
        </w:tc>
      </w:tr>
      <w:tr>
        <w:tc>
          <w:tcPr>
            <w:tcW w:type="dxa" w:w="2160"/>
            <w:shd w:val="clear" w:color="auto" w:fill="F4F7FC"/>
          </w:tcPr>
          <w:p>
            <w:pPr>
              <w:spacing w:before="20" w:after="20"/>
            </w:pPr>
            <w:r>
              <w:rPr>
                <w:rFonts w:ascii="Calibri" w:hAnsi="Calibri"/>
                <w:sz w:val="18"/>
              </w:rPr>
              <w:t>Workers' Comp / EL</w:t>
            </w:r>
          </w:p>
        </w:tc>
        <w:tc>
          <w:tcPr>
            <w:tcW w:type="dxa" w:w="1728"/>
            <w:shd w:val="clear" w:color="auto" w:fill="F4F7FC"/>
          </w:tcPr>
          <w:p>
            <w:pPr>
              <w:spacing w:before="20" w:after="20"/>
            </w:pPr>
            <w:r>
              <w:rPr>
                <w:rFonts w:ascii="Calibri" w:hAnsi="Calibri"/>
                <w:sz w:val="18"/>
              </w:rPr>
              <w:t>Statutory + USD 10M EL</w:t>
            </w:r>
          </w:p>
        </w:tc>
        <w:tc>
          <w:tcPr>
            <w:tcW w:type="dxa" w:w="1296"/>
            <w:shd w:val="clear" w:color="auto" w:fill="F4F7FC"/>
          </w:tcPr>
          <w:p>
            <w:pPr>
              <w:spacing w:before="20" w:after="20"/>
            </w:pPr>
            <w:r>
              <w:rPr>
                <w:rFonts w:ascii="Calibri" w:hAnsi="Calibri"/>
                <w:sz w:val="18"/>
              </w:rPr>
              <w:t>Standard endorsement</w:t>
            </w:r>
          </w:p>
        </w:tc>
        <w:tc>
          <w:tcPr>
            <w:tcW w:type="dxa" w:w="1296"/>
            <w:shd w:val="clear" w:color="auto" w:fill="F4F7FC"/>
          </w:tcPr>
          <w:p>
            <w:pPr>
              <w:spacing w:before="20" w:after="20"/>
            </w:pPr>
            <w:r>
              <w:rPr>
                <w:rFonts w:ascii="Calibri" w:hAnsi="Calibri"/>
                <w:sz w:val="18"/>
              </w:rPr>
              <w:t>Nil</w:t>
            </w:r>
          </w:p>
        </w:tc>
        <w:tc>
          <w:tcPr>
            <w:tcW w:type="dxa" w:w="2880"/>
            <w:shd w:val="clear" w:color="auto" w:fill="F4F7FC"/>
          </w:tcPr>
          <w:p>
            <w:pPr>
              <w:spacing w:before="20" w:after="20"/>
            </w:pPr>
            <w:r>
              <w:rPr>
                <w:rFonts w:ascii="Calibri" w:hAnsi="Calibri"/>
                <w:sz w:val="18"/>
              </w:rPr>
              <w:t>Subrogation waiver for Lessor</w:t>
            </w:r>
          </w:p>
        </w:tc>
      </w:tr>
      <w:tr>
        <w:tc>
          <w:tcPr>
            <w:tcW w:type="dxa" w:w="2160"/>
            <w:shd w:val="clear" w:color="auto" w:fill="FFFFFF"/>
          </w:tcPr>
          <w:p>
            <w:pPr>
              <w:spacing w:before="20" w:after="20"/>
            </w:pPr>
            <w:r>
              <w:rPr>
                <w:rFonts w:ascii="Calibri" w:hAnsi="Calibri"/>
                <w:sz w:val="18"/>
              </w:rPr>
              <w:t>Terrorism Insurance</w:t>
            </w:r>
          </w:p>
        </w:tc>
        <w:tc>
          <w:tcPr>
            <w:tcW w:type="dxa" w:w="1728"/>
            <w:shd w:val="clear" w:color="auto" w:fill="FFFFFF"/>
          </w:tcPr>
          <w:p>
            <w:pPr>
              <w:spacing w:before="20" w:after="20"/>
            </w:pPr>
            <w:r>
              <w:rPr>
                <w:rFonts w:ascii="Calibri" w:hAnsi="Calibri"/>
                <w:sz w:val="18"/>
              </w:rPr>
              <w:t>USD 52M AV</w:t>
            </w:r>
          </w:p>
        </w:tc>
        <w:tc>
          <w:tcPr>
            <w:tcW w:type="dxa" w:w="1296"/>
            <w:shd w:val="clear" w:color="auto" w:fill="FFFFFF"/>
          </w:tcPr>
          <w:p>
            <w:pPr>
              <w:spacing w:before="20" w:after="20"/>
            </w:pPr>
            <w:r>
              <w:rPr>
                <w:rFonts w:ascii="Calibri" w:hAnsi="Calibri"/>
                <w:sz w:val="18"/>
              </w:rPr>
              <w:t>AVN52H</w:t>
            </w:r>
          </w:p>
        </w:tc>
        <w:tc>
          <w:tcPr>
            <w:tcW w:type="dxa" w:w="1296"/>
            <w:shd w:val="clear" w:color="auto" w:fill="FFFFFF"/>
          </w:tcPr>
          <w:p>
            <w:pPr>
              <w:spacing w:before="20" w:after="20"/>
            </w:pPr>
            <w:r>
              <w:rPr>
                <w:rFonts w:ascii="Calibri" w:hAnsi="Calibri"/>
                <w:sz w:val="18"/>
              </w:rPr>
              <w:t>USD 250,000</w:t>
            </w:r>
          </w:p>
        </w:tc>
        <w:tc>
          <w:tcPr>
            <w:tcW w:type="dxa" w:w="2880"/>
            <w:shd w:val="clear" w:color="auto" w:fill="FFFFFF"/>
          </w:tcPr>
          <w:p>
            <w:pPr>
              <w:spacing w:before="20" w:after="20"/>
            </w:pPr>
            <w:r>
              <w:rPr>
                <w:rFonts w:ascii="Calibri" w:hAnsi="Calibri"/>
                <w:sz w:val="18"/>
              </w:rPr>
              <w:t>7 days' cancellation notice</w:t>
            </w:r>
          </w:p>
        </w:tc>
      </w:tr>
    </w:tbl>
    <w:p/>
    <w:p>
      <w:r>
        <w:br w:type="page"/>
      </w:r>
    </w:p>
    <w:p>
      <w:pPr>
        <w:pStyle w:val="Heading2"/>
      </w:pPr>
      <w:r>
        <w:rPr>
          <w:rFonts w:ascii="Calibri" w:hAnsi="Calibri"/>
          <w:b/>
          <w:color w:val="0D2B55"/>
          <w:sz w:val="24"/>
        </w:rPr>
        <w:t>3. SUBSCRIBING MARKET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0D2B55"/>
          </w:tcPr>
          <w:p>
            <w:pPr>
              <w:spacing w:before="40" w:after="40"/>
            </w:pPr>
            <w:r>
              <w:rPr>
                <w:rFonts w:ascii="Calibri" w:hAnsi="Calibri"/>
                <w:b/>
                <w:color w:val="FFFFFF"/>
                <w:sz w:val="18"/>
              </w:rPr>
              <w:t>Syndicate / Company</w:t>
            </w:r>
          </w:p>
        </w:tc>
        <w:tc>
          <w:tcPr>
            <w:tcW w:type="dxa" w:w="2160"/>
            <w:shd w:val="clear" w:color="auto" w:fill="0D2B55"/>
          </w:tcPr>
          <w:p>
            <w:pPr>
              <w:spacing w:before="40" w:after="40"/>
            </w:pPr>
            <w:r>
              <w:rPr>
                <w:rFonts w:ascii="Calibri" w:hAnsi="Calibri"/>
                <w:b/>
                <w:color w:val="FFFFFF"/>
                <w:sz w:val="18"/>
              </w:rPr>
              <w:t>Market</w:t>
            </w:r>
          </w:p>
        </w:tc>
        <w:tc>
          <w:tcPr>
            <w:tcW w:type="dxa" w:w="1728"/>
            <w:shd w:val="clear" w:color="auto" w:fill="0D2B55"/>
          </w:tcPr>
          <w:p>
            <w:pPr>
              <w:spacing w:before="40" w:after="40"/>
            </w:pPr>
            <w:r>
              <w:rPr>
                <w:rFonts w:ascii="Calibri" w:hAnsi="Calibri"/>
                <w:b/>
                <w:color w:val="FFFFFF"/>
                <w:sz w:val="18"/>
              </w:rPr>
              <w:t>Participation</w:t>
            </w:r>
          </w:p>
        </w:tc>
        <w:tc>
          <w:tcPr>
            <w:tcW w:type="dxa" w:w="2304"/>
            <w:shd w:val="clear" w:color="auto" w:fill="0D2B55"/>
          </w:tcPr>
          <w:p>
            <w:pPr>
              <w:spacing w:before="40" w:after="40"/>
            </w:pPr>
            <w:r>
              <w:rPr>
                <w:rFonts w:ascii="Calibri" w:hAnsi="Calibri"/>
                <w:b/>
                <w:color w:val="FFFFFF"/>
                <w:sz w:val="18"/>
              </w:rPr>
              <w:t>AM Best Rating</w:t>
            </w:r>
          </w:p>
        </w:tc>
      </w:tr>
      <w:tr>
        <w:tc>
          <w:tcPr>
            <w:tcW w:type="dxa" w:w="3168"/>
            <w:shd w:val="clear" w:color="auto" w:fill="FFFFFF"/>
          </w:tcPr>
          <w:p>
            <w:pPr>
              <w:spacing w:before="20" w:after="20"/>
            </w:pPr>
            <w:r>
              <w:rPr>
                <w:rFonts w:ascii="Calibri" w:hAnsi="Calibri"/>
                <w:sz w:val="18"/>
              </w:rPr>
              <w:t>Syndicate 2623 (Beazley)</w:t>
            </w:r>
          </w:p>
        </w:tc>
        <w:tc>
          <w:tcPr>
            <w:tcW w:type="dxa" w:w="2160"/>
            <w:shd w:val="clear" w:color="auto" w:fill="FFFFFF"/>
          </w:tcPr>
          <w:p>
            <w:pPr>
              <w:spacing w:before="20" w:after="20"/>
            </w:pPr>
            <w:r>
              <w:rPr>
                <w:rFonts w:ascii="Calibri" w:hAnsi="Calibri"/>
                <w:sz w:val="18"/>
              </w:rPr>
              <w:t>Lloyd's</w:t>
            </w:r>
          </w:p>
        </w:tc>
        <w:tc>
          <w:tcPr>
            <w:tcW w:type="dxa" w:w="1728"/>
            <w:shd w:val="clear" w:color="auto" w:fill="FFFFFF"/>
          </w:tcPr>
          <w:p>
            <w:pPr>
              <w:spacing w:before="20" w:after="20"/>
            </w:pPr>
            <w:r>
              <w:rPr>
                <w:rFonts w:ascii="Calibri" w:hAnsi="Calibri"/>
                <w:sz w:val="18"/>
              </w:rPr>
              <w:t>15.0%</w:t>
            </w:r>
          </w:p>
        </w:tc>
        <w:tc>
          <w:tcPr>
            <w:tcW w:type="dxa" w:w="2304"/>
            <w:shd w:val="clear" w:color="auto" w:fill="FFFFFF"/>
          </w:tcPr>
          <w:p>
            <w:pPr>
              <w:spacing w:before="20" w:after="20"/>
            </w:pPr>
            <w:r>
              <w:rPr>
                <w:rFonts w:ascii="Calibri" w:hAnsi="Calibri"/>
                <w:sz w:val="18"/>
              </w:rPr>
              <w:t>A / XV</w:t>
            </w:r>
          </w:p>
        </w:tc>
      </w:tr>
      <w:tr>
        <w:tc>
          <w:tcPr>
            <w:tcW w:type="dxa" w:w="3168"/>
            <w:shd w:val="clear" w:color="auto" w:fill="F4F7FC"/>
          </w:tcPr>
          <w:p>
            <w:pPr>
              <w:spacing w:before="20" w:after="20"/>
            </w:pPr>
            <w:r>
              <w:rPr>
                <w:rFonts w:ascii="Calibri" w:hAnsi="Calibri"/>
                <w:sz w:val="18"/>
              </w:rPr>
              <w:t>Syndicate 1886 (Markel)</w:t>
            </w:r>
          </w:p>
        </w:tc>
        <w:tc>
          <w:tcPr>
            <w:tcW w:type="dxa" w:w="2160"/>
            <w:shd w:val="clear" w:color="auto" w:fill="F4F7FC"/>
          </w:tcPr>
          <w:p>
            <w:pPr>
              <w:spacing w:before="20" w:after="20"/>
            </w:pPr>
            <w:r>
              <w:rPr>
                <w:rFonts w:ascii="Calibri" w:hAnsi="Calibri"/>
                <w:sz w:val="18"/>
              </w:rPr>
              <w:t>Lloyd's</w:t>
            </w:r>
          </w:p>
        </w:tc>
        <w:tc>
          <w:tcPr>
            <w:tcW w:type="dxa" w:w="1728"/>
            <w:shd w:val="clear" w:color="auto" w:fill="F4F7FC"/>
          </w:tcPr>
          <w:p>
            <w:pPr>
              <w:spacing w:before="20" w:after="20"/>
            </w:pPr>
            <w:r>
              <w:rPr>
                <w:rFonts w:ascii="Calibri" w:hAnsi="Calibri"/>
                <w:sz w:val="18"/>
              </w:rPr>
              <w:t>12.5%</w:t>
            </w:r>
          </w:p>
        </w:tc>
        <w:tc>
          <w:tcPr>
            <w:tcW w:type="dxa" w:w="2304"/>
            <w:shd w:val="clear" w:color="auto" w:fill="F4F7FC"/>
          </w:tcPr>
          <w:p>
            <w:pPr>
              <w:spacing w:before="20" w:after="20"/>
            </w:pPr>
            <w:r>
              <w:rPr>
                <w:rFonts w:ascii="Calibri" w:hAnsi="Calibri"/>
                <w:sz w:val="18"/>
              </w:rPr>
              <w:t>A / XV</w:t>
            </w:r>
          </w:p>
        </w:tc>
      </w:tr>
      <w:tr>
        <w:tc>
          <w:tcPr>
            <w:tcW w:type="dxa" w:w="3168"/>
            <w:shd w:val="clear" w:color="auto" w:fill="FFFFFF"/>
          </w:tcPr>
          <w:p>
            <w:pPr>
              <w:spacing w:before="20" w:after="20"/>
            </w:pPr>
            <w:r>
              <w:rPr>
                <w:rFonts w:ascii="Calibri" w:hAnsi="Calibri"/>
                <w:sz w:val="18"/>
              </w:rPr>
              <w:t>Syndicate 4444 (Atrium)</w:t>
            </w:r>
          </w:p>
        </w:tc>
        <w:tc>
          <w:tcPr>
            <w:tcW w:type="dxa" w:w="2160"/>
            <w:shd w:val="clear" w:color="auto" w:fill="FFFFFF"/>
          </w:tcPr>
          <w:p>
            <w:pPr>
              <w:spacing w:before="20" w:after="20"/>
            </w:pPr>
            <w:r>
              <w:rPr>
                <w:rFonts w:ascii="Calibri" w:hAnsi="Calibri"/>
                <w:sz w:val="18"/>
              </w:rPr>
              <w:t>Lloyd's</w:t>
            </w:r>
          </w:p>
        </w:tc>
        <w:tc>
          <w:tcPr>
            <w:tcW w:type="dxa" w:w="1728"/>
            <w:shd w:val="clear" w:color="auto" w:fill="FFFFFF"/>
          </w:tcPr>
          <w:p>
            <w:pPr>
              <w:spacing w:before="20" w:after="20"/>
            </w:pPr>
            <w:r>
              <w:rPr>
                <w:rFonts w:ascii="Calibri" w:hAnsi="Calibri"/>
                <w:sz w:val="18"/>
              </w:rPr>
              <w:t>10.0%</w:t>
            </w:r>
          </w:p>
        </w:tc>
        <w:tc>
          <w:tcPr>
            <w:tcW w:type="dxa" w:w="2304"/>
            <w:shd w:val="clear" w:color="auto" w:fill="FFFFFF"/>
          </w:tcPr>
          <w:p>
            <w:pPr>
              <w:spacing w:before="20" w:after="20"/>
            </w:pPr>
            <w:r>
              <w:rPr>
                <w:rFonts w:ascii="Calibri" w:hAnsi="Calibri"/>
                <w:sz w:val="18"/>
              </w:rPr>
              <w:t>A- / XIV</w:t>
            </w:r>
          </w:p>
        </w:tc>
      </w:tr>
      <w:tr>
        <w:tc>
          <w:tcPr>
            <w:tcW w:type="dxa" w:w="3168"/>
            <w:shd w:val="clear" w:color="auto" w:fill="F4F7FC"/>
          </w:tcPr>
          <w:p>
            <w:pPr>
              <w:spacing w:before="20" w:after="20"/>
            </w:pPr>
            <w:r>
              <w:rPr>
                <w:rFonts w:ascii="Calibri" w:hAnsi="Calibri"/>
                <w:sz w:val="18"/>
              </w:rPr>
              <w:t>Syndicate 382 (AMS)</w:t>
            </w:r>
          </w:p>
        </w:tc>
        <w:tc>
          <w:tcPr>
            <w:tcW w:type="dxa" w:w="2160"/>
            <w:shd w:val="clear" w:color="auto" w:fill="F4F7FC"/>
          </w:tcPr>
          <w:p>
            <w:pPr>
              <w:spacing w:before="20" w:after="20"/>
            </w:pPr>
            <w:r>
              <w:rPr>
                <w:rFonts w:ascii="Calibri" w:hAnsi="Calibri"/>
                <w:sz w:val="18"/>
              </w:rPr>
              <w:t>Lloyd's</w:t>
            </w:r>
          </w:p>
        </w:tc>
        <w:tc>
          <w:tcPr>
            <w:tcW w:type="dxa" w:w="1728"/>
            <w:shd w:val="clear" w:color="auto" w:fill="F4F7FC"/>
          </w:tcPr>
          <w:p>
            <w:pPr>
              <w:spacing w:before="20" w:after="20"/>
            </w:pPr>
            <w:r>
              <w:rPr>
                <w:rFonts w:ascii="Calibri" w:hAnsi="Calibri"/>
                <w:sz w:val="18"/>
              </w:rPr>
              <w:t>8.0%</w:t>
            </w:r>
          </w:p>
        </w:tc>
        <w:tc>
          <w:tcPr>
            <w:tcW w:type="dxa" w:w="2304"/>
            <w:shd w:val="clear" w:color="auto" w:fill="F4F7FC"/>
          </w:tcPr>
          <w:p>
            <w:pPr>
              <w:spacing w:before="20" w:after="20"/>
            </w:pPr>
            <w:r>
              <w:rPr>
                <w:rFonts w:ascii="Calibri" w:hAnsi="Calibri"/>
                <w:sz w:val="18"/>
              </w:rPr>
              <w:t>A / XIV</w:t>
            </w:r>
          </w:p>
        </w:tc>
      </w:tr>
      <w:tr>
        <w:tc>
          <w:tcPr>
            <w:tcW w:type="dxa" w:w="3168"/>
            <w:shd w:val="clear" w:color="auto" w:fill="FFFFFF"/>
          </w:tcPr>
          <w:p>
            <w:pPr>
              <w:spacing w:before="20" w:after="20"/>
            </w:pPr>
            <w:r>
              <w:rPr>
                <w:rFonts w:ascii="Calibri" w:hAnsi="Calibri"/>
                <w:sz w:val="18"/>
              </w:rPr>
              <w:t>Syndicate 2791 (MAP)</w:t>
            </w:r>
          </w:p>
        </w:tc>
        <w:tc>
          <w:tcPr>
            <w:tcW w:type="dxa" w:w="2160"/>
            <w:shd w:val="clear" w:color="auto" w:fill="FFFFFF"/>
          </w:tcPr>
          <w:p>
            <w:pPr>
              <w:spacing w:before="20" w:after="20"/>
            </w:pPr>
            <w:r>
              <w:rPr>
                <w:rFonts w:ascii="Calibri" w:hAnsi="Calibri"/>
                <w:sz w:val="18"/>
              </w:rPr>
              <w:t>Lloyd's</w:t>
            </w:r>
          </w:p>
        </w:tc>
        <w:tc>
          <w:tcPr>
            <w:tcW w:type="dxa" w:w="1728"/>
            <w:shd w:val="clear" w:color="auto" w:fill="FFFFFF"/>
          </w:tcPr>
          <w:p>
            <w:pPr>
              <w:spacing w:before="20" w:after="20"/>
            </w:pPr>
            <w:r>
              <w:rPr>
                <w:rFonts w:ascii="Calibri" w:hAnsi="Calibri"/>
                <w:sz w:val="18"/>
              </w:rPr>
              <w:t>7.5%</w:t>
            </w:r>
          </w:p>
        </w:tc>
        <w:tc>
          <w:tcPr>
            <w:tcW w:type="dxa" w:w="2304"/>
            <w:shd w:val="clear" w:color="auto" w:fill="FFFFFF"/>
          </w:tcPr>
          <w:p>
            <w:pPr>
              <w:spacing w:before="20" w:after="20"/>
            </w:pPr>
            <w:r>
              <w:rPr>
                <w:rFonts w:ascii="Calibri" w:hAnsi="Calibri"/>
                <w:sz w:val="18"/>
              </w:rPr>
              <w:t>A- / XIII</w:t>
            </w:r>
          </w:p>
        </w:tc>
      </w:tr>
      <w:tr>
        <w:tc>
          <w:tcPr>
            <w:tcW w:type="dxa" w:w="3168"/>
            <w:shd w:val="clear" w:color="auto" w:fill="F4F7FC"/>
          </w:tcPr>
          <w:p>
            <w:pPr>
              <w:spacing w:before="20" w:after="20"/>
            </w:pPr>
            <w:r>
              <w:rPr>
                <w:rFonts w:ascii="Calibri" w:hAnsi="Calibri"/>
                <w:sz w:val="18"/>
              </w:rPr>
              <w:t>AXA XL Insurance</w:t>
            </w:r>
          </w:p>
        </w:tc>
        <w:tc>
          <w:tcPr>
            <w:tcW w:type="dxa" w:w="2160"/>
            <w:shd w:val="clear" w:color="auto" w:fill="F4F7FC"/>
          </w:tcPr>
          <w:p>
            <w:pPr>
              <w:spacing w:before="20" w:after="20"/>
            </w:pPr>
            <w:r>
              <w:rPr>
                <w:rFonts w:ascii="Calibri" w:hAnsi="Calibri"/>
                <w:sz w:val="18"/>
              </w:rPr>
              <w:t>Company</w:t>
            </w:r>
          </w:p>
        </w:tc>
        <w:tc>
          <w:tcPr>
            <w:tcW w:type="dxa" w:w="1728"/>
            <w:shd w:val="clear" w:color="auto" w:fill="F4F7FC"/>
          </w:tcPr>
          <w:p>
            <w:pPr>
              <w:spacing w:before="20" w:after="20"/>
            </w:pPr>
            <w:r>
              <w:rPr>
                <w:rFonts w:ascii="Calibri" w:hAnsi="Calibri"/>
                <w:sz w:val="18"/>
              </w:rPr>
              <w:t>18.0%</w:t>
            </w:r>
          </w:p>
        </w:tc>
        <w:tc>
          <w:tcPr>
            <w:tcW w:type="dxa" w:w="2304"/>
            <w:shd w:val="clear" w:color="auto" w:fill="F4F7FC"/>
          </w:tcPr>
          <w:p>
            <w:pPr>
              <w:spacing w:before="20" w:after="20"/>
            </w:pPr>
            <w:r>
              <w:rPr>
                <w:rFonts w:ascii="Calibri" w:hAnsi="Calibri"/>
                <w:sz w:val="18"/>
              </w:rPr>
              <w:t>A / XV</w:t>
            </w:r>
          </w:p>
        </w:tc>
      </w:tr>
      <w:tr>
        <w:tc>
          <w:tcPr>
            <w:tcW w:type="dxa" w:w="3168"/>
            <w:shd w:val="clear" w:color="auto" w:fill="FFFFFF"/>
          </w:tcPr>
          <w:p>
            <w:pPr>
              <w:spacing w:before="20" w:after="20"/>
            </w:pPr>
            <w:r>
              <w:rPr>
                <w:rFonts w:ascii="Calibri" w:hAnsi="Calibri"/>
                <w:sz w:val="18"/>
              </w:rPr>
              <w:t>AIG Aviation Insurance</w:t>
            </w:r>
          </w:p>
        </w:tc>
        <w:tc>
          <w:tcPr>
            <w:tcW w:type="dxa" w:w="2160"/>
            <w:shd w:val="clear" w:color="auto" w:fill="FFFFFF"/>
          </w:tcPr>
          <w:p>
            <w:pPr>
              <w:spacing w:before="20" w:after="20"/>
            </w:pPr>
            <w:r>
              <w:rPr>
                <w:rFonts w:ascii="Calibri" w:hAnsi="Calibri"/>
                <w:sz w:val="18"/>
              </w:rPr>
              <w:t>Company</w:t>
            </w:r>
          </w:p>
        </w:tc>
        <w:tc>
          <w:tcPr>
            <w:tcW w:type="dxa" w:w="1728"/>
            <w:shd w:val="clear" w:color="auto" w:fill="FFFFFF"/>
          </w:tcPr>
          <w:p>
            <w:pPr>
              <w:spacing w:before="20" w:after="20"/>
            </w:pPr>
            <w:r>
              <w:rPr>
                <w:rFonts w:ascii="Calibri" w:hAnsi="Calibri"/>
                <w:sz w:val="18"/>
              </w:rPr>
              <w:t>14.0%</w:t>
            </w:r>
          </w:p>
        </w:tc>
        <w:tc>
          <w:tcPr>
            <w:tcW w:type="dxa" w:w="2304"/>
            <w:shd w:val="clear" w:color="auto" w:fill="FFFFFF"/>
          </w:tcPr>
          <w:p>
            <w:pPr>
              <w:spacing w:before="20" w:after="20"/>
            </w:pPr>
            <w:r>
              <w:rPr>
                <w:rFonts w:ascii="Calibri" w:hAnsi="Calibri"/>
                <w:sz w:val="18"/>
              </w:rPr>
              <w:t>A+ / XV</w:t>
            </w:r>
          </w:p>
        </w:tc>
      </w:tr>
      <w:tr>
        <w:tc>
          <w:tcPr>
            <w:tcW w:type="dxa" w:w="3168"/>
            <w:shd w:val="clear" w:color="auto" w:fill="F4F7FC"/>
          </w:tcPr>
          <w:p>
            <w:pPr>
              <w:spacing w:before="20" w:after="20"/>
            </w:pPr>
            <w:r>
              <w:rPr>
                <w:rFonts w:ascii="Calibri" w:hAnsi="Calibri"/>
                <w:sz w:val="18"/>
              </w:rPr>
              <w:t>Chubb Aviation</w:t>
            </w:r>
          </w:p>
        </w:tc>
        <w:tc>
          <w:tcPr>
            <w:tcW w:type="dxa" w:w="2160"/>
            <w:shd w:val="clear" w:color="auto" w:fill="F4F7FC"/>
          </w:tcPr>
          <w:p>
            <w:pPr>
              <w:spacing w:before="20" w:after="20"/>
            </w:pPr>
            <w:r>
              <w:rPr>
                <w:rFonts w:ascii="Calibri" w:hAnsi="Calibri"/>
                <w:sz w:val="18"/>
              </w:rPr>
              <w:t>Company</w:t>
            </w:r>
          </w:p>
        </w:tc>
        <w:tc>
          <w:tcPr>
            <w:tcW w:type="dxa" w:w="1728"/>
            <w:shd w:val="clear" w:color="auto" w:fill="F4F7FC"/>
          </w:tcPr>
          <w:p>
            <w:pPr>
              <w:spacing w:before="20" w:after="20"/>
            </w:pPr>
            <w:r>
              <w:rPr>
                <w:rFonts w:ascii="Calibri" w:hAnsi="Calibri"/>
                <w:sz w:val="18"/>
              </w:rPr>
              <w:t>10.0%</w:t>
            </w:r>
          </w:p>
        </w:tc>
        <w:tc>
          <w:tcPr>
            <w:tcW w:type="dxa" w:w="2304"/>
            <w:shd w:val="clear" w:color="auto" w:fill="F4F7FC"/>
          </w:tcPr>
          <w:p>
            <w:pPr>
              <w:spacing w:before="20" w:after="20"/>
            </w:pPr>
            <w:r>
              <w:rPr>
                <w:rFonts w:ascii="Calibri" w:hAnsi="Calibri"/>
                <w:sz w:val="18"/>
              </w:rPr>
              <w:t>AA- / XV</w:t>
            </w:r>
          </w:p>
        </w:tc>
      </w:tr>
      <w:tr>
        <w:tc>
          <w:tcPr>
            <w:tcW w:type="dxa" w:w="3168"/>
            <w:shd w:val="clear" w:color="auto" w:fill="FFFFFF"/>
          </w:tcPr>
          <w:p>
            <w:pPr>
              <w:spacing w:before="20" w:after="20"/>
            </w:pPr>
            <w:r>
              <w:rPr>
                <w:rFonts w:ascii="Calibri" w:hAnsi="Calibri"/>
                <w:sz w:val="18"/>
              </w:rPr>
              <w:t>Allianz Aviation Underwriters</w:t>
            </w:r>
          </w:p>
        </w:tc>
        <w:tc>
          <w:tcPr>
            <w:tcW w:type="dxa" w:w="2160"/>
            <w:shd w:val="clear" w:color="auto" w:fill="FFFFFF"/>
          </w:tcPr>
          <w:p>
            <w:pPr>
              <w:spacing w:before="20" w:after="20"/>
            </w:pPr>
            <w:r>
              <w:rPr>
                <w:rFonts w:ascii="Calibri" w:hAnsi="Calibri"/>
                <w:sz w:val="18"/>
              </w:rPr>
              <w:t>Company</w:t>
            </w:r>
          </w:p>
        </w:tc>
        <w:tc>
          <w:tcPr>
            <w:tcW w:type="dxa" w:w="1728"/>
            <w:shd w:val="clear" w:color="auto" w:fill="FFFFFF"/>
          </w:tcPr>
          <w:p>
            <w:pPr>
              <w:spacing w:before="20" w:after="20"/>
            </w:pPr>
            <w:r>
              <w:rPr>
                <w:rFonts w:ascii="Calibri" w:hAnsi="Calibri"/>
                <w:sz w:val="18"/>
              </w:rPr>
              <w:t>5.0%</w:t>
            </w:r>
          </w:p>
        </w:tc>
        <w:tc>
          <w:tcPr>
            <w:tcW w:type="dxa" w:w="2304"/>
            <w:shd w:val="clear" w:color="auto" w:fill="FFFFFF"/>
          </w:tcPr>
          <w:p>
            <w:pPr>
              <w:spacing w:before="20" w:after="20"/>
            </w:pPr>
            <w:r>
              <w:rPr>
                <w:rFonts w:ascii="Calibri" w:hAnsi="Calibri"/>
                <w:sz w:val="18"/>
              </w:rPr>
              <w:t>AA / XV</w:t>
            </w:r>
          </w:p>
        </w:tc>
      </w:tr>
      <w:tr>
        <w:tc>
          <w:tcPr>
            <w:tcW w:type="dxa" w:w="3168"/>
            <w:shd w:val="clear" w:color="auto" w:fill="F4F7FC"/>
          </w:tcPr>
          <w:p>
            <w:pPr>
              <w:spacing w:before="20" w:after="20"/>
            </w:pPr>
            <w:r>
              <w:rPr>
                <w:rFonts w:ascii="Calibri" w:hAnsi="Calibri"/>
                <w:sz w:val="18"/>
              </w:rPr>
              <w:t>TOTAL</w:t>
            </w:r>
          </w:p>
        </w:tc>
        <w:tc>
          <w:tcPr>
            <w:tcW w:type="dxa" w:w="2160"/>
            <w:shd w:val="clear" w:color="auto" w:fill="F4F7FC"/>
          </w:tcPr>
          <w:p>
            <w:pPr>
              <w:spacing w:before="20" w:after="20"/>
            </w:pPr>
            <w:r>
              <w:rPr>
                <w:rFonts w:ascii="Calibri" w:hAnsi="Calibri"/>
                <w:sz w:val="18"/>
              </w:rPr>
            </w:r>
          </w:p>
        </w:tc>
        <w:tc>
          <w:tcPr>
            <w:tcW w:type="dxa" w:w="1728"/>
            <w:shd w:val="clear" w:color="auto" w:fill="F4F7FC"/>
          </w:tcPr>
          <w:p>
            <w:pPr>
              <w:spacing w:before="20" w:after="20"/>
            </w:pPr>
            <w:r>
              <w:rPr>
                <w:rFonts w:ascii="Calibri" w:hAnsi="Calibri"/>
                <w:sz w:val="18"/>
              </w:rPr>
              <w:t>100%</w:t>
            </w:r>
          </w:p>
        </w:tc>
        <w:tc>
          <w:tcPr>
            <w:tcW w:type="dxa" w:w="2304"/>
            <w:shd w:val="clear" w:color="auto" w:fill="F4F7FC"/>
          </w:tcPr>
          <w:p>
            <w:pPr>
              <w:spacing w:before="20" w:after="20"/>
            </w:pPr>
            <w:r>
              <w:rPr>
                <w:rFonts w:ascii="Calibri" w:hAnsi="Calibri"/>
                <w:sz w:val="18"/>
              </w:rPr>
              <w:t>—</w:t>
            </w:r>
          </w:p>
        </w:tc>
      </w:tr>
    </w:tbl>
    <w:p/>
    <w:p>
      <w:pPr>
        <w:pStyle w:val="Heading2"/>
      </w:pPr>
      <w:r>
        <w:rPr>
          <w:rFonts w:ascii="Calibri" w:hAnsi="Calibri"/>
          <w:b/>
          <w:color w:val="0D2B55"/>
          <w:sz w:val="24"/>
        </w:rPr>
        <w:t>4. KEY ENDORSEMENTS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1440"/>
            <w:shd w:val="clear" w:color="auto" w:fill="0D2B55"/>
          </w:tcPr>
          <w:p>
            <w:pPr>
              <w:spacing w:before="40" w:after="40"/>
            </w:pPr>
            <w:r>
              <w:rPr>
                <w:rFonts w:ascii="Calibri" w:hAnsi="Calibri"/>
                <w:b/>
                <w:color w:val="FFFFFF"/>
                <w:sz w:val="18"/>
              </w:rPr>
              <w:t>Ref</w:t>
            </w:r>
          </w:p>
        </w:tc>
        <w:tc>
          <w:tcPr>
            <w:tcW w:type="dxa" w:w="3600"/>
            <w:shd w:val="clear" w:color="auto" w:fill="0D2B55"/>
          </w:tcPr>
          <w:p>
            <w:pPr>
              <w:spacing w:before="40" w:after="40"/>
            </w:pPr>
            <w:r>
              <w:rPr>
                <w:rFonts w:ascii="Calibri" w:hAnsi="Calibri"/>
                <w:b/>
                <w:color w:val="FFFFFF"/>
                <w:sz w:val="18"/>
              </w:rPr>
              <w:t>Endorsement</w:t>
            </w:r>
          </w:p>
        </w:tc>
        <w:tc>
          <w:tcPr>
            <w:tcW w:type="dxa" w:w="4320"/>
            <w:shd w:val="clear" w:color="auto" w:fill="0D2B55"/>
          </w:tcPr>
          <w:p>
            <w:pPr>
              <w:spacing w:before="40" w:after="40"/>
            </w:pPr>
            <w:r>
              <w:rPr>
                <w:rFonts w:ascii="Calibri" w:hAnsi="Calibri"/>
                <w:b/>
                <w:color w:val="FFFFFF"/>
                <w:sz w:val="18"/>
              </w:rPr>
              <w:t>Effect</w:t>
            </w:r>
          </w:p>
        </w:tc>
      </w:tr>
      <w:tr>
        <w:tc>
          <w:tcPr>
            <w:tcW w:type="dxa" w:w="1440"/>
            <w:shd w:val="clear" w:color="auto" w:fill="FFFFFF"/>
          </w:tcPr>
          <w:p>
            <w:pPr>
              <w:spacing w:before="20" w:after="20"/>
            </w:pPr>
            <w:r>
              <w:rPr>
                <w:rFonts w:ascii="Calibri" w:hAnsi="Calibri"/>
                <w:sz w:val="18"/>
              </w:rPr>
              <w:t>AV52H</w:t>
            </w:r>
          </w:p>
        </w:tc>
        <w:tc>
          <w:tcPr>
            <w:tcW w:type="dxa" w:w="3600"/>
            <w:shd w:val="clear" w:color="auto" w:fill="FFFFFF"/>
          </w:tcPr>
          <w:p>
            <w:pPr>
              <w:spacing w:before="20" w:after="20"/>
            </w:pPr>
            <w:r>
              <w:rPr>
                <w:rFonts w:ascii="Calibri" w:hAnsi="Calibri"/>
                <w:sz w:val="18"/>
              </w:rPr>
              <w:t>War and Allied Perils extension</w:t>
            </w:r>
          </w:p>
        </w:tc>
        <w:tc>
          <w:tcPr>
            <w:tcW w:type="dxa" w:w="4320"/>
            <w:shd w:val="clear" w:color="auto" w:fill="FFFFFF"/>
          </w:tcPr>
          <w:p>
            <w:pPr>
              <w:spacing w:before="20" w:after="20"/>
            </w:pPr>
            <w:r>
              <w:rPr>
                <w:rFonts w:ascii="Calibri" w:hAnsi="Calibri"/>
                <w:sz w:val="18"/>
              </w:rPr>
              <w:t>Extends Hull All Risks to war, sabotage, terrorism, confiscation</w:t>
            </w:r>
          </w:p>
        </w:tc>
      </w:tr>
      <w:tr>
        <w:tc>
          <w:tcPr>
            <w:tcW w:type="dxa" w:w="1440"/>
            <w:shd w:val="clear" w:color="auto" w:fill="F4F7FC"/>
          </w:tcPr>
          <w:p>
            <w:pPr>
              <w:spacing w:before="20" w:after="20"/>
            </w:pPr>
            <w:r>
              <w:rPr>
                <w:rFonts w:ascii="Calibri" w:hAnsi="Calibri"/>
                <w:sz w:val="18"/>
              </w:rPr>
              <w:t>AVN1C</w:t>
            </w:r>
          </w:p>
        </w:tc>
        <w:tc>
          <w:tcPr>
            <w:tcW w:type="dxa" w:w="3600"/>
            <w:shd w:val="clear" w:color="auto" w:fill="F4F7FC"/>
          </w:tcPr>
          <w:p>
            <w:pPr>
              <w:spacing w:before="20" w:after="20"/>
            </w:pPr>
            <w:r>
              <w:rPr>
                <w:rFonts w:ascii="Calibri" w:hAnsi="Calibri"/>
                <w:sz w:val="18"/>
              </w:rPr>
              <w:t>Airline Legal Liability — combined single limit</w:t>
            </w:r>
          </w:p>
        </w:tc>
        <w:tc>
          <w:tcPr>
            <w:tcW w:type="dxa" w:w="4320"/>
            <w:shd w:val="clear" w:color="auto" w:fill="F4F7FC"/>
          </w:tcPr>
          <w:p>
            <w:pPr>
              <w:spacing w:before="20" w:after="20"/>
            </w:pPr>
            <w:r>
              <w:rPr>
                <w:rFonts w:ascii="Calibri" w:hAnsi="Calibri"/>
                <w:sz w:val="18"/>
              </w:rPr>
              <w:t>Bodily injury, property damage, passenger combined USD 750M</w:t>
            </w:r>
          </w:p>
        </w:tc>
      </w:tr>
      <w:tr>
        <w:tc>
          <w:tcPr>
            <w:tcW w:type="dxa" w:w="1440"/>
            <w:shd w:val="clear" w:color="auto" w:fill="FFFFFF"/>
          </w:tcPr>
          <w:p>
            <w:pPr>
              <w:spacing w:before="20" w:after="20"/>
            </w:pPr>
            <w:r>
              <w:rPr>
                <w:rFonts w:ascii="Calibri" w:hAnsi="Calibri"/>
                <w:sz w:val="18"/>
              </w:rPr>
              <w:t>AVN51</w:t>
            </w:r>
          </w:p>
        </w:tc>
        <w:tc>
          <w:tcPr>
            <w:tcW w:type="dxa" w:w="3600"/>
            <w:shd w:val="clear" w:color="auto" w:fill="FFFFFF"/>
          </w:tcPr>
          <w:p>
            <w:pPr>
              <w:spacing w:before="20" w:after="20"/>
            </w:pPr>
            <w:r>
              <w:rPr>
                <w:rFonts w:ascii="Calibri" w:hAnsi="Calibri"/>
                <w:sz w:val="18"/>
              </w:rPr>
              <w:t>Noise, Pollution, Other Perils exclusion</w:t>
            </w:r>
          </w:p>
        </w:tc>
        <w:tc>
          <w:tcPr>
            <w:tcW w:type="dxa" w:w="4320"/>
            <w:shd w:val="clear" w:color="auto" w:fill="FFFFFF"/>
          </w:tcPr>
          <w:p>
            <w:pPr>
              <w:spacing w:before="20" w:after="20"/>
            </w:pPr>
            <w:r>
              <w:rPr>
                <w:rFonts w:ascii="Calibri" w:hAnsi="Calibri"/>
                <w:sz w:val="18"/>
              </w:rPr>
              <w:t>Standard exclusions; aircraft-generated noise/pollution excluded unless crash</w:t>
            </w:r>
          </w:p>
        </w:tc>
      </w:tr>
      <w:tr>
        <w:tc>
          <w:tcPr>
            <w:tcW w:type="dxa" w:w="1440"/>
            <w:shd w:val="clear" w:color="auto" w:fill="F4F7FC"/>
          </w:tcPr>
          <w:p>
            <w:pPr>
              <w:spacing w:before="20" w:after="20"/>
            </w:pPr>
            <w:r>
              <w:rPr>
                <w:rFonts w:ascii="Calibri" w:hAnsi="Calibri"/>
                <w:sz w:val="18"/>
              </w:rPr>
              <w:t>AVN67B</w:t>
            </w:r>
          </w:p>
        </w:tc>
        <w:tc>
          <w:tcPr>
            <w:tcW w:type="dxa" w:w="3600"/>
            <w:shd w:val="clear" w:color="auto" w:fill="F4F7FC"/>
          </w:tcPr>
          <w:p>
            <w:pPr>
              <w:spacing w:before="20" w:after="20"/>
            </w:pPr>
            <w:r>
              <w:rPr>
                <w:rFonts w:ascii="Calibri" w:hAnsi="Calibri"/>
                <w:sz w:val="18"/>
              </w:rPr>
              <w:t>Smooth closure</w:t>
            </w:r>
          </w:p>
        </w:tc>
        <w:tc>
          <w:tcPr>
            <w:tcW w:type="dxa" w:w="4320"/>
            <w:shd w:val="clear" w:color="auto" w:fill="F4F7FC"/>
          </w:tcPr>
          <w:p>
            <w:pPr>
              <w:spacing w:before="20" w:after="20"/>
            </w:pPr>
            <w:r>
              <w:rPr>
                <w:rFonts w:ascii="Calibri" w:hAnsi="Calibri"/>
                <w:sz w:val="18"/>
              </w:rPr>
              <w:t>Continuity of cover on renewal</w:t>
            </w:r>
          </w:p>
        </w:tc>
      </w:tr>
      <w:tr>
        <w:tc>
          <w:tcPr>
            <w:tcW w:type="dxa" w:w="1440"/>
            <w:shd w:val="clear" w:color="auto" w:fill="FFFFFF"/>
          </w:tcPr>
          <w:p>
            <w:pPr>
              <w:spacing w:before="20" w:after="20"/>
            </w:pPr>
            <w:r>
              <w:rPr>
                <w:rFonts w:ascii="Calibri" w:hAnsi="Calibri"/>
                <w:sz w:val="18"/>
              </w:rPr>
              <w:t>LSW555D</w:t>
            </w:r>
          </w:p>
        </w:tc>
        <w:tc>
          <w:tcPr>
            <w:tcW w:type="dxa" w:w="3600"/>
            <w:shd w:val="clear" w:color="auto" w:fill="FFFFFF"/>
          </w:tcPr>
          <w:p>
            <w:pPr>
              <w:spacing w:before="20" w:after="20"/>
            </w:pPr>
            <w:r>
              <w:rPr>
                <w:rFonts w:ascii="Calibri" w:hAnsi="Calibri"/>
                <w:sz w:val="18"/>
              </w:rPr>
              <w:t>Lessor's Interest Endorsement</w:t>
            </w:r>
          </w:p>
        </w:tc>
        <w:tc>
          <w:tcPr>
            <w:tcW w:type="dxa" w:w="4320"/>
            <w:shd w:val="clear" w:color="auto" w:fill="FFFFFF"/>
          </w:tcPr>
          <w:p>
            <w:pPr>
              <w:spacing w:before="20" w:after="20"/>
            </w:pPr>
            <w:r>
              <w:rPr>
                <w:rFonts w:ascii="Calibri" w:hAnsi="Calibri"/>
                <w:sz w:val="18"/>
              </w:rPr>
              <w:t>Lessor as additional insured and loss payee; waiver of subrogation</w:t>
            </w:r>
          </w:p>
        </w:tc>
      </w:tr>
      <w:tr>
        <w:tc>
          <w:tcPr>
            <w:tcW w:type="dxa" w:w="1440"/>
            <w:shd w:val="clear" w:color="auto" w:fill="F4F7FC"/>
          </w:tcPr>
          <w:p>
            <w:pPr>
              <w:spacing w:before="20" w:after="20"/>
            </w:pPr>
            <w:r>
              <w:rPr>
                <w:rFonts w:ascii="Calibri" w:hAnsi="Calibri"/>
                <w:sz w:val="18"/>
              </w:rPr>
              <w:t>AVN38C</w:t>
            </w:r>
          </w:p>
        </w:tc>
        <w:tc>
          <w:tcPr>
            <w:tcW w:type="dxa" w:w="3600"/>
            <w:shd w:val="clear" w:color="auto" w:fill="F4F7FC"/>
          </w:tcPr>
          <w:p>
            <w:pPr>
              <w:spacing w:before="20" w:after="20"/>
            </w:pPr>
            <w:r>
              <w:rPr>
                <w:rFonts w:ascii="Calibri" w:hAnsi="Calibri"/>
                <w:sz w:val="18"/>
              </w:rPr>
              <w:t>Cancellation notice</w:t>
            </w:r>
          </w:p>
        </w:tc>
        <w:tc>
          <w:tcPr>
            <w:tcW w:type="dxa" w:w="4320"/>
            <w:shd w:val="clear" w:color="auto" w:fill="F4F7FC"/>
          </w:tcPr>
          <w:p>
            <w:pPr>
              <w:spacing w:before="20" w:after="20"/>
            </w:pPr>
            <w:r>
              <w:rPr>
                <w:rFonts w:ascii="Calibri" w:hAnsi="Calibri"/>
                <w:sz w:val="18"/>
              </w:rPr>
              <w:t>30 days to Lessor; 7 days for war risk</w:t>
            </w:r>
          </w:p>
        </w:tc>
      </w:tr>
      <w:tr>
        <w:tc>
          <w:tcPr>
            <w:tcW w:type="dxa" w:w="1440"/>
            <w:shd w:val="clear" w:color="auto" w:fill="FFFFFF"/>
          </w:tcPr>
          <w:p>
            <w:pPr>
              <w:spacing w:before="20" w:after="20"/>
            </w:pPr>
            <w:r>
              <w:rPr>
                <w:rFonts w:ascii="Calibri" w:hAnsi="Calibri"/>
                <w:sz w:val="18"/>
              </w:rPr>
              <w:t>SANCXXX</w:t>
            </w:r>
          </w:p>
        </w:tc>
        <w:tc>
          <w:tcPr>
            <w:tcW w:type="dxa" w:w="3600"/>
            <w:shd w:val="clear" w:color="auto" w:fill="FFFFFF"/>
          </w:tcPr>
          <w:p>
            <w:pPr>
              <w:spacing w:before="20" w:after="20"/>
            </w:pPr>
            <w:r>
              <w:rPr>
                <w:rFonts w:ascii="Calibri" w:hAnsi="Calibri"/>
                <w:sz w:val="18"/>
              </w:rPr>
              <w:t>Sanctions</w:t>
            </w:r>
          </w:p>
        </w:tc>
        <w:tc>
          <w:tcPr>
            <w:tcW w:type="dxa" w:w="4320"/>
            <w:shd w:val="clear" w:color="auto" w:fill="FFFFFF"/>
          </w:tcPr>
          <w:p>
            <w:pPr>
              <w:spacing w:before="20" w:after="20"/>
            </w:pPr>
            <w:r>
              <w:rPr>
                <w:rFonts w:ascii="Calibri" w:hAnsi="Calibri"/>
                <w:sz w:val="18"/>
              </w:rPr>
              <w:t>Policy void for claims from sanctioned territories/persons</w:t>
            </w:r>
          </w:p>
        </w:tc>
      </w:tr>
    </w:tbl>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ISSUING BROKER</w:t>
            </w:r>
          </w:p>
        </w:tc>
        <w:tc>
          <w:tcPr>
            <w:tcW w:type="dxa" w:w="4320"/>
            <w:shd w:val="clear" w:color="auto" w:fill="E8EFF8"/>
          </w:tcPr>
          <w:p>
            <w:r>
              <w:rPr>
                <w:rFonts w:ascii="Calibri" w:hAnsi="Calibri"/>
                <w:b/>
                <w:color w:val="0D2B55"/>
                <w:sz w:val="20"/>
              </w:rPr>
              <w:t>ACKNOWLEDGED BY LESSEE</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Amanda J. Forsyth</w:t>
            </w:r>
          </w:p>
        </w:tc>
        <w:tc>
          <w:tcPr>
            <w:tcW w:type="dxa" w:w="4320"/>
          </w:tcPr>
          <w:p>
            <w:r>
              <w:rPr>
                <w:rFonts w:ascii="Calibri" w:hAnsi="Calibri"/>
                <w:sz w:val="20"/>
              </w:rPr>
              <w:t xml:space="preserve">Name: </w:t>
            </w:r>
          </w:p>
        </w:tc>
      </w:tr>
      <w:tr>
        <w:tc>
          <w:tcPr>
            <w:tcW w:type="dxa" w:w="4320"/>
          </w:tcPr>
          <w:p>
            <w:r>
              <w:rPr>
                <w:rFonts w:ascii="Calibri" w:hAnsi="Calibri"/>
                <w:sz w:val="20"/>
              </w:rPr>
              <w:t>Title: Aviation Director, Gallagher Heath</w:t>
            </w:r>
          </w:p>
        </w:tc>
        <w:tc>
          <w:tcPr>
            <w:tcW w:type="dxa" w:w="4320"/>
          </w:tcPr>
          <w:p>
            <w:r>
              <w:rPr>
                <w:rFonts w:ascii="Calibri" w:hAnsi="Calibri"/>
                <w:sz w:val="20"/>
              </w:rPr>
              <w:t>Title: VP Risk Management</w:t>
            </w:r>
          </w:p>
        </w:tc>
      </w:tr>
      <w:tr>
        <w:tc>
          <w:tcPr>
            <w:tcW w:type="dxa" w:w="4320"/>
          </w:tcPr>
          <w:p>
            <w:r>
              <w:rPr>
                <w:rFonts w:ascii="Calibri" w:hAnsi="Calibri"/>
                <w:sz w:val="20"/>
              </w:rPr>
              <w:t>Date: 2025-01-02</w:t>
            </w:r>
          </w:p>
        </w:tc>
        <w:tc>
          <w:tcPr>
            <w:tcW w:type="dxa" w:w="4320"/>
          </w:tcPr>
          <w:p>
            <w:r>
              <w:rPr>
                <w:rFonts w:ascii="Calibri" w:hAnsi="Calibri"/>
                <w:sz w:val="20"/>
              </w:rPr>
              <w:t xml:space="preserve">Date: </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Apex Continental Airlines</w:t>
          </w:r>
        </w:p>
      </w:tc>
      <w:tc>
        <w:tcPr>
          <w:tcW w:type="dxa" w:w="3120"/>
        </w:tcPr>
        <w:p>
          <w:pPr>
            <w:jc w:val="center"/>
          </w:pPr>
          <w:r>
            <w:rPr>
              <w:rFonts w:ascii="Calibri" w:hAnsi="Calibri"/>
              <w:color w:val="666666"/>
              <w:sz w:val="16"/>
            </w:rPr>
            <w:t>CERTIFICATE OF INSURANCE</w:t>
          </w:r>
        </w:p>
      </w:tc>
      <w:tc>
        <w:tcPr>
          <w:tcW w:type="dxa" w:w="3120"/>
        </w:tcPr>
        <w:p>
          <w:pPr>
            <w:jc w:val="right"/>
          </w:pPr>
          <w:r>
            <w:rPr>
              <w:rFonts w:ascii="Calibri" w:hAnsi="Calibri"/>
              <w:color w:val="666666"/>
              <w:sz w:val="16"/>
            </w:rPr>
            <w:t>IC-N34567-2025-01</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