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NOTICE OF DEFAULT AND DEMAND FOR REMEDY</w:t>
      </w:r>
    </w:p>
    <w:p>
      <w:pPr>
        <w:spacing w:after="120"/>
        <w:jc w:val="left"/>
      </w:pPr>
      <w:r>
        <w:rPr>
          <w:rFonts w:ascii="Calibri" w:hAnsi="Calibri"/>
          <w:b/>
          <w:color w:val="0D2B55"/>
          <w:sz w:val="44"/>
        </w:rPr>
        <w:t>NOTICE OF EVENT OF DEFAULT</w:t>
      </w:r>
    </w:p>
    <w:p>
      <w:pPr>
        <w:spacing w:after="400"/>
      </w:pPr>
      <w:r>
        <w:rPr>
          <w:rFonts w:ascii="Calibri" w:hAnsi="Calibri"/>
          <w:color w:val="666666"/>
          <w:sz w:val="20"/>
        </w:rPr>
        <w:t>Reference: NOD-N67890-2025-02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A319-100</w:t>
            </w:r>
          </w:p>
        </w:tc>
        <w:tc>
          <w:tcPr>
            <w:tcW w:type="dxa" w:w="1728"/>
            <w:shd w:val="clear" w:color="auto" w:fill="E8EFF8"/>
          </w:tcPr>
          <w:p>
            <w:r>
              <w:rPr>
                <w:rFonts w:ascii="Calibri" w:hAnsi="Calibri"/>
                <w:b/>
                <w:color w:val="0D2B55"/>
                <w:sz w:val="18"/>
              </w:rPr>
              <w:t>7203</w:t>
            </w:r>
          </w:p>
        </w:tc>
        <w:tc>
          <w:tcPr>
            <w:tcW w:type="dxa" w:w="1728"/>
            <w:shd w:val="clear" w:color="auto" w:fill="E8EFF8"/>
          </w:tcPr>
          <w:p>
            <w:r>
              <w:rPr>
                <w:rFonts w:ascii="Calibri" w:hAnsi="Calibri"/>
                <w:b/>
                <w:color w:val="0D2B55"/>
                <w:sz w:val="18"/>
              </w:rPr>
              <w:t>N67890</w:t>
            </w:r>
          </w:p>
        </w:tc>
        <w:tc>
          <w:tcPr>
            <w:tcW w:type="dxa" w:w="1728"/>
            <w:shd w:val="clear" w:color="auto" w:fill="E8EFF8"/>
          </w:tcPr>
          <w:p>
            <w:r>
              <w:rPr>
                <w:rFonts w:ascii="Calibri" w:hAnsi="Calibri"/>
                <w:b/>
                <w:color w:val="0D2B55"/>
                <w:sz w:val="18"/>
              </w:rPr>
              <w:t>CFM56-5B5/P</w:t>
            </w:r>
          </w:p>
        </w:tc>
        <w:tc>
          <w:tcPr>
            <w:tcW w:type="dxa" w:w="1728"/>
            <w:shd w:val="clear" w:color="auto" w:fill="E8EFF8"/>
          </w:tcPr>
          <w:p>
            <w:r>
              <w:rPr>
                <w:rFonts w:ascii="Calibri" w:hAnsi="Calibri"/>
                <w:b/>
                <w:color w:val="0D2B55"/>
                <w:sz w:val="18"/>
              </w:rPr>
              <w:t>2016</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Sending Party (Lessor)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Receiving Party (Lessee)</w:t>
            </w:r>
          </w:p>
        </w:tc>
        <w:tc>
          <w:tcPr>
            <w:tcW w:type="dxa" w:w="4752"/>
            <w:shd w:val="clear" w:color="auto" w:fill="FFFFFF"/>
          </w:tcPr>
          <w:p>
            <w:r>
              <w:rPr>
                <w:rFonts w:ascii="Calibri" w:hAnsi="Calibri"/>
                <w:sz w:val="18"/>
              </w:rPr>
              <w:t>Coastal Charter Services Ltd.</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WITHOUT PREJUDICE — STRICTLY CONFIDENTIAL  </w:t>
      </w:r>
    </w:p>
    <w:p>
      <w:r>
        <w:rPr>
          <w:rFonts w:ascii="Calibri" w:hAnsi="Calibri"/>
          <w:color w:val="666666"/>
          <w:sz w:val="20"/>
        </w:rPr>
        <w:t>Dated: 2022-11-01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shd w:val="clear" w:color="auto" w:fill="CC0000"/>
        <w:spacing w:after="240"/>
      </w:pPr>
      <w:r>
        <w:rPr>
          <w:rFonts w:ascii="Calibri" w:hAnsi="Calibri"/>
          <w:b/>
          <w:color w:val="FFFFFF"/>
          <w:sz w:val="20"/>
        </w:rPr>
        <w:t xml:space="preserve">  ⚠  THIS IS A FORMAL NOTICE OF DEFAULT REQUIRING IMMEDIATE ACTION  ⚠  </w:t>
      </w:r>
    </w:p>
    <w:p>
      <w:pPr>
        <w:spacing w:after="100"/>
      </w:pPr>
      <w:r>
        <w:rPr>
          <w:rFonts w:ascii="Calibri" w:hAnsi="Calibri"/>
          <w:i w:val="0"/>
          <w:sz w:val="20"/>
        </w:rPr>
        <w:t>Date: 2025-09-15</w:t>
      </w:r>
    </w:p>
    <w:p>
      <w:pPr>
        <w:spacing w:after="100"/>
      </w:pPr>
      <w:r>
        <w:rPr>
          <w:rFonts w:ascii="Calibri" w:hAnsi="Calibri"/>
          <w:i w:val="0"/>
          <w:sz w:val="20"/>
        </w:rPr>
        <w:t>To: Coastal Charter Services Ltd.</w:t>
      </w:r>
    </w:p>
    <w:p>
      <w:pPr>
        <w:spacing w:after="100"/>
      </w:pPr>
      <w:r>
        <w:rPr>
          <w:rFonts w:ascii="Calibri" w:hAnsi="Calibri"/>
          <w:i w:val="0"/>
          <w:sz w:val="20"/>
        </w:rPr>
        <w:t>From: Global Wing Finance BV</w:t>
      </w:r>
    </w:p>
    <w:p>
      <w:pPr>
        <w:spacing w:after="100"/>
      </w:pPr>
      <w:r>
        <w:rPr>
          <w:rFonts w:ascii="Calibri" w:hAnsi="Calibri"/>
          <w:i w:val="0"/>
          <w:sz w:val="20"/>
        </w:rPr>
        <w:t>Re: Lease Ref. ALA-2026-002 / Airbus A319-100 MSN 7203 Reg N67890 — NOTICE OF EVENT OF DEFAULT</w:t>
      </w:r>
    </w:p>
    <w:p>
      <w:r>
        <w:br w:type="page"/>
      </w:r>
    </w:p>
    <w:p>
      <w:pPr>
        <w:pStyle w:val="Heading2"/>
      </w:pPr>
      <w:r>
        <w:rPr>
          <w:rFonts w:ascii="Calibri" w:hAnsi="Calibri"/>
          <w:b/>
          <w:color w:val="0D2B55"/>
          <w:sz w:val="24"/>
        </w:rPr>
        <w:t>1. ARREARS OF BASE RENT AND MAINTENANCE RESERVES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52"/>
            <w:shd w:val="clear" w:color="auto" w:fill="0D2B55"/>
          </w:tcPr>
          <w:p>
            <w:pPr>
              <w:spacing w:before="40" w:after="40"/>
            </w:pPr>
            <w:r>
              <w:rPr>
                <w:rFonts w:ascii="Calibri" w:hAnsi="Calibri"/>
                <w:b/>
                <w:color w:val="FFFFFF"/>
                <w:sz w:val="18"/>
              </w:rPr>
              <w:t>Month</w:t>
            </w:r>
          </w:p>
        </w:tc>
        <w:tc>
          <w:tcPr>
            <w:tcW w:type="dxa" w:w="2160"/>
            <w:shd w:val="clear" w:color="auto" w:fill="0D2B55"/>
          </w:tcPr>
          <w:p>
            <w:pPr>
              <w:spacing w:before="40" w:after="40"/>
            </w:pPr>
            <w:r>
              <w:rPr>
                <w:rFonts w:ascii="Calibri" w:hAnsi="Calibri"/>
                <w:b/>
                <w:color w:val="FFFFFF"/>
                <w:sz w:val="18"/>
              </w:rPr>
              <w:t>Component</w:t>
            </w:r>
          </w:p>
        </w:tc>
        <w:tc>
          <w:tcPr>
            <w:tcW w:type="dxa" w:w="1296"/>
            <w:shd w:val="clear" w:color="auto" w:fill="0D2B55"/>
          </w:tcPr>
          <w:p>
            <w:pPr>
              <w:spacing w:before="40" w:after="40"/>
            </w:pPr>
            <w:r>
              <w:rPr>
                <w:rFonts w:ascii="Calibri" w:hAnsi="Calibri"/>
                <w:b/>
                <w:color w:val="FFFFFF"/>
                <w:sz w:val="18"/>
              </w:rPr>
              <w:t>Due Date</w:t>
            </w:r>
          </w:p>
        </w:tc>
        <w:tc>
          <w:tcPr>
            <w:tcW w:type="dxa" w:w="1296"/>
            <w:shd w:val="clear" w:color="auto" w:fill="0D2B55"/>
          </w:tcPr>
          <w:p>
            <w:pPr>
              <w:spacing w:before="40" w:after="40"/>
            </w:pPr>
            <w:r>
              <w:rPr>
                <w:rFonts w:ascii="Calibri" w:hAnsi="Calibri"/>
                <w:b/>
                <w:color w:val="FFFFFF"/>
                <w:sz w:val="18"/>
              </w:rPr>
              <w:t>Due (USD)</w:t>
            </w:r>
          </w:p>
        </w:tc>
        <w:tc>
          <w:tcPr>
            <w:tcW w:type="dxa" w:w="1296"/>
            <w:shd w:val="clear" w:color="auto" w:fill="0D2B55"/>
          </w:tcPr>
          <w:p>
            <w:pPr>
              <w:spacing w:before="40" w:after="40"/>
            </w:pPr>
            <w:r>
              <w:rPr>
                <w:rFonts w:ascii="Calibri" w:hAnsi="Calibri"/>
                <w:b/>
                <w:color w:val="FFFFFF"/>
                <w:sz w:val="18"/>
              </w:rPr>
              <w:t>Received (USD)</w:t>
            </w:r>
          </w:p>
        </w:tc>
        <w:tc>
          <w:tcPr>
            <w:tcW w:type="dxa" w:w="1296"/>
            <w:shd w:val="clear" w:color="auto" w:fill="0D2B55"/>
          </w:tcPr>
          <w:p>
            <w:pPr>
              <w:spacing w:before="40" w:after="40"/>
            </w:pPr>
            <w:r>
              <w:rPr>
                <w:rFonts w:ascii="Calibri" w:hAnsi="Calibri"/>
                <w:b/>
                <w:color w:val="FFFFFF"/>
                <w:sz w:val="18"/>
              </w:rPr>
              <w:t>Outstanding (USD)</w:t>
            </w:r>
          </w:p>
        </w:tc>
        <w:tc>
          <w:tcPr>
            <w:tcW w:type="dxa" w:w="1152"/>
            <w:shd w:val="clear" w:color="auto" w:fill="0D2B55"/>
          </w:tcPr>
          <w:p>
            <w:pPr>
              <w:spacing w:before="40" w:after="40"/>
            </w:pPr>
            <w:r>
              <w:rPr>
                <w:rFonts w:ascii="Calibri" w:hAnsi="Calibri"/>
                <w:b/>
                <w:color w:val="FFFFFF"/>
                <w:sz w:val="18"/>
              </w:rPr>
              <w:t>Days Overdue</w:t>
            </w:r>
          </w:p>
        </w:tc>
      </w:tr>
      <w:tr>
        <w:tc>
          <w:tcPr>
            <w:tcW w:type="dxa" w:w="1152"/>
            <w:shd w:val="clear" w:color="auto" w:fill="FFFFFF"/>
          </w:tcPr>
          <w:p>
            <w:pPr>
              <w:spacing w:before="20" w:after="20"/>
            </w:pPr>
            <w:r>
              <w:rPr>
                <w:rFonts w:ascii="Calibri" w:hAnsi="Calibri"/>
                <w:sz w:val="18"/>
              </w:rPr>
              <w:t>Jun 2025</w:t>
            </w:r>
          </w:p>
        </w:tc>
        <w:tc>
          <w:tcPr>
            <w:tcW w:type="dxa" w:w="2160"/>
            <w:shd w:val="clear" w:color="auto" w:fill="FFFFFF"/>
          </w:tcPr>
          <w:p>
            <w:pPr>
              <w:spacing w:before="20" w:after="20"/>
            </w:pPr>
            <w:r>
              <w:rPr>
                <w:rFonts w:ascii="Calibri" w:hAnsi="Calibri"/>
                <w:sz w:val="18"/>
              </w:rPr>
              <w:t>Base Rent</w:t>
            </w:r>
          </w:p>
        </w:tc>
        <w:tc>
          <w:tcPr>
            <w:tcW w:type="dxa" w:w="1296"/>
            <w:shd w:val="clear" w:color="auto" w:fill="FFFFFF"/>
          </w:tcPr>
          <w:p>
            <w:pPr>
              <w:spacing w:before="20" w:after="20"/>
            </w:pPr>
            <w:r>
              <w:rPr>
                <w:rFonts w:ascii="Calibri" w:hAnsi="Calibri"/>
                <w:sz w:val="18"/>
              </w:rPr>
              <w:t>2025-06-01</w:t>
            </w:r>
          </w:p>
        </w:tc>
        <w:tc>
          <w:tcPr>
            <w:tcW w:type="dxa" w:w="1296"/>
            <w:shd w:val="clear" w:color="auto" w:fill="FFFFFF"/>
          </w:tcPr>
          <w:p>
            <w:pPr>
              <w:spacing w:before="20" w:after="20"/>
            </w:pPr>
            <w:r>
              <w:rPr>
                <w:rFonts w:ascii="Calibri" w:hAnsi="Calibri"/>
                <w:sz w:val="18"/>
              </w:rPr>
              <w:t>295,000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295,000</w:t>
            </w:r>
          </w:p>
        </w:tc>
        <w:tc>
          <w:tcPr>
            <w:tcW w:type="dxa" w:w="1152"/>
            <w:shd w:val="clear" w:color="auto" w:fill="FFFFFF"/>
          </w:tcPr>
          <w:p>
            <w:pPr>
              <w:spacing w:before="20" w:after="20"/>
            </w:pPr>
            <w:r>
              <w:rPr>
                <w:rFonts w:ascii="Calibri" w:hAnsi="Calibri"/>
                <w:sz w:val="18"/>
              </w:rPr>
              <w:t>106</w:t>
            </w:r>
          </w:p>
        </w:tc>
      </w:tr>
      <w:tr>
        <w:tc>
          <w:tcPr>
            <w:tcW w:type="dxa" w:w="1152"/>
            <w:shd w:val="clear" w:color="auto" w:fill="F4F7FC"/>
          </w:tcPr>
          <w:p>
            <w:pPr>
              <w:spacing w:before="20" w:after="20"/>
            </w:pPr>
            <w:r>
              <w:rPr>
                <w:rFonts w:ascii="Calibri" w:hAnsi="Calibri"/>
                <w:sz w:val="18"/>
              </w:rPr>
              <w:t>Jun 2025</w:t>
            </w:r>
          </w:p>
        </w:tc>
        <w:tc>
          <w:tcPr>
            <w:tcW w:type="dxa" w:w="2160"/>
            <w:shd w:val="clear" w:color="auto" w:fill="F4F7FC"/>
          </w:tcPr>
          <w:p>
            <w:pPr>
              <w:spacing w:before="20" w:after="20"/>
            </w:pPr>
            <w:r>
              <w:rPr>
                <w:rFonts w:ascii="Calibri" w:hAnsi="Calibri"/>
                <w:sz w:val="18"/>
              </w:rPr>
              <w:t>Engine Perf MR – Eng 1</w:t>
            </w:r>
          </w:p>
        </w:tc>
        <w:tc>
          <w:tcPr>
            <w:tcW w:type="dxa" w:w="1296"/>
            <w:shd w:val="clear" w:color="auto" w:fill="F4F7FC"/>
          </w:tcPr>
          <w:p>
            <w:pPr>
              <w:spacing w:before="20" w:after="20"/>
            </w:pPr>
            <w:r>
              <w:rPr>
                <w:rFonts w:ascii="Calibri" w:hAnsi="Calibri"/>
                <w:sz w:val="18"/>
              </w:rPr>
              <w:t>2025-06-10</w:t>
            </w:r>
          </w:p>
        </w:tc>
        <w:tc>
          <w:tcPr>
            <w:tcW w:type="dxa" w:w="1296"/>
            <w:shd w:val="clear" w:color="auto" w:fill="F4F7FC"/>
          </w:tcPr>
          <w:p>
            <w:pPr>
              <w:spacing w:before="20" w:after="20"/>
            </w:pPr>
            <w:r>
              <w:rPr>
                <w:rFonts w:ascii="Calibri" w:hAnsi="Calibri"/>
                <w:sz w:val="18"/>
              </w:rPr>
              <w:t>44,800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44,800</w:t>
            </w:r>
          </w:p>
        </w:tc>
        <w:tc>
          <w:tcPr>
            <w:tcW w:type="dxa" w:w="1152"/>
            <w:shd w:val="clear" w:color="auto" w:fill="F4F7FC"/>
          </w:tcPr>
          <w:p>
            <w:pPr>
              <w:spacing w:before="20" w:after="20"/>
            </w:pPr>
            <w:r>
              <w:rPr>
                <w:rFonts w:ascii="Calibri" w:hAnsi="Calibri"/>
                <w:sz w:val="18"/>
              </w:rPr>
              <w:t>96</w:t>
            </w:r>
          </w:p>
        </w:tc>
      </w:tr>
      <w:tr>
        <w:tc>
          <w:tcPr>
            <w:tcW w:type="dxa" w:w="1152"/>
            <w:shd w:val="clear" w:color="auto" w:fill="FFFFFF"/>
          </w:tcPr>
          <w:p>
            <w:pPr>
              <w:spacing w:before="20" w:after="20"/>
            </w:pPr>
            <w:r>
              <w:rPr>
                <w:rFonts w:ascii="Calibri" w:hAnsi="Calibri"/>
                <w:sz w:val="18"/>
              </w:rPr>
              <w:t>Jun 2025</w:t>
            </w:r>
          </w:p>
        </w:tc>
        <w:tc>
          <w:tcPr>
            <w:tcW w:type="dxa" w:w="2160"/>
            <w:shd w:val="clear" w:color="auto" w:fill="FFFFFF"/>
          </w:tcPr>
          <w:p>
            <w:pPr>
              <w:spacing w:before="20" w:after="20"/>
            </w:pPr>
            <w:r>
              <w:rPr>
                <w:rFonts w:ascii="Calibri" w:hAnsi="Calibri"/>
                <w:sz w:val="18"/>
              </w:rPr>
              <w:t>Engine Perf MR – Eng 2</w:t>
            </w:r>
          </w:p>
        </w:tc>
        <w:tc>
          <w:tcPr>
            <w:tcW w:type="dxa" w:w="1296"/>
            <w:shd w:val="clear" w:color="auto" w:fill="FFFFFF"/>
          </w:tcPr>
          <w:p>
            <w:pPr>
              <w:spacing w:before="20" w:after="20"/>
            </w:pPr>
            <w:r>
              <w:rPr>
                <w:rFonts w:ascii="Calibri" w:hAnsi="Calibri"/>
                <w:sz w:val="18"/>
              </w:rPr>
              <w:t>2025-06-10</w:t>
            </w:r>
          </w:p>
        </w:tc>
        <w:tc>
          <w:tcPr>
            <w:tcW w:type="dxa" w:w="1296"/>
            <w:shd w:val="clear" w:color="auto" w:fill="FFFFFF"/>
          </w:tcPr>
          <w:p>
            <w:pPr>
              <w:spacing w:before="20" w:after="20"/>
            </w:pPr>
            <w:r>
              <w:rPr>
                <w:rFonts w:ascii="Calibri" w:hAnsi="Calibri"/>
                <w:sz w:val="18"/>
              </w:rPr>
              <w:t>44,520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44,520</w:t>
            </w:r>
          </w:p>
        </w:tc>
        <w:tc>
          <w:tcPr>
            <w:tcW w:type="dxa" w:w="1152"/>
            <w:shd w:val="clear" w:color="auto" w:fill="FFFFFF"/>
          </w:tcPr>
          <w:p>
            <w:pPr>
              <w:spacing w:before="20" w:after="20"/>
            </w:pPr>
            <w:r>
              <w:rPr>
                <w:rFonts w:ascii="Calibri" w:hAnsi="Calibri"/>
                <w:sz w:val="18"/>
              </w:rPr>
              <w:t>96</w:t>
            </w:r>
          </w:p>
        </w:tc>
      </w:tr>
      <w:tr>
        <w:tc>
          <w:tcPr>
            <w:tcW w:type="dxa" w:w="1152"/>
            <w:shd w:val="clear" w:color="auto" w:fill="F4F7FC"/>
          </w:tcPr>
          <w:p>
            <w:pPr>
              <w:spacing w:before="20" w:after="20"/>
            </w:pPr>
            <w:r>
              <w:rPr>
                <w:rFonts w:ascii="Calibri" w:hAnsi="Calibri"/>
                <w:sz w:val="18"/>
              </w:rPr>
              <w:t>Jun 2025</w:t>
            </w:r>
          </w:p>
        </w:tc>
        <w:tc>
          <w:tcPr>
            <w:tcW w:type="dxa" w:w="2160"/>
            <w:shd w:val="clear" w:color="auto" w:fill="F4F7FC"/>
          </w:tcPr>
          <w:p>
            <w:pPr>
              <w:spacing w:before="20" w:after="20"/>
            </w:pPr>
            <w:r>
              <w:rPr>
                <w:rFonts w:ascii="Calibri" w:hAnsi="Calibri"/>
                <w:sz w:val="18"/>
              </w:rPr>
              <w:t>Engine LLP MR – Eng 1</w:t>
            </w:r>
          </w:p>
        </w:tc>
        <w:tc>
          <w:tcPr>
            <w:tcW w:type="dxa" w:w="1296"/>
            <w:shd w:val="clear" w:color="auto" w:fill="F4F7FC"/>
          </w:tcPr>
          <w:p>
            <w:pPr>
              <w:spacing w:before="20" w:after="20"/>
            </w:pPr>
            <w:r>
              <w:rPr>
                <w:rFonts w:ascii="Calibri" w:hAnsi="Calibri"/>
                <w:sz w:val="18"/>
              </w:rPr>
              <w:t>2025-06-10</w:t>
            </w:r>
          </w:p>
        </w:tc>
        <w:tc>
          <w:tcPr>
            <w:tcW w:type="dxa" w:w="1296"/>
            <w:shd w:val="clear" w:color="auto" w:fill="F4F7FC"/>
          </w:tcPr>
          <w:p>
            <w:pPr>
              <w:spacing w:before="20" w:after="20"/>
            </w:pPr>
            <w:r>
              <w:rPr>
                <w:rFonts w:ascii="Calibri" w:hAnsi="Calibri"/>
                <w:sz w:val="18"/>
              </w:rPr>
              <w:t>89,725</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89,725</w:t>
            </w:r>
          </w:p>
        </w:tc>
        <w:tc>
          <w:tcPr>
            <w:tcW w:type="dxa" w:w="1152"/>
            <w:shd w:val="clear" w:color="auto" w:fill="F4F7FC"/>
          </w:tcPr>
          <w:p>
            <w:pPr>
              <w:spacing w:before="20" w:after="20"/>
            </w:pPr>
            <w:r>
              <w:rPr>
                <w:rFonts w:ascii="Calibri" w:hAnsi="Calibri"/>
                <w:sz w:val="18"/>
              </w:rPr>
              <w:t>96</w:t>
            </w:r>
          </w:p>
        </w:tc>
      </w:tr>
      <w:tr>
        <w:tc>
          <w:tcPr>
            <w:tcW w:type="dxa" w:w="1152"/>
            <w:shd w:val="clear" w:color="auto" w:fill="FFFFFF"/>
          </w:tcPr>
          <w:p>
            <w:pPr>
              <w:spacing w:before="20" w:after="20"/>
            </w:pPr>
            <w:r>
              <w:rPr>
                <w:rFonts w:ascii="Calibri" w:hAnsi="Calibri"/>
                <w:sz w:val="18"/>
              </w:rPr>
              <w:t>Jun 2025</w:t>
            </w:r>
          </w:p>
        </w:tc>
        <w:tc>
          <w:tcPr>
            <w:tcW w:type="dxa" w:w="2160"/>
            <w:shd w:val="clear" w:color="auto" w:fill="FFFFFF"/>
          </w:tcPr>
          <w:p>
            <w:pPr>
              <w:spacing w:before="20" w:after="20"/>
            </w:pPr>
            <w:r>
              <w:rPr>
                <w:rFonts w:ascii="Calibri" w:hAnsi="Calibri"/>
                <w:sz w:val="18"/>
              </w:rPr>
              <w:t>Engine LLP MR – Eng 2</w:t>
            </w:r>
          </w:p>
        </w:tc>
        <w:tc>
          <w:tcPr>
            <w:tcW w:type="dxa" w:w="1296"/>
            <w:shd w:val="clear" w:color="auto" w:fill="FFFFFF"/>
          </w:tcPr>
          <w:p>
            <w:pPr>
              <w:spacing w:before="20" w:after="20"/>
            </w:pPr>
            <w:r>
              <w:rPr>
                <w:rFonts w:ascii="Calibri" w:hAnsi="Calibri"/>
                <w:sz w:val="18"/>
              </w:rPr>
              <w:t>2025-06-10</w:t>
            </w:r>
          </w:p>
        </w:tc>
        <w:tc>
          <w:tcPr>
            <w:tcW w:type="dxa" w:w="1296"/>
            <w:shd w:val="clear" w:color="auto" w:fill="FFFFFF"/>
          </w:tcPr>
          <w:p>
            <w:pPr>
              <w:spacing w:before="20" w:after="20"/>
            </w:pPr>
            <w:r>
              <w:rPr>
                <w:rFonts w:ascii="Calibri" w:hAnsi="Calibri"/>
                <w:sz w:val="18"/>
              </w:rPr>
              <w:t>89,170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89,170</w:t>
            </w:r>
          </w:p>
        </w:tc>
        <w:tc>
          <w:tcPr>
            <w:tcW w:type="dxa" w:w="1152"/>
            <w:shd w:val="clear" w:color="auto" w:fill="FFFFFF"/>
          </w:tcPr>
          <w:p>
            <w:pPr>
              <w:spacing w:before="20" w:after="20"/>
            </w:pPr>
            <w:r>
              <w:rPr>
                <w:rFonts w:ascii="Calibri" w:hAnsi="Calibri"/>
                <w:sz w:val="18"/>
              </w:rPr>
              <w:t>96</w:t>
            </w:r>
          </w:p>
        </w:tc>
      </w:tr>
      <w:tr>
        <w:tc>
          <w:tcPr>
            <w:tcW w:type="dxa" w:w="1152"/>
            <w:shd w:val="clear" w:color="auto" w:fill="F4F7FC"/>
          </w:tcPr>
          <w:p>
            <w:pPr>
              <w:spacing w:before="20" w:after="20"/>
            </w:pPr>
            <w:r>
              <w:rPr>
                <w:rFonts w:ascii="Calibri" w:hAnsi="Calibri"/>
                <w:sz w:val="18"/>
              </w:rPr>
              <w:t>Jul 2025</w:t>
            </w:r>
          </w:p>
        </w:tc>
        <w:tc>
          <w:tcPr>
            <w:tcW w:type="dxa" w:w="2160"/>
            <w:shd w:val="clear" w:color="auto" w:fill="F4F7FC"/>
          </w:tcPr>
          <w:p>
            <w:pPr>
              <w:spacing w:before="20" w:after="20"/>
            </w:pPr>
            <w:r>
              <w:rPr>
                <w:rFonts w:ascii="Calibri" w:hAnsi="Calibri"/>
                <w:sz w:val="18"/>
              </w:rPr>
              <w:t>Base Rent</w:t>
            </w:r>
          </w:p>
        </w:tc>
        <w:tc>
          <w:tcPr>
            <w:tcW w:type="dxa" w:w="1296"/>
            <w:shd w:val="clear" w:color="auto" w:fill="F4F7FC"/>
          </w:tcPr>
          <w:p>
            <w:pPr>
              <w:spacing w:before="20" w:after="20"/>
            </w:pPr>
            <w:r>
              <w:rPr>
                <w:rFonts w:ascii="Calibri" w:hAnsi="Calibri"/>
                <w:sz w:val="18"/>
              </w:rPr>
              <w:t>2025-07-01</w:t>
            </w:r>
          </w:p>
        </w:tc>
        <w:tc>
          <w:tcPr>
            <w:tcW w:type="dxa" w:w="1296"/>
            <w:shd w:val="clear" w:color="auto" w:fill="F4F7FC"/>
          </w:tcPr>
          <w:p>
            <w:pPr>
              <w:spacing w:before="20" w:after="20"/>
            </w:pPr>
            <w:r>
              <w:rPr>
                <w:rFonts w:ascii="Calibri" w:hAnsi="Calibri"/>
                <w:sz w:val="18"/>
              </w:rPr>
              <w:t>295,000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295,000</w:t>
            </w:r>
          </w:p>
        </w:tc>
        <w:tc>
          <w:tcPr>
            <w:tcW w:type="dxa" w:w="1152"/>
            <w:shd w:val="clear" w:color="auto" w:fill="F4F7FC"/>
          </w:tcPr>
          <w:p>
            <w:pPr>
              <w:spacing w:before="20" w:after="20"/>
            </w:pPr>
            <w:r>
              <w:rPr>
                <w:rFonts w:ascii="Calibri" w:hAnsi="Calibri"/>
                <w:sz w:val="18"/>
              </w:rPr>
              <w:t>76</w:t>
            </w:r>
          </w:p>
        </w:tc>
      </w:tr>
      <w:tr>
        <w:tc>
          <w:tcPr>
            <w:tcW w:type="dxa" w:w="1152"/>
            <w:shd w:val="clear" w:color="auto" w:fill="FFFFFF"/>
          </w:tcPr>
          <w:p>
            <w:pPr>
              <w:spacing w:before="20" w:after="20"/>
            </w:pPr>
            <w:r>
              <w:rPr>
                <w:rFonts w:ascii="Calibri" w:hAnsi="Calibri"/>
                <w:sz w:val="18"/>
              </w:rPr>
              <w:t>Jul 2025</w:t>
            </w:r>
          </w:p>
        </w:tc>
        <w:tc>
          <w:tcPr>
            <w:tcW w:type="dxa" w:w="2160"/>
            <w:shd w:val="clear" w:color="auto" w:fill="FFFFFF"/>
          </w:tcPr>
          <w:p>
            <w:pPr>
              <w:spacing w:before="20" w:after="20"/>
            </w:pPr>
            <w:r>
              <w:rPr>
                <w:rFonts w:ascii="Calibri" w:hAnsi="Calibri"/>
                <w:sz w:val="18"/>
              </w:rPr>
              <w:t>All MR Components</w:t>
            </w:r>
          </w:p>
        </w:tc>
        <w:tc>
          <w:tcPr>
            <w:tcW w:type="dxa" w:w="1296"/>
            <w:shd w:val="clear" w:color="auto" w:fill="FFFFFF"/>
          </w:tcPr>
          <w:p>
            <w:pPr>
              <w:spacing w:before="20" w:after="20"/>
            </w:pPr>
            <w:r>
              <w:rPr>
                <w:rFonts w:ascii="Calibri" w:hAnsi="Calibri"/>
                <w:sz w:val="18"/>
              </w:rPr>
              <w:t>2025-07-10</w:t>
            </w:r>
          </w:p>
        </w:tc>
        <w:tc>
          <w:tcPr>
            <w:tcW w:type="dxa" w:w="1296"/>
            <w:shd w:val="clear" w:color="auto" w:fill="FFFFFF"/>
          </w:tcPr>
          <w:p>
            <w:pPr>
              <w:spacing w:before="20" w:after="20"/>
            </w:pPr>
            <w:r>
              <w:rPr>
                <w:rFonts w:ascii="Calibri" w:hAnsi="Calibri"/>
                <w:sz w:val="18"/>
              </w:rPr>
              <w:t>298,400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298,400</w:t>
            </w:r>
          </w:p>
        </w:tc>
        <w:tc>
          <w:tcPr>
            <w:tcW w:type="dxa" w:w="1152"/>
            <w:shd w:val="clear" w:color="auto" w:fill="FFFFFF"/>
          </w:tcPr>
          <w:p>
            <w:pPr>
              <w:spacing w:before="20" w:after="20"/>
            </w:pPr>
            <w:r>
              <w:rPr>
                <w:rFonts w:ascii="Calibri" w:hAnsi="Calibri"/>
                <w:sz w:val="18"/>
              </w:rPr>
              <w:t>66</w:t>
            </w:r>
          </w:p>
        </w:tc>
      </w:tr>
      <w:tr>
        <w:tc>
          <w:tcPr>
            <w:tcW w:type="dxa" w:w="1152"/>
            <w:shd w:val="clear" w:color="auto" w:fill="F4F7FC"/>
          </w:tcPr>
          <w:p>
            <w:pPr>
              <w:spacing w:before="20" w:after="20"/>
            </w:pPr>
            <w:r>
              <w:rPr>
                <w:rFonts w:ascii="Calibri" w:hAnsi="Calibri"/>
                <w:sz w:val="18"/>
              </w:rPr>
              <w:t>Aug 2025</w:t>
            </w:r>
          </w:p>
        </w:tc>
        <w:tc>
          <w:tcPr>
            <w:tcW w:type="dxa" w:w="2160"/>
            <w:shd w:val="clear" w:color="auto" w:fill="F4F7FC"/>
          </w:tcPr>
          <w:p>
            <w:pPr>
              <w:spacing w:before="20" w:after="20"/>
            </w:pPr>
            <w:r>
              <w:rPr>
                <w:rFonts w:ascii="Calibri" w:hAnsi="Calibri"/>
                <w:sz w:val="18"/>
              </w:rPr>
              <w:t>Base Rent</w:t>
            </w:r>
          </w:p>
        </w:tc>
        <w:tc>
          <w:tcPr>
            <w:tcW w:type="dxa" w:w="1296"/>
            <w:shd w:val="clear" w:color="auto" w:fill="F4F7FC"/>
          </w:tcPr>
          <w:p>
            <w:pPr>
              <w:spacing w:before="20" w:after="20"/>
            </w:pPr>
            <w:r>
              <w:rPr>
                <w:rFonts w:ascii="Calibri" w:hAnsi="Calibri"/>
                <w:sz w:val="18"/>
              </w:rPr>
              <w:t>2025-08-01</w:t>
            </w:r>
          </w:p>
        </w:tc>
        <w:tc>
          <w:tcPr>
            <w:tcW w:type="dxa" w:w="1296"/>
            <w:shd w:val="clear" w:color="auto" w:fill="F4F7FC"/>
          </w:tcPr>
          <w:p>
            <w:pPr>
              <w:spacing w:before="20" w:after="20"/>
            </w:pPr>
            <w:r>
              <w:rPr>
                <w:rFonts w:ascii="Calibri" w:hAnsi="Calibri"/>
                <w:sz w:val="18"/>
              </w:rPr>
              <w:t>295,000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295,000</w:t>
            </w:r>
          </w:p>
        </w:tc>
        <w:tc>
          <w:tcPr>
            <w:tcW w:type="dxa" w:w="1152"/>
            <w:shd w:val="clear" w:color="auto" w:fill="F4F7FC"/>
          </w:tcPr>
          <w:p>
            <w:pPr>
              <w:spacing w:before="20" w:after="20"/>
            </w:pPr>
            <w:r>
              <w:rPr>
                <w:rFonts w:ascii="Calibri" w:hAnsi="Calibri"/>
                <w:sz w:val="18"/>
              </w:rPr>
              <w:t>45</w:t>
            </w:r>
          </w:p>
        </w:tc>
      </w:tr>
      <w:tr>
        <w:tc>
          <w:tcPr>
            <w:tcW w:type="dxa" w:w="1152"/>
            <w:shd w:val="clear" w:color="auto" w:fill="FFFFFF"/>
          </w:tcPr>
          <w:p>
            <w:pPr>
              <w:spacing w:before="20" w:after="20"/>
            </w:pPr>
            <w:r>
              <w:rPr>
                <w:rFonts w:ascii="Calibri" w:hAnsi="Calibri"/>
                <w:sz w:val="18"/>
              </w:rPr>
              <w:t>Aug 2025</w:t>
            </w:r>
          </w:p>
        </w:tc>
        <w:tc>
          <w:tcPr>
            <w:tcW w:type="dxa" w:w="2160"/>
            <w:shd w:val="clear" w:color="auto" w:fill="FFFFFF"/>
          </w:tcPr>
          <w:p>
            <w:pPr>
              <w:spacing w:before="20" w:after="20"/>
            </w:pPr>
            <w:r>
              <w:rPr>
                <w:rFonts w:ascii="Calibri" w:hAnsi="Calibri"/>
                <w:sz w:val="18"/>
              </w:rPr>
              <w:t>All MR Components</w:t>
            </w:r>
          </w:p>
        </w:tc>
        <w:tc>
          <w:tcPr>
            <w:tcW w:type="dxa" w:w="1296"/>
            <w:shd w:val="clear" w:color="auto" w:fill="FFFFFF"/>
          </w:tcPr>
          <w:p>
            <w:pPr>
              <w:spacing w:before="20" w:after="20"/>
            </w:pPr>
            <w:r>
              <w:rPr>
                <w:rFonts w:ascii="Calibri" w:hAnsi="Calibri"/>
                <w:sz w:val="18"/>
              </w:rPr>
              <w:t>2025-08-10</w:t>
            </w:r>
          </w:p>
        </w:tc>
        <w:tc>
          <w:tcPr>
            <w:tcW w:type="dxa" w:w="1296"/>
            <w:shd w:val="clear" w:color="auto" w:fill="FFFFFF"/>
          </w:tcPr>
          <w:p>
            <w:pPr>
              <w:spacing w:before="20" w:after="20"/>
            </w:pPr>
            <w:r>
              <w:rPr>
                <w:rFonts w:ascii="Calibri" w:hAnsi="Calibri"/>
                <w:sz w:val="18"/>
              </w:rPr>
              <w:t>298,400</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298,400</w:t>
            </w:r>
          </w:p>
        </w:tc>
        <w:tc>
          <w:tcPr>
            <w:tcW w:type="dxa" w:w="1152"/>
            <w:shd w:val="clear" w:color="auto" w:fill="FFFFFF"/>
          </w:tcPr>
          <w:p>
            <w:pPr>
              <w:spacing w:before="20" w:after="20"/>
            </w:pPr>
            <w:r>
              <w:rPr>
                <w:rFonts w:ascii="Calibri" w:hAnsi="Calibri"/>
                <w:sz w:val="18"/>
              </w:rPr>
              <w:t>36</w:t>
            </w:r>
          </w:p>
        </w:tc>
      </w:tr>
      <w:tr>
        <w:tc>
          <w:tcPr>
            <w:tcW w:type="dxa" w:w="1152"/>
            <w:shd w:val="clear" w:color="auto" w:fill="F4F7FC"/>
          </w:tcPr>
          <w:p>
            <w:pPr>
              <w:spacing w:before="20" w:after="20"/>
            </w:pPr>
            <w:r>
              <w:rPr>
                <w:rFonts w:ascii="Calibri" w:hAnsi="Calibri"/>
                <w:sz w:val="18"/>
              </w:rPr>
              <w:t>Sep 2025</w:t>
            </w:r>
          </w:p>
        </w:tc>
        <w:tc>
          <w:tcPr>
            <w:tcW w:type="dxa" w:w="2160"/>
            <w:shd w:val="clear" w:color="auto" w:fill="F4F7FC"/>
          </w:tcPr>
          <w:p>
            <w:pPr>
              <w:spacing w:before="20" w:after="20"/>
            </w:pPr>
            <w:r>
              <w:rPr>
                <w:rFonts w:ascii="Calibri" w:hAnsi="Calibri"/>
                <w:sz w:val="18"/>
              </w:rPr>
              <w:t>Base Rent</w:t>
            </w:r>
          </w:p>
        </w:tc>
        <w:tc>
          <w:tcPr>
            <w:tcW w:type="dxa" w:w="1296"/>
            <w:shd w:val="clear" w:color="auto" w:fill="F4F7FC"/>
          </w:tcPr>
          <w:p>
            <w:pPr>
              <w:spacing w:before="20" w:after="20"/>
            </w:pPr>
            <w:r>
              <w:rPr>
                <w:rFonts w:ascii="Calibri" w:hAnsi="Calibri"/>
                <w:sz w:val="18"/>
              </w:rPr>
              <w:t>2025-09-01</w:t>
            </w:r>
          </w:p>
        </w:tc>
        <w:tc>
          <w:tcPr>
            <w:tcW w:type="dxa" w:w="1296"/>
            <w:shd w:val="clear" w:color="auto" w:fill="F4F7FC"/>
          </w:tcPr>
          <w:p>
            <w:pPr>
              <w:spacing w:before="20" w:after="20"/>
            </w:pPr>
            <w:r>
              <w:rPr>
                <w:rFonts w:ascii="Calibri" w:hAnsi="Calibri"/>
                <w:sz w:val="18"/>
              </w:rPr>
              <w:t>295,000</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295,000</w:t>
            </w:r>
          </w:p>
        </w:tc>
        <w:tc>
          <w:tcPr>
            <w:tcW w:type="dxa" w:w="1152"/>
            <w:shd w:val="clear" w:color="auto" w:fill="F4F7FC"/>
          </w:tcPr>
          <w:p>
            <w:pPr>
              <w:spacing w:before="20" w:after="20"/>
            </w:pPr>
            <w:r>
              <w:rPr>
                <w:rFonts w:ascii="Calibri" w:hAnsi="Calibri"/>
                <w:sz w:val="18"/>
              </w:rPr>
              <w:t>14</w:t>
            </w:r>
          </w:p>
        </w:tc>
      </w:tr>
    </w:tbl>
    <w:p/>
    <w:p>
      <w:pPr>
        <w:spacing w:after="100"/>
      </w:pPr>
      <w:r>
        <w:rPr>
          <w:rFonts w:ascii="Calibri" w:hAnsi="Calibri"/>
          <w:i w:val="0"/>
          <w:sz w:val="20"/>
        </w:rPr>
        <w:t>TOTAL ARREARS OF BASE RENT: USD 1,180,000</w:t>
      </w:r>
    </w:p>
    <w:p>
      <w:pPr>
        <w:spacing w:after="100"/>
      </w:pPr>
      <w:r>
        <w:rPr>
          <w:rFonts w:ascii="Calibri" w:hAnsi="Calibri"/>
          <w:i w:val="0"/>
          <w:sz w:val="20"/>
        </w:rPr>
        <w:t>TOTAL ARREARS OF MR: USD 1,234,560 (to be confirmed)</w:t>
      </w:r>
    </w:p>
    <w:p>
      <w:pPr>
        <w:spacing w:after="100"/>
      </w:pPr>
      <w:r>
        <w:rPr>
          <w:rFonts w:ascii="Calibri" w:hAnsi="Calibri"/>
          <w:i w:val="0"/>
          <w:sz w:val="20"/>
        </w:rPr>
        <w:t>LATE PAYMENT INTEREST (SOFR + 4.00%): USD 38,412</w:t>
      </w:r>
    </w:p>
    <w:p>
      <w:pPr>
        <w:spacing w:after="100"/>
      </w:pPr>
      <w:r>
        <w:rPr>
          <w:rFonts w:ascii="Calibri" w:hAnsi="Calibri"/>
          <w:i w:val="0"/>
          <w:sz w:val="20"/>
        </w:rPr>
        <w:t>TOTAL OUTSTANDING: APPROXIMATELY USD 2,452,972</w:t>
      </w:r>
    </w:p>
    <w:p>
      <w:pPr>
        <w:pStyle w:val="Heading2"/>
      </w:pPr>
      <w:r>
        <w:rPr>
          <w:rFonts w:ascii="Calibri" w:hAnsi="Calibri"/>
          <w:b/>
          <w:color w:val="0D2B55"/>
          <w:sz w:val="24"/>
        </w:rPr>
        <w:t>2. INSURANCE DEFAULT</w:t>
      </w:r>
    </w:p>
    <w:p>
      <w:pPr>
        <w:pBdr>
          <w:bottom w:val="single" w:sz="6" w:space="1" w:color="0D2B55"/>
        </w:pBdr>
        <w:spacing w:before="40" w:after="120"/>
      </w:pPr>
    </w:p>
    <w:p>
      <w:pPr>
        <w:spacing w:after="100"/>
      </w:pPr>
      <w:r>
        <w:rPr>
          <w:rFonts w:ascii="Calibri" w:hAnsi="Calibri"/>
          <w:i w:val="0"/>
          <w:sz w:val="20"/>
        </w:rPr>
        <w:t>Lessor has been advised that the Hull All Risks policy is subject to cancellation on 30 September 2025 for non-payment of premium (outstanding: USD 842,000). This constitutes an Event of Default per Article 20.1(c). DEMAND: Lessee must provide evidence of reinstatement by 17:00 NY time on 20 September 2025.</w:t>
      </w:r>
    </w:p>
    <w:p>
      <w:pPr>
        <w:pStyle w:val="Heading2"/>
      </w:pPr>
      <w:r>
        <w:rPr>
          <w:rFonts w:ascii="Calibri" w:hAnsi="Calibri"/>
          <w:b/>
          <w:color w:val="0D2B55"/>
          <w:sz w:val="24"/>
        </w:rPr>
        <w:t>3. MAINTENANCE DEFAULT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0D2B55"/>
          </w:tcPr>
          <w:p>
            <w:pPr>
              <w:spacing w:before="40" w:after="40"/>
            </w:pPr>
            <w:r>
              <w:rPr>
                <w:rFonts w:ascii="Calibri" w:hAnsi="Calibri"/>
                <w:b/>
                <w:color w:val="FFFFFF"/>
                <w:sz w:val="18"/>
              </w:rPr>
              <w:t>Ref</w:t>
            </w:r>
          </w:p>
        </w:tc>
        <w:tc>
          <w:tcPr>
            <w:tcW w:type="dxa" w:w="864"/>
            <w:shd w:val="clear" w:color="auto" w:fill="0D2B55"/>
          </w:tcPr>
          <w:p>
            <w:pPr>
              <w:spacing w:before="40" w:after="40"/>
            </w:pPr>
            <w:r>
              <w:rPr>
                <w:rFonts w:ascii="Calibri" w:hAnsi="Calibri"/>
                <w:b/>
                <w:color w:val="FFFFFF"/>
                <w:sz w:val="18"/>
              </w:rPr>
              <w:t>ATA</w:t>
            </w:r>
          </w:p>
        </w:tc>
        <w:tc>
          <w:tcPr>
            <w:tcW w:type="dxa" w:w="3600"/>
            <w:shd w:val="clear" w:color="auto" w:fill="0D2B55"/>
          </w:tcPr>
          <w:p>
            <w:pPr>
              <w:spacing w:before="40" w:after="40"/>
            </w:pPr>
            <w:r>
              <w:rPr>
                <w:rFonts w:ascii="Calibri" w:hAnsi="Calibri"/>
                <w:b/>
                <w:color w:val="FFFFFF"/>
                <w:sz w:val="18"/>
              </w:rPr>
              <w:t>Default</w:t>
            </w:r>
          </w:p>
        </w:tc>
        <w:tc>
          <w:tcPr>
            <w:tcW w:type="dxa" w:w="2304"/>
            <w:shd w:val="clear" w:color="auto" w:fill="0D2B55"/>
          </w:tcPr>
          <w:p>
            <w:pPr>
              <w:spacing w:before="40" w:after="40"/>
            </w:pPr>
            <w:r>
              <w:rPr>
                <w:rFonts w:ascii="Calibri" w:hAnsi="Calibri"/>
                <w:b/>
                <w:color w:val="FFFFFF"/>
                <w:sz w:val="18"/>
              </w:rPr>
              <w:t>Required Action</w:t>
            </w:r>
          </w:p>
        </w:tc>
        <w:tc>
          <w:tcPr>
            <w:tcW w:type="dxa" w:w="1296"/>
            <w:shd w:val="clear" w:color="auto" w:fill="0D2B55"/>
          </w:tcPr>
          <w:p>
            <w:pPr>
              <w:spacing w:before="40" w:after="40"/>
            </w:pPr>
            <w:r>
              <w:rPr>
                <w:rFonts w:ascii="Calibri" w:hAnsi="Calibri"/>
                <w:b/>
                <w:color w:val="FFFFFF"/>
                <w:sz w:val="18"/>
              </w:rPr>
              <w:t>Deadline</w:t>
            </w:r>
          </w:p>
        </w:tc>
      </w:tr>
      <w:tr>
        <w:tc>
          <w:tcPr>
            <w:tcW w:type="dxa" w:w="1008"/>
            <w:shd w:val="clear" w:color="auto" w:fill="FFFFFF"/>
          </w:tcPr>
          <w:p>
            <w:pPr>
              <w:spacing w:before="20" w:after="20"/>
            </w:pPr>
            <w:r>
              <w:rPr>
                <w:rFonts w:ascii="Calibri" w:hAnsi="Calibri"/>
                <w:sz w:val="18"/>
              </w:rPr>
              <w:t>MDEF-01</w:t>
            </w:r>
          </w:p>
        </w:tc>
        <w:tc>
          <w:tcPr>
            <w:tcW w:type="dxa" w:w="864"/>
            <w:shd w:val="clear" w:color="auto" w:fill="FFFFFF"/>
          </w:tcPr>
          <w:p>
            <w:pPr>
              <w:spacing w:before="20" w:after="20"/>
            </w:pPr>
            <w:r>
              <w:rPr>
                <w:rFonts w:ascii="Calibri" w:hAnsi="Calibri"/>
                <w:sz w:val="18"/>
              </w:rPr>
              <w:t>72</w:t>
            </w:r>
          </w:p>
        </w:tc>
        <w:tc>
          <w:tcPr>
            <w:tcW w:type="dxa" w:w="3600"/>
            <w:shd w:val="clear" w:color="auto" w:fill="FFFFFF"/>
          </w:tcPr>
          <w:p>
            <w:pPr>
              <w:spacing w:before="20" w:after="20"/>
            </w:pPr>
            <w:r>
              <w:rPr>
                <w:rFonts w:ascii="Calibri" w:hAnsi="Calibri"/>
                <w:sz w:val="18"/>
              </w:rPr>
              <w:t>Engine No.1 EGT margin at 17°C against lease minimum of 20°C — immediate shop visit planning required</w:t>
            </w:r>
          </w:p>
        </w:tc>
        <w:tc>
          <w:tcPr>
            <w:tcW w:type="dxa" w:w="2304"/>
            <w:shd w:val="clear" w:color="auto" w:fill="FFFFFF"/>
          </w:tcPr>
          <w:p>
            <w:pPr>
              <w:spacing w:before="20" w:after="20"/>
            </w:pPr>
            <w:r>
              <w:rPr>
                <w:rFonts w:ascii="Calibri" w:hAnsi="Calibri"/>
                <w:sz w:val="18"/>
              </w:rPr>
              <w:t>Submit engine shop visit plan to Lessor within 10 Business Days</w:t>
            </w:r>
          </w:p>
        </w:tc>
        <w:tc>
          <w:tcPr>
            <w:tcW w:type="dxa" w:w="1296"/>
            <w:shd w:val="clear" w:color="auto" w:fill="FFFFFF"/>
          </w:tcPr>
          <w:p>
            <w:pPr>
              <w:spacing w:before="20" w:after="20"/>
            </w:pPr>
            <w:r>
              <w:rPr>
                <w:rFonts w:ascii="Calibri" w:hAnsi="Calibri"/>
                <w:sz w:val="18"/>
              </w:rPr>
              <w:t>2025-09-29</w:t>
            </w:r>
          </w:p>
        </w:tc>
      </w:tr>
      <w:tr>
        <w:tc>
          <w:tcPr>
            <w:tcW w:type="dxa" w:w="1008"/>
            <w:shd w:val="clear" w:color="auto" w:fill="F4F7FC"/>
          </w:tcPr>
          <w:p>
            <w:pPr>
              <w:spacing w:before="20" w:after="20"/>
            </w:pPr>
            <w:r>
              <w:rPr>
                <w:rFonts w:ascii="Calibri" w:hAnsi="Calibri"/>
                <w:sz w:val="18"/>
              </w:rPr>
              <w:t>MDEF-02</w:t>
            </w:r>
          </w:p>
        </w:tc>
        <w:tc>
          <w:tcPr>
            <w:tcW w:type="dxa" w:w="864"/>
            <w:shd w:val="clear" w:color="auto" w:fill="F4F7FC"/>
          </w:tcPr>
          <w:p>
            <w:pPr>
              <w:spacing w:before="20" w:after="20"/>
            </w:pPr>
            <w:r>
              <w:rPr>
                <w:rFonts w:ascii="Calibri" w:hAnsi="Calibri"/>
                <w:sz w:val="18"/>
              </w:rPr>
              <w:t>05</w:t>
            </w:r>
          </w:p>
        </w:tc>
        <w:tc>
          <w:tcPr>
            <w:tcW w:type="dxa" w:w="3600"/>
            <w:shd w:val="clear" w:color="auto" w:fill="F4F7FC"/>
          </w:tcPr>
          <w:p>
            <w:pPr>
              <w:spacing w:before="20" w:after="20"/>
            </w:pPr>
            <w:r>
              <w:rPr>
                <w:rFonts w:ascii="Calibri" w:hAnsi="Calibri"/>
                <w:sz w:val="18"/>
              </w:rPr>
              <w:t>A-Check overdue by 12 days (last performed 601 FH ago against 600 FH interval)</w:t>
            </w:r>
          </w:p>
        </w:tc>
        <w:tc>
          <w:tcPr>
            <w:tcW w:type="dxa" w:w="2304"/>
            <w:shd w:val="clear" w:color="auto" w:fill="F4F7FC"/>
          </w:tcPr>
          <w:p>
            <w:pPr>
              <w:spacing w:before="20" w:after="20"/>
            </w:pPr>
            <w:r>
              <w:rPr>
                <w:rFonts w:ascii="Calibri" w:hAnsi="Calibri"/>
                <w:sz w:val="18"/>
              </w:rPr>
              <w:t>Ground Aircraft immediately; perform A-Check; advise completion</w:t>
            </w:r>
          </w:p>
        </w:tc>
        <w:tc>
          <w:tcPr>
            <w:tcW w:type="dxa" w:w="1296"/>
            <w:shd w:val="clear" w:color="auto" w:fill="F4F7FC"/>
          </w:tcPr>
          <w:p>
            <w:pPr>
              <w:spacing w:before="20" w:after="20"/>
            </w:pPr>
            <w:r>
              <w:rPr>
                <w:rFonts w:ascii="Calibri" w:hAnsi="Calibri"/>
                <w:sz w:val="18"/>
              </w:rPr>
              <w:t>Immediately</w:t>
            </w:r>
          </w:p>
        </w:tc>
      </w:tr>
      <w:tr>
        <w:tc>
          <w:tcPr>
            <w:tcW w:type="dxa" w:w="1008"/>
            <w:shd w:val="clear" w:color="auto" w:fill="FFFFFF"/>
          </w:tcPr>
          <w:p>
            <w:pPr>
              <w:spacing w:before="20" w:after="20"/>
            </w:pPr>
            <w:r>
              <w:rPr>
                <w:rFonts w:ascii="Calibri" w:hAnsi="Calibri"/>
                <w:sz w:val="18"/>
              </w:rPr>
              <w:t>MDEF-03</w:t>
            </w:r>
          </w:p>
        </w:tc>
        <w:tc>
          <w:tcPr>
            <w:tcW w:type="dxa" w:w="864"/>
            <w:shd w:val="clear" w:color="auto" w:fill="FFFFFF"/>
          </w:tcPr>
          <w:p>
            <w:pPr>
              <w:spacing w:before="20" w:after="20"/>
            </w:pPr>
            <w:r>
              <w:rPr>
                <w:rFonts w:ascii="Calibri" w:hAnsi="Calibri"/>
                <w:sz w:val="18"/>
              </w:rPr>
              <w:t>31</w:t>
            </w:r>
          </w:p>
        </w:tc>
        <w:tc>
          <w:tcPr>
            <w:tcW w:type="dxa" w:w="3600"/>
            <w:shd w:val="clear" w:color="auto" w:fill="FFFFFF"/>
          </w:tcPr>
          <w:p>
            <w:pPr>
              <w:spacing w:before="20" w:after="20"/>
            </w:pPr>
            <w:r>
              <w:rPr>
                <w:rFonts w:ascii="Calibri" w:hAnsi="Calibri"/>
                <w:sz w:val="18"/>
              </w:rPr>
              <w:t>AD 2025-18-004 TCAS II 7.1 upgrade (compliance required 31 Aug 2025) NOT INSTALLED</w:t>
            </w:r>
          </w:p>
        </w:tc>
        <w:tc>
          <w:tcPr>
            <w:tcW w:type="dxa" w:w="2304"/>
            <w:shd w:val="clear" w:color="auto" w:fill="FFFFFF"/>
          </w:tcPr>
          <w:p>
            <w:pPr>
              <w:spacing w:before="20" w:after="20"/>
            </w:pPr>
            <w:r>
              <w:rPr>
                <w:rFonts w:ascii="Calibri" w:hAnsi="Calibri"/>
                <w:sz w:val="18"/>
              </w:rPr>
              <w:t>Comply with AD immediately; provide proof of compliance</w:t>
            </w:r>
          </w:p>
        </w:tc>
        <w:tc>
          <w:tcPr>
            <w:tcW w:type="dxa" w:w="1296"/>
            <w:shd w:val="clear" w:color="auto" w:fill="FFFFFF"/>
          </w:tcPr>
          <w:p>
            <w:pPr>
              <w:spacing w:before="20" w:after="20"/>
            </w:pPr>
            <w:r>
              <w:rPr>
                <w:rFonts w:ascii="Calibri" w:hAnsi="Calibri"/>
                <w:sz w:val="18"/>
              </w:rPr>
              <w:t>Immediately</w:t>
            </w:r>
          </w:p>
        </w:tc>
      </w:tr>
      <w:tr>
        <w:tc>
          <w:tcPr>
            <w:tcW w:type="dxa" w:w="1008"/>
            <w:shd w:val="clear" w:color="auto" w:fill="F4F7FC"/>
          </w:tcPr>
          <w:p>
            <w:pPr>
              <w:spacing w:before="20" w:after="20"/>
            </w:pPr>
            <w:r>
              <w:rPr>
                <w:rFonts w:ascii="Calibri" w:hAnsi="Calibri"/>
                <w:sz w:val="18"/>
              </w:rPr>
              <w:t>MDEF-04</w:t>
            </w:r>
          </w:p>
        </w:tc>
        <w:tc>
          <w:tcPr>
            <w:tcW w:type="dxa" w:w="864"/>
            <w:shd w:val="clear" w:color="auto" w:fill="F4F7FC"/>
          </w:tcPr>
          <w:p>
            <w:pPr>
              <w:spacing w:before="20" w:after="20"/>
            </w:pPr>
            <w:r>
              <w:rPr>
                <w:rFonts w:ascii="Calibri" w:hAnsi="Calibri"/>
                <w:sz w:val="18"/>
              </w:rPr>
              <w:t>32</w:t>
            </w:r>
          </w:p>
        </w:tc>
        <w:tc>
          <w:tcPr>
            <w:tcW w:type="dxa" w:w="3600"/>
            <w:shd w:val="clear" w:color="auto" w:fill="F4F7FC"/>
          </w:tcPr>
          <w:p>
            <w:pPr>
              <w:spacing w:before="20" w:after="20"/>
            </w:pPr>
            <w:r>
              <w:rPr>
                <w:rFonts w:ascii="Calibri" w:hAnsi="Calibri"/>
                <w:sz w:val="18"/>
              </w:rPr>
              <w:t>NLG shock strut servicing overdue (interval 500 FH; last at 684 FH ago)</w:t>
            </w:r>
          </w:p>
        </w:tc>
        <w:tc>
          <w:tcPr>
            <w:tcW w:type="dxa" w:w="2304"/>
            <w:shd w:val="clear" w:color="auto" w:fill="F4F7FC"/>
          </w:tcPr>
          <w:p>
            <w:pPr>
              <w:spacing w:before="20" w:after="20"/>
            </w:pPr>
            <w:r>
              <w:rPr>
                <w:rFonts w:ascii="Calibri" w:hAnsi="Calibri"/>
                <w:sz w:val="18"/>
              </w:rPr>
              <w:t>Perform NLG shock strut service</w:t>
            </w:r>
          </w:p>
        </w:tc>
        <w:tc>
          <w:tcPr>
            <w:tcW w:type="dxa" w:w="1296"/>
            <w:shd w:val="clear" w:color="auto" w:fill="F4F7FC"/>
          </w:tcPr>
          <w:p>
            <w:pPr>
              <w:spacing w:before="20" w:after="20"/>
            </w:pPr>
            <w:r>
              <w:rPr>
                <w:rFonts w:ascii="Calibri" w:hAnsi="Calibri"/>
                <w:sz w:val="18"/>
              </w:rPr>
              <w:t>2025-09-18</w:t>
            </w:r>
          </w:p>
        </w:tc>
      </w:tr>
    </w:tbl>
    <w:p/>
    <w:p>
      <w:r>
        <w:br w:type="page"/>
      </w:r>
    </w:p>
    <w:p>
      <w:pPr>
        <w:pStyle w:val="Heading2"/>
      </w:pPr>
      <w:r>
        <w:rPr>
          <w:rFonts w:ascii="Calibri" w:hAnsi="Calibri"/>
          <w:b/>
          <w:color w:val="0D2B55"/>
          <w:sz w:val="24"/>
        </w:rPr>
        <w:t>4. LESSEE RESPONSE REQUIRED BY 22 SEPTEMBER 2025</w:t>
      </w:r>
    </w:p>
    <w:p>
      <w:pPr>
        <w:pBdr>
          <w:bottom w:val="single" w:sz="6" w:space="1" w:color="0D2B55"/>
        </w:pBdr>
        <w:spacing w:before="40" w:after="120"/>
      </w:pPr>
    </w:p>
    <w:p>
      <w:pPr>
        <w:spacing w:after="100"/>
      </w:pPr>
      <w:r>
        <w:rPr>
          <w:rFonts w:ascii="Calibri" w:hAnsi="Calibri"/>
          <w:i w:val="0"/>
          <w:sz w:val="20"/>
        </w:rPr>
        <w:t>Within five (5) Business Days of this Notice, Lessee must:</w:t>
      </w:r>
    </w:p>
    <w:p>
      <w:pPr>
        <w:spacing w:after="100"/>
        <w:ind w:left="432"/>
      </w:pPr>
      <w:r>
        <w:rPr>
          <w:rFonts w:ascii="Calibri" w:hAnsi="Calibri"/>
          <w:i w:val="0"/>
          <w:sz w:val="20"/>
        </w:rPr>
        <w:t>(a)  Pay all outstanding arrears in full together with all accrued interest;</w:t>
      </w:r>
    </w:p>
    <w:p>
      <w:pPr>
        <w:spacing w:after="100"/>
        <w:ind w:left="432"/>
      </w:pPr>
      <w:r>
        <w:rPr>
          <w:rFonts w:ascii="Calibri" w:hAnsi="Calibri"/>
          <w:i w:val="0"/>
          <w:sz w:val="20"/>
        </w:rPr>
        <w:t>(b)  Provide evidence of reinstatement of required insurance coverages;</w:t>
      </w:r>
    </w:p>
    <w:p>
      <w:pPr>
        <w:spacing w:after="100"/>
        <w:ind w:left="432"/>
      </w:pPr>
      <w:r>
        <w:rPr>
          <w:rFonts w:ascii="Calibri" w:hAnsi="Calibri"/>
          <w:i w:val="0"/>
          <w:sz w:val="20"/>
        </w:rPr>
        <w:t>(c)  Provide a written remediation plan for each maintenance default in Section 3; and</w:t>
      </w:r>
    </w:p>
    <w:p>
      <w:pPr>
        <w:spacing w:after="100"/>
        <w:ind w:left="432"/>
      </w:pPr>
      <w:r>
        <w:rPr>
          <w:rFonts w:ascii="Calibri" w:hAnsi="Calibri"/>
          <w:i w:val="0"/>
          <w:sz w:val="20"/>
        </w:rPr>
        <w:t>(d)  Provide a written explanation of the circumstances leading to these Events of Default.</w:t>
      </w:r>
    </w:p>
    <w:p>
      <w:pPr>
        <w:pStyle w:val="Heading2"/>
      </w:pPr>
      <w:r>
        <w:rPr>
          <w:rFonts w:ascii="Calibri" w:hAnsi="Calibri"/>
          <w:b/>
          <w:color w:val="0D2B55"/>
          <w:sz w:val="24"/>
        </w:rPr>
        <w:t>5. RESERVATION OF RIGHTS</w:t>
      </w:r>
    </w:p>
    <w:p>
      <w:pPr>
        <w:pBdr>
          <w:bottom w:val="single" w:sz="6" w:space="1" w:color="0D2B55"/>
        </w:pBdr>
        <w:spacing w:before="40" w:after="120"/>
      </w:pPr>
    </w:p>
    <w:p>
      <w:pPr>
        <w:spacing w:after="100"/>
      </w:pPr>
      <w:r>
        <w:rPr>
          <w:rFonts w:ascii="Calibri" w:hAnsi="Calibri"/>
          <w:i w:val="0"/>
          <w:sz w:val="20"/>
        </w:rPr>
        <w:t>Nothing in this Notice constitutes a waiver of any right or remedy. Lessor expressly reserves all rights including: (a) terminate the Lease with immediate effect; (b) repossess the Aircraft; (c) draw upon the Security Deposit; (d) claim all amounts due plus damages for the unexpired Lease Period; and (e) seek any other remedy available at law.</w:t>
      </w:r>
    </w:p>
    <w:p>
      <w:pPr>
        <w:spacing w:after="100"/>
      </w:pPr>
      <w:r>
        <w:rPr>
          <w:rFonts w:ascii="Calibri" w:hAnsi="Calibri"/>
          <w:i w:val="0"/>
          <w:sz w:val="20"/>
        </w:rPr>
      </w:r>
    </w:p>
    <w:p>
      <w:pPr>
        <w:spacing w:after="100"/>
      </w:pPr>
      <w:r>
        <w:rPr>
          <w:rFonts w:ascii="Calibri" w:hAnsi="Calibri"/>
          <w:i w:val="0"/>
          <w:sz w:val="20"/>
        </w:rPr>
        <w:t>For and on behalf of Global Wing Finance BV</w:t>
      </w:r>
    </w:p>
    <w:p>
      <w:pPr>
        <w:spacing w:after="100"/>
      </w:pPr>
      <w:r>
        <w:rPr>
          <w:rFonts w:ascii="Calibri" w:hAnsi="Calibri"/>
          <w:i w:val="0"/>
          <w:sz w:val="20"/>
        </w:rPr>
      </w:r>
    </w:p>
    <w:p>
      <w:pPr>
        <w:spacing w:after="100"/>
      </w:pPr>
      <w:r>
        <w:rPr>
          <w:rFonts w:ascii="Calibri" w:hAnsi="Calibri"/>
          <w:i w:val="0"/>
          <w:sz w:val="20"/>
        </w:rPr>
        <w:t>________________________</w:t>
      </w:r>
    </w:p>
    <w:p>
      <w:pPr>
        <w:spacing w:after="100"/>
      </w:pPr>
      <w:r>
        <w:rPr>
          <w:rFonts w:ascii="Calibri" w:hAnsi="Calibri"/>
          <w:i w:val="0"/>
          <w:sz w:val="20"/>
        </w:rPr>
        <w:t>Head of Portfolio Management</w:t>
      </w:r>
    </w:p>
    <w:p>
      <w:pPr>
        <w:spacing w:after="100"/>
      </w:pPr>
      <w:r>
        <w:rPr>
          <w:rFonts w:ascii="Calibri" w:hAnsi="Calibri"/>
          <w:i w:val="0"/>
          <w:sz w:val="20"/>
        </w:rPr>
        <w:t>Global Wing Finance BV</w:t>
      </w:r>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NOTICE OF DEFAULT</w:t>
          </w:r>
        </w:p>
      </w:tc>
      <w:tc>
        <w:tcPr>
          <w:tcW w:type="dxa" w:w="3120"/>
        </w:tcPr>
        <w:p>
          <w:pPr>
            <w:jc w:val="right"/>
          </w:pPr>
          <w:r>
            <w:rPr>
              <w:rFonts w:ascii="Calibri" w:hAnsi="Calibri"/>
              <w:color w:val="666666"/>
              <w:sz w:val="16"/>
            </w:rPr>
            <w:t>NOD-N67890-2025-02</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