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SUPPLEMENTAL RENT STATEMENT</w:t>
      </w:r>
    </w:p>
    <w:p>
      <w:pPr>
        <w:spacing w:after="120"/>
        <w:jc w:val="left"/>
      </w:pPr>
      <w:r>
        <w:rPr>
          <w:rFonts w:ascii="Calibri" w:hAnsi="Calibri"/>
          <w:b/>
          <w:color w:val="0D2B55"/>
          <w:sz w:val="44"/>
        </w:rPr>
        <w:t>Q3 2025 — Base Rent &amp; Maintenance Reserves</w:t>
      </w:r>
    </w:p>
    <w:p>
      <w:pPr>
        <w:spacing w:after="400"/>
      </w:pPr>
      <w:r>
        <w:rPr>
          <w:rFonts w:ascii="Calibri" w:hAnsi="Calibri"/>
          <w:color w:val="666666"/>
          <w:sz w:val="20"/>
        </w:rPr>
        <w:t>Reference: SRS-N34567-Q3-2025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INVOICE — PAYMENT DUE 20 OCT 2025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STATEMENT DETAILS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Statement Reference</w:t>
            </w:r>
          </w:p>
        </w:tc>
        <w:tc>
          <w:tcPr>
            <w:tcW w:type="dxa" w:w="6192"/>
            <w:shd w:val="clear" w:color="auto" w:fill="FFFFFF"/>
          </w:tcPr>
          <w:p>
            <w:pPr>
              <w:spacing w:before="20" w:after="20"/>
            </w:pPr>
            <w:r>
              <w:rPr>
                <w:rFonts w:ascii="Calibri" w:hAnsi="Calibri"/>
                <w:sz w:val="18"/>
              </w:rPr>
              <w:t>SRS-N34567-Q3-2025</w:t>
            </w:r>
          </w:p>
        </w:tc>
      </w:tr>
      <w:tr>
        <w:tc>
          <w:tcPr>
            <w:tcW w:type="dxa" w:w="3168"/>
            <w:shd w:val="clear" w:color="auto" w:fill="F4F7FC"/>
          </w:tcPr>
          <w:p>
            <w:pPr>
              <w:spacing w:before="20" w:after="20"/>
            </w:pPr>
            <w:r>
              <w:rPr>
                <w:rFonts w:ascii="Calibri" w:hAnsi="Calibri"/>
                <w:sz w:val="18"/>
              </w:rPr>
              <w:t>Aircraft</w:t>
            </w:r>
          </w:p>
        </w:tc>
        <w:tc>
          <w:tcPr>
            <w:tcW w:type="dxa" w:w="6192"/>
            <w:shd w:val="clear" w:color="auto" w:fill="F4F7FC"/>
          </w:tcPr>
          <w:p>
            <w:pPr>
              <w:spacing w:before="20" w:after="20"/>
            </w:pPr>
            <w:r>
              <w:rPr>
                <w:rFonts w:ascii="Calibri" w:hAnsi="Calibri"/>
                <w:sz w:val="18"/>
              </w:rPr>
              <w:t>Boeing 737-900ER / N34567 / MSN 44501</w:t>
            </w:r>
          </w:p>
        </w:tc>
      </w:tr>
      <w:tr>
        <w:tc>
          <w:tcPr>
            <w:tcW w:type="dxa" w:w="3168"/>
            <w:shd w:val="clear" w:color="auto" w:fill="FFFFFF"/>
          </w:tcPr>
          <w:p>
            <w:pPr>
              <w:spacing w:before="20" w:after="20"/>
            </w:pPr>
            <w:r>
              <w:rPr>
                <w:rFonts w:ascii="Calibri" w:hAnsi="Calibri"/>
                <w:sz w:val="18"/>
              </w:rPr>
              <w:t>Statement Period</w:t>
            </w:r>
          </w:p>
        </w:tc>
        <w:tc>
          <w:tcPr>
            <w:tcW w:type="dxa" w:w="6192"/>
            <w:shd w:val="clear" w:color="auto" w:fill="FFFFFF"/>
          </w:tcPr>
          <w:p>
            <w:pPr>
              <w:spacing w:before="20" w:after="20"/>
            </w:pPr>
            <w:r>
              <w:rPr>
                <w:rFonts w:ascii="Calibri" w:hAnsi="Calibri"/>
                <w:sz w:val="18"/>
              </w:rPr>
              <w:t>Q3 2025 (01 July – 30 September 2025)</w:t>
            </w:r>
          </w:p>
        </w:tc>
      </w:tr>
      <w:tr>
        <w:tc>
          <w:tcPr>
            <w:tcW w:type="dxa" w:w="3168"/>
            <w:shd w:val="clear" w:color="auto" w:fill="F4F7FC"/>
          </w:tcPr>
          <w:p>
            <w:pPr>
              <w:spacing w:before="20" w:after="20"/>
            </w:pPr>
            <w:r>
              <w:rPr>
                <w:rFonts w:ascii="Calibri" w:hAnsi="Calibri"/>
                <w:sz w:val="18"/>
              </w:rPr>
              <w:t>Statement Date</w:t>
            </w:r>
          </w:p>
        </w:tc>
        <w:tc>
          <w:tcPr>
            <w:tcW w:type="dxa" w:w="6192"/>
            <w:shd w:val="clear" w:color="auto" w:fill="F4F7FC"/>
          </w:tcPr>
          <w:p>
            <w:pPr>
              <w:spacing w:before="20" w:after="20"/>
            </w:pPr>
            <w:r>
              <w:rPr>
                <w:rFonts w:ascii="Calibri" w:hAnsi="Calibri"/>
                <w:sz w:val="18"/>
              </w:rPr>
              <w:t>2025-10-10</w:t>
            </w:r>
          </w:p>
        </w:tc>
      </w:tr>
      <w:tr>
        <w:tc>
          <w:tcPr>
            <w:tcW w:type="dxa" w:w="3168"/>
            <w:shd w:val="clear" w:color="auto" w:fill="FFFFFF"/>
          </w:tcPr>
          <w:p>
            <w:pPr>
              <w:spacing w:before="20" w:after="20"/>
            </w:pPr>
            <w:r>
              <w:rPr>
                <w:rFonts w:ascii="Calibri" w:hAnsi="Calibri"/>
                <w:sz w:val="18"/>
              </w:rPr>
              <w:t>Payment Due</w:t>
            </w:r>
          </w:p>
        </w:tc>
        <w:tc>
          <w:tcPr>
            <w:tcW w:type="dxa" w:w="6192"/>
            <w:shd w:val="clear" w:color="auto" w:fill="FFFFFF"/>
          </w:tcPr>
          <w:p>
            <w:pPr>
              <w:spacing w:before="20" w:after="20"/>
            </w:pPr>
            <w:r>
              <w:rPr>
                <w:rFonts w:ascii="Calibri" w:hAnsi="Calibri"/>
                <w:sz w:val="18"/>
              </w:rPr>
              <w:t>2025-10-20</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Aero Capital Finance Ltd.</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Apex Continental Airlines</w:t>
            </w:r>
          </w:p>
        </w:tc>
      </w:tr>
      <w:tr>
        <w:tc>
          <w:tcPr>
            <w:tcW w:type="dxa" w:w="3168"/>
            <w:shd w:val="clear" w:color="auto" w:fill="F4F7FC"/>
          </w:tcPr>
          <w:p>
            <w:pPr>
              <w:spacing w:before="20" w:after="20"/>
            </w:pPr>
            <w:r>
              <w:rPr>
                <w:rFonts w:ascii="Calibri" w:hAnsi="Calibri"/>
                <w:sz w:val="18"/>
              </w:rPr>
              <w:t>Lease Reference</w:t>
            </w:r>
          </w:p>
        </w:tc>
        <w:tc>
          <w:tcPr>
            <w:tcW w:type="dxa" w:w="6192"/>
            <w:shd w:val="clear" w:color="auto" w:fill="F4F7FC"/>
          </w:tcPr>
          <w:p>
            <w:pPr>
              <w:spacing w:before="20" w:after="20"/>
            </w:pPr>
            <w:r>
              <w:rPr>
                <w:rFonts w:ascii="Calibri" w:hAnsi="Calibri"/>
                <w:sz w:val="18"/>
              </w:rPr>
              <w:t>ALA-2025-001</w:t>
            </w:r>
          </w:p>
        </w:tc>
      </w:tr>
    </w:tbl>
    <w:p/>
    <w:p>
      <w:pPr>
        <w:pStyle w:val="Heading2"/>
      </w:pPr>
      <w:r>
        <w:rPr>
          <w:rFonts w:ascii="Calibri" w:hAnsi="Calibri"/>
          <w:b/>
          <w:color w:val="0D2B55"/>
          <w:sz w:val="24"/>
        </w:rPr>
        <w:t>2. UTILISATION — Q3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Month</w:t>
            </w:r>
          </w:p>
        </w:tc>
        <w:tc>
          <w:tcPr>
            <w:tcW w:type="dxa" w:w="2016"/>
            <w:shd w:val="clear" w:color="auto" w:fill="0D2B55"/>
          </w:tcPr>
          <w:p>
            <w:pPr>
              <w:spacing w:before="40" w:after="40"/>
            </w:pPr>
            <w:r>
              <w:rPr>
                <w:rFonts w:ascii="Calibri" w:hAnsi="Calibri"/>
                <w:b/>
                <w:color w:val="FFFFFF"/>
                <w:sz w:val="18"/>
              </w:rPr>
              <w:t>Flight Hours</w:t>
            </w:r>
          </w:p>
        </w:tc>
        <w:tc>
          <w:tcPr>
            <w:tcW w:type="dxa" w:w="2016"/>
            <w:shd w:val="clear" w:color="auto" w:fill="0D2B55"/>
          </w:tcPr>
          <w:p>
            <w:pPr>
              <w:spacing w:before="40" w:after="40"/>
            </w:pPr>
            <w:r>
              <w:rPr>
                <w:rFonts w:ascii="Calibri" w:hAnsi="Calibri"/>
                <w:b/>
                <w:color w:val="FFFFFF"/>
                <w:sz w:val="18"/>
              </w:rPr>
              <w:t>Flight Cycles</w:t>
            </w:r>
          </w:p>
        </w:tc>
        <w:tc>
          <w:tcPr>
            <w:tcW w:type="dxa" w:w="2016"/>
            <w:shd w:val="clear" w:color="auto" w:fill="0D2B55"/>
          </w:tcPr>
          <w:p>
            <w:pPr>
              <w:spacing w:before="40" w:after="40"/>
            </w:pPr>
            <w:r>
              <w:rPr>
                <w:rFonts w:ascii="Calibri" w:hAnsi="Calibri"/>
                <w:b/>
                <w:color w:val="FFFFFF"/>
                <w:sz w:val="18"/>
              </w:rPr>
              <w:t>APU Hours</w:t>
            </w:r>
          </w:p>
        </w:tc>
        <w:tc>
          <w:tcPr>
            <w:tcW w:type="dxa" w:w="2160"/>
            <w:shd w:val="clear" w:color="auto" w:fill="0D2B55"/>
          </w:tcPr>
          <w:p>
            <w:pPr>
              <w:spacing w:before="40" w:after="40"/>
            </w:pPr>
            <w:r>
              <w:rPr>
                <w:rFonts w:ascii="Calibri" w:hAnsi="Calibri"/>
                <w:b/>
                <w:color w:val="FFFFFF"/>
                <w:sz w:val="18"/>
              </w:rPr>
              <w:t>Sectors</w:t>
            </w:r>
          </w:p>
        </w:tc>
      </w:tr>
      <w:tr>
        <w:tc>
          <w:tcPr>
            <w:tcW w:type="dxa" w:w="2592"/>
            <w:shd w:val="clear" w:color="auto" w:fill="FFFFFF"/>
          </w:tcPr>
          <w:p>
            <w:pPr>
              <w:spacing w:before="20" w:after="20"/>
            </w:pPr>
            <w:r>
              <w:rPr>
                <w:rFonts w:ascii="Calibri" w:hAnsi="Calibri"/>
                <w:sz w:val="18"/>
              </w:rPr>
              <w:t>July 2025</w:t>
            </w:r>
          </w:p>
        </w:tc>
        <w:tc>
          <w:tcPr>
            <w:tcW w:type="dxa" w:w="2016"/>
            <w:shd w:val="clear" w:color="auto" w:fill="FFFFFF"/>
          </w:tcPr>
          <w:p>
            <w:pPr>
              <w:spacing w:before="20" w:after="20"/>
            </w:pPr>
            <w:r>
              <w:rPr>
                <w:rFonts w:ascii="Calibri" w:hAnsi="Calibri"/>
                <w:sz w:val="18"/>
              </w:rPr>
              <w:t>482</w:t>
            </w:r>
          </w:p>
        </w:tc>
        <w:tc>
          <w:tcPr>
            <w:tcW w:type="dxa" w:w="2016"/>
            <w:shd w:val="clear" w:color="auto" w:fill="FFFFFF"/>
          </w:tcPr>
          <w:p>
            <w:pPr>
              <w:spacing w:before="20" w:after="20"/>
            </w:pPr>
            <w:r>
              <w:rPr>
                <w:rFonts w:ascii="Calibri" w:hAnsi="Calibri"/>
                <w:sz w:val="18"/>
              </w:rPr>
              <w:t>341</w:t>
            </w:r>
          </w:p>
        </w:tc>
        <w:tc>
          <w:tcPr>
            <w:tcW w:type="dxa" w:w="2016"/>
            <w:shd w:val="clear" w:color="auto" w:fill="FFFFFF"/>
          </w:tcPr>
          <w:p>
            <w:pPr>
              <w:spacing w:before="20" w:after="20"/>
            </w:pPr>
            <w:r>
              <w:rPr>
                <w:rFonts w:ascii="Calibri" w:hAnsi="Calibri"/>
                <w:sz w:val="18"/>
              </w:rPr>
              <w:t>68</w:t>
            </w:r>
          </w:p>
        </w:tc>
        <w:tc>
          <w:tcPr>
            <w:tcW w:type="dxa" w:w="2160"/>
            <w:shd w:val="clear" w:color="auto" w:fill="FFFFFF"/>
          </w:tcPr>
          <w:p>
            <w:pPr>
              <w:spacing w:before="20" w:after="20"/>
            </w:pPr>
            <w:r>
              <w:rPr>
                <w:rFonts w:ascii="Calibri" w:hAnsi="Calibri"/>
                <w:sz w:val="18"/>
              </w:rPr>
              <w:t>341</w:t>
            </w:r>
          </w:p>
        </w:tc>
      </w:tr>
      <w:tr>
        <w:tc>
          <w:tcPr>
            <w:tcW w:type="dxa" w:w="2592"/>
            <w:shd w:val="clear" w:color="auto" w:fill="F4F7FC"/>
          </w:tcPr>
          <w:p>
            <w:pPr>
              <w:spacing w:before="20" w:after="20"/>
            </w:pPr>
            <w:r>
              <w:rPr>
                <w:rFonts w:ascii="Calibri" w:hAnsi="Calibri"/>
                <w:sz w:val="18"/>
              </w:rPr>
              <w:t>August 2025</w:t>
            </w:r>
          </w:p>
        </w:tc>
        <w:tc>
          <w:tcPr>
            <w:tcW w:type="dxa" w:w="2016"/>
            <w:shd w:val="clear" w:color="auto" w:fill="F4F7FC"/>
          </w:tcPr>
          <w:p>
            <w:pPr>
              <w:spacing w:before="20" w:after="20"/>
            </w:pPr>
            <w:r>
              <w:rPr>
                <w:rFonts w:ascii="Calibri" w:hAnsi="Calibri"/>
                <w:sz w:val="18"/>
              </w:rPr>
              <w:t>511</w:t>
            </w:r>
          </w:p>
        </w:tc>
        <w:tc>
          <w:tcPr>
            <w:tcW w:type="dxa" w:w="2016"/>
            <w:shd w:val="clear" w:color="auto" w:fill="F4F7FC"/>
          </w:tcPr>
          <w:p>
            <w:pPr>
              <w:spacing w:before="20" w:after="20"/>
            </w:pPr>
            <w:r>
              <w:rPr>
                <w:rFonts w:ascii="Calibri" w:hAnsi="Calibri"/>
                <w:sz w:val="18"/>
              </w:rPr>
              <w:t>362</w:t>
            </w:r>
          </w:p>
        </w:tc>
        <w:tc>
          <w:tcPr>
            <w:tcW w:type="dxa" w:w="2016"/>
            <w:shd w:val="clear" w:color="auto" w:fill="F4F7FC"/>
          </w:tcPr>
          <w:p>
            <w:pPr>
              <w:spacing w:before="20" w:after="20"/>
            </w:pPr>
            <w:r>
              <w:rPr>
                <w:rFonts w:ascii="Calibri" w:hAnsi="Calibri"/>
                <w:sz w:val="18"/>
              </w:rPr>
              <w:t>74</w:t>
            </w:r>
          </w:p>
        </w:tc>
        <w:tc>
          <w:tcPr>
            <w:tcW w:type="dxa" w:w="2160"/>
            <w:shd w:val="clear" w:color="auto" w:fill="F4F7FC"/>
          </w:tcPr>
          <w:p>
            <w:pPr>
              <w:spacing w:before="20" w:after="20"/>
            </w:pPr>
            <w:r>
              <w:rPr>
                <w:rFonts w:ascii="Calibri" w:hAnsi="Calibri"/>
                <w:sz w:val="18"/>
              </w:rPr>
              <w:t>362</w:t>
            </w:r>
          </w:p>
        </w:tc>
      </w:tr>
      <w:tr>
        <w:tc>
          <w:tcPr>
            <w:tcW w:type="dxa" w:w="2592"/>
            <w:shd w:val="clear" w:color="auto" w:fill="FFFFFF"/>
          </w:tcPr>
          <w:p>
            <w:pPr>
              <w:spacing w:before="20" w:after="20"/>
            </w:pPr>
            <w:r>
              <w:rPr>
                <w:rFonts w:ascii="Calibri" w:hAnsi="Calibri"/>
                <w:sz w:val="18"/>
              </w:rPr>
              <w:t>September 2025</w:t>
            </w:r>
          </w:p>
        </w:tc>
        <w:tc>
          <w:tcPr>
            <w:tcW w:type="dxa" w:w="2016"/>
            <w:shd w:val="clear" w:color="auto" w:fill="FFFFFF"/>
          </w:tcPr>
          <w:p>
            <w:pPr>
              <w:spacing w:before="20" w:after="20"/>
            </w:pPr>
            <w:r>
              <w:rPr>
                <w:rFonts w:ascii="Calibri" w:hAnsi="Calibri"/>
                <w:sz w:val="18"/>
              </w:rPr>
              <w:t>476</w:t>
            </w:r>
          </w:p>
        </w:tc>
        <w:tc>
          <w:tcPr>
            <w:tcW w:type="dxa" w:w="2016"/>
            <w:shd w:val="clear" w:color="auto" w:fill="FFFFFF"/>
          </w:tcPr>
          <w:p>
            <w:pPr>
              <w:spacing w:before="20" w:after="20"/>
            </w:pPr>
            <w:r>
              <w:rPr>
                <w:rFonts w:ascii="Calibri" w:hAnsi="Calibri"/>
                <w:sz w:val="18"/>
              </w:rPr>
              <w:t>337</w:t>
            </w:r>
          </w:p>
        </w:tc>
        <w:tc>
          <w:tcPr>
            <w:tcW w:type="dxa" w:w="2016"/>
            <w:shd w:val="clear" w:color="auto" w:fill="FFFFFF"/>
          </w:tcPr>
          <w:p>
            <w:pPr>
              <w:spacing w:before="20" w:after="20"/>
            </w:pPr>
            <w:r>
              <w:rPr>
                <w:rFonts w:ascii="Calibri" w:hAnsi="Calibri"/>
                <w:sz w:val="18"/>
              </w:rPr>
              <w:t>71</w:t>
            </w:r>
          </w:p>
        </w:tc>
        <w:tc>
          <w:tcPr>
            <w:tcW w:type="dxa" w:w="2160"/>
            <w:shd w:val="clear" w:color="auto" w:fill="FFFFFF"/>
          </w:tcPr>
          <w:p>
            <w:pPr>
              <w:spacing w:before="20" w:after="20"/>
            </w:pPr>
            <w:r>
              <w:rPr>
                <w:rFonts w:ascii="Calibri" w:hAnsi="Calibri"/>
                <w:sz w:val="18"/>
              </w:rPr>
              <w:t>337</w:t>
            </w:r>
          </w:p>
        </w:tc>
      </w:tr>
      <w:tr>
        <w:tc>
          <w:tcPr>
            <w:tcW w:type="dxa" w:w="2592"/>
            <w:shd w:val="clear" w:color="auto" w:fill="F4F7FC"/>
          </w:tcPr>
          <w:p>
            <w:pPr>
              <w:spacing w:before="20" w:after="20"/>
            </w:pPr>
            <w:r>
              <w:rPr>
                <w:rFonts w:ascii="Calibri" w:hAnsi="Calibri"/>
                <w:sz w:val="18"/>
              </w:rPr>
              <w:t>Q3 2025 TOTAL</w:t>
            </w:r>
          </w:p>
        </w:tc>
        <w:tc>
          <w:tcPr>
            <w:tcW w:type="dxa" w:w="2016"/>
            <w:shd w:val="clear" w:color="auto" w:fill="F4F7FC"/>
          </w:tcPr>
          <w:p>
            <w:pPr>
              <w:spacing w:before="20" w:after="20"/>
            </w:pPr>
            <w:r>
              <w:rPr>
                <w:rFonts w:ascii="Calibri" w:hAnsi="Calibri"/>
                <w:sz w:val="18"/>
              </w:rPr>
              <w:t>1,469</w:t>
            </w:r>
          </w:p>
        </w:tc>
        <w:tc>
          <w:tcPr>
            <w:tcW w:type="dxa" w:w="2016"/>
            <w:shd w:val="clear" w:color="auto" w:fill="F4F7FC"/>
          </w:tcPr>
          <w:p>
            <w:pPr>
              <w:spacing w:before="20" w:after="20"/>
            </w:pPr>
            <w:r>
              <w:rPr>
                <w:rFonts w:ascii="Calibri" w:hAnsi="Calibri"/>
                <w:sz w:val="18"/>
              </w:rPr>
              <w:t>1,040</w:t>
            </w:r>
          </w:p>
        </w:tc>
        <w:tc>
          <w:tcPr>
            <w:tcW w:type="dxa" w:w="2016"/>
            <w:shd w:val="clear" w:color="auto" w:fill="F4F7FC"/>
          </w:tcPr>
          <w:p>
            <w:pPr>
              <w:spacing w:before="20" w:after="20"/>
            </w:pPr>
            <w:r>
              <w:rPr>
                <w:rFonts w:ascii="Calibri" w:hAnsi="Calibri"/>
                <w:sz w:val="18"/>
              </w:rPr>
              <w:t>213</w:t>
            </w:r>
          </w:p>
        </w:tc>
        <w:tc>
          <w:tcPr>
            <w:tcW w:type="dxa" w:w="2160"/>
            <w:shd w:val="clear" w:color="auto" w:fill="F4F7FC"/>
          </w:tcPr>
          <w:p>
            <w:pPr>
              <w:spacing w:before="20" w:after="20"/>
            </w:pPr>
            <w:r>
              <w:rPr>
                <w:rFonts w:ascii="Calibri" w:hAnsi="Calibri"/>
                <w:sz w:val="18"/>
              </w:rPr>
              <w:t>1,040</w:t>
            </w:r>
          </w:p>
        </w:tc>
      </w:tr>
      <w:tr>
        <w:tc>
          <w:tcPr>
            <w:tcW w:type="dxa" w:w="2592"/>
            <w:shd w:val="clear" w:color="auto" w:fill="FFFFFF"/>
          </w:tcPr>
          <w:p>
            <w:pPr>
              <w:spacing w:before="20" w:after="20"/>
            </w:pPr>
            <w:r>
              <w:rPr>
                <w:rFonts w:ascii="Calibri" w:hAnsi="Calibri"/>
                <w:sz w:val="18"/>
              </w:rPr>
              <w:t>Cumulative (since delivery)</w:t>
            </w:r>
          </w:p>
        </w:tc>
        <w:tc>
          <w:tcPr>
            <w:tcW w:type="dxa" w:w="2016"/>
            <w:shd w:val="clear" w:color="auto" w:fill="FFFFFF"/>
          </w:tcPr>
          <w:p>
            <w:pPr>
              <w:spacing w:before="20" w:after="20"/>
            </w:pPr>
            <w:r>
              <w:rPr>
                <w:rFonts w:ascii="Calibri" w:hAnsi="Calibri"/>
                <w:sz w:val="18"/>
              </w:rPr>
              <w:t>14,822</w:t>
            </w:r>
          </w:p>
        </w:tc>
        <w:tc>
          <w:tcPr>
            <w:tcW w:type="dxa" w:w="2016"/>
            <w:shd w:val="clear" w:color="auto" w:fill="FFFFFF"/>
          </w:tcPr>
          <w:p>
            <w:pPr>
              <w:spacing w:before="20" w:after="20"/>
            </w:pPr>
            <w:r>
              <w:rPr>
                <w:rFonts w:ascii="Calibri" w:hAnsi="Calibri"/>
                <w:sz w:val="18"/>
              </w:rPr>
              <w:t>10,504</w:t>
            </w:r>
          </w:p>
        </w:tc>
        <w:tc>
          <w:tcPr>
            <w:tcW w:type="dxa" w:w="2016"/>
            <w:shd w:val="clear" w:color="auto" w:fill="FFFFFF"/>
          </w:tcPr>
          <w:p>
            <w:pPr>
              <w:spacing w:before="20" w:after="20"/>
            </w:pPr>
            <w:r>
              <w:rPr>
                <w:rFonts w:ascii="Calibri" w:hAnsi="Calibri"/>
                <w:sz w:val="18"/>
              </w:rPr>
              <w:t>2,184</w:t>
            </w:r>
          </w:p>
        </w:tc>
        <w:tc>
          <w:tcPr>
            <w:tcW w:type="dxa" w:w="2160"/>
            <w:shd w:val="clear" w:color="auto" w:fill="FFFFFF"/>
          </w:tcPr>
          <w:p>
            <w:pPr>
              <w:spacing w:before="20" w:after="20"/>
            </w:pPr>
            <w:r>
              <w:rPr>
                <w:rFonts w:ascii="Calibri" w:hAnsi="Calibri"/>
                <w:sz w:val="18"/>
              </w:rPr>
              <w:t>10,504</w:t>
            </w:r>
          </w:p>
        </w:tc>
      </w:tr>
    </w:tbl>
    <w:p/>
    <w:p>
      <w:r>
        <w:br w:type="page"/>
      </w:r>
    </w:p>
    <w:p>
      <w:pPr>
        <w:pStyle w:val="Heading2"/>
      </w:pPr>
      <w:r>
        <w:rPr>
          <w:rFonts w:ascii="Calibri" w:hAnsi="Calibri"/>
          <w:b/>
          <w:color w:val="0D2B55"/>
          <w:sz w:val="24"/>
        </w:rPr>
        <w:t>3. MAINTENANCE RESERVE CALCULATION — Q3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0D2B55"/>
          </w:tcPr>
          <w:p>
            <w:pPr>
              <w:spacing w:before="40" w:after="40"/>
            </w:pPr>
            <w:r>
              <w:rPr>
                <w:rFonts w:ascii="Calibri" w:hAnsi="Calibri"/>
                <w:b/>
                <w:color w:val="FFFFFF"/>
                <w:sz w:val="18"/>
              </w:rPr>
              <w:t>Reserve Component</w:t>
            </w:r>
          </w:p>
        </w:tc>
        <w:tc>
          <w:tcPr>
            <w:tcW w:type="dxa" w:w="1584"/>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Q3 Utilisation</w:t>
            </w:r>
          </w:p>
        </w:tc>
        <w:tc>
          <w:tcPr>
            <w:tcW w:type="dxa" w:w="1728"/>
            <w:shd w:val="clear" w:color="auto" w:fill="0D2B55"/>
          </w:tcPr>
          <w:p>
            <w:pPr>
              <w:spacing w:before="40" w:after="40"/>
            </w:pPr>
            <w:r>
              <w:rPr>
                <w:rFonts w:ascii="Calibri" w:hAnsi="Calibri"/>
                <w:b/>
                <w:color w:val="FFFFFF"/>
                <w:sz w:val="18"/>
              </w:rPr>
              <w:t>Q3 Amount (USD)</w:t>
            </w:r>
          </w:p>
        </w:tc>
        <w:tc>
          <w:tcPr>
            <w:tcW w:type="dxa" w:w="2592"/>
            <w:shd w:val="clear" w:color="auto" w:fill="0D2B55"/>
          </w:tcPr>
          <w:p>
            <w:pPr>
              <w:spacing w:before="40" w:after="40"/>
            </w:pPr>
            <w:r>
              <w:rPr>
                <w:rFonts w:ascii="Calibri" w:hAnsi="Calibri"/>
                <w:b/>
                <w:color w:val="FFFFFF"/>
                <w:sz w:val="18"/>
              </w:rPr>
              <w:t>YTD Cumulative (USD)</w:t>
            </w:r>
          </w:p>
        </w:tc>
      </w:tr>
      <w:tr>
        <w:tc>
          <w:tcPr>
            <w:tcW w:type="dxa" w:w="2880"/>
            <w:shd w:val="clear" w:color="auto" w:fill="FFFFFF"/>
          </w:tcPr>
          <w:p>
            <w:pPr>
              <w:spacing w:before="20" w:after="20"/>
            </w:pPr>
            <w:r>
              <w:rPr>
                <w:rFonts w:ascii="Calibri" w:hAnsi="Calibri"/>
                <w:sz w:val="18"/>
              </w:rPr>
              <w:t>Airframe A/B Check</w:t>
            </w:r>
          </w:p>
        </w:tc>
        <w:tc>
          <w:tcPr>
            <w:tcW w:type="dxa" w:w="1584"/>
            <w:shd w:val="clear" w:color="auto" w:fill="FFFFFF"/>
          </w:tcPr>
          <w:p>
            <w:pPr>
              <w:spacing w:before="20" w:after="20"/>
            </w:pPr>
            <w:r>
              <w:rPr>
                <w:rFonts w:ascii="Calibri" w:hAnsi="Calibri"/>
                <w:sz w:val="18"/>
              </w:rPr>
              <w:t>USD 155/FH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227,695</w:t>
            </w:r>
          </w:p>
        </w:tc>
        <w:tc>
          <w:tcPr>
            <w:tcW w:type="dxa" w:w="2592"/>
            <w:shd w:val="clear" w:color="auto" w:fill="FFFFFF"/>
          </w:tcPr>
          <w:p>
            <w:pPr>
              <w:spacing w:before="20" w:after="20"/>
            </w:pPr>
            <w:r>
              <w:rPr>
                <w:rFonts w:ascii="Calibri" w:hAnsi="Calibri"/>
                <w:sz w:val="18"/>
              </w:rPr>
              <w:t>686,960</w:t>
            </w:r>
          </w:p>
        </w:tc>
      </w:tr>
      <w:tr>
        <w:tc>
          <w:tcPr>
            <w:tcW w:type="dxa" w:w="2880"/>
            <w:shd w:val="clear" w:color="auto" w:fill="F4F7FC"/>
          </w:tcPr>
          <w:p>
            <w:pPr>
              <w:spacing w:before="20" w:after="20"/>
            </w:pPr>
            <w:r>
              <w:rPr>
                <w:rFonts w:ascii="Calibri" w:hAnsi="Calibri"/>
                <w:sz w:val="18"/>
              </w:rPr>
              <w:t>Airframe C Check</w:t>
            </w:r>
          </w:p>
        </w:tc>
        <w:tc>
          <w:tcPr>
            <w:tcW w:type="dxa" w:w="1584"/>
            <w:shd w:val="clear" w:color="auto" w:fill="F4F7FC"/>
          </w:tcPr>
          <w:p>
            <w:pPr>
              <w:spacing w:before="20" w:after="20"/>
            </w:pPr>
            <w:r>
              <w:rPr>
                <w:rFonts w:ascii="Calibri" w:hAnsi="Calibri"/>
                <w:sz w:val="18"/>
              </w:rPr>
              <w:t>USD 465/FH</w:t>
            </w:r>
          </w:p>
        </w:tc>
        <w:tc>
          <w:tcPr>
            <w:tcW w:type="dxa" w:w="1728"/>
            <w:shd w:val="clear" w:color="auto" w:fill="F4F7FC"/>
          </w:tcPr>
          <w:p>
            <w:pPr>
              <w:spacing w:before="20" w:after="20"/>
            </w:pPr>
            <w:r>
              <w:rPr>
                <w:rFonts w:ascii="Calibri" w:hAnsi="Calibri"/>
                <w:sz w:val="18"/>
              </w:rPr>
              <w:t>1,469 FH</w:t>
            </w:r>
          </w:p>
        </w:tc>
        <w:tc>
          <w:tcPr>
            <w:tcW w:type="dxa" w:w="1728"/>
            <w:shd w:val="clear" w:color="auto" w:fill="F4F7FC"/>
          </w:tcPr>
          <w:p>
            <w:pPr>
              <w:spacing w:before="20" w:after="20"/>
            </w:pPr>
            <w:r>
              <w:rPr>
                <w:rFonts w:ascii="Calibri" w:hAnsi="Calibri"/>
                <w:sz w:val="18"/>
              </w:rPr>
              <w:t>683,085</w:t>
            </w:r>
          </w:p>
        </w:tc>
        <w:tc>
          <w:tcPr>
            <w:tcW w:type="dxa" w:w="2592"/>
            <w:shd w:val="clear" w:color="auto" w:fill="F4F7FC"/>
          </w:tcPr>
          <w:p>
            <w:pPr>
              <w:spacing w:before="20" w:after="20"/>
            </w:pPr>
            <w:r>
              <w:rPr>
                <w:rFonts w:ascii="Calibri" w:hAnsi="Calibri"/>
                <w:sz w:val="18"/>
              </w:rPr>
              <w:t>2,060,880</w:t>
            </w:r>
          </w:p>
        </w:tc>
      </w:tr>
      <w:tr>
        <w:tc>
          <w:tcPr>
            <w:tcW w:type="dxa" w:w="2880"/>
            <w:shd w:val="clear" w:color="auto" w:fill="FFFFFF"/>
          </w:tcPr>
          <w:p>
            <w:pPr>
              <w:spacing w:before="20" w:after="20"/>
            </w:pPr>
            <w:r>
              <w:rPr>
                <w:rFonts w:ascii="Calibri" w:hAnsi="Calibri"/>
                <w:sz w:val="18"/>
              </w:rPr>
              <w:t>Engine Performance – No.1</w:t>
            </w:r>
          </w:p>
        </w:tc>
        <w:tc>
          <w:tcPr>
            <w:tcW w:type="dxa" w:w="1584"/>
            <w:shd w:val="clear" w:color="auto" w:fill="FFFFFF"/>
          </w:tcPr>
          <w:p>
            <w:pPr>
              <w:spacing w:before="20" w:after="20"/>
            </w:pPr>
            <w:r>
              <w:rPr>
                <w:rFonts w:ascii="Calibri" w:hAnsi="Calibri"/>
                <w:sz w:val="18"/>
              </w:rPr>
              <w:t>USD 170/FH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249,730</w:t>
            </w:r>
          </w:p>
        </w:tc>
        <w:tc>
          <w:tcPr>
            <w:tcW w:type="dxa" w:w="2592"/>
            <w:shd w:val="clear" w:color="auto" w:fill="FFFFFF"/>
          </w:tcPr>
          <w:p>
            <w:pPr>
              <w:spacing w:before="20" w:after="20"/>
            </w:pPr>
            <w:r>
              <w:rPr>
                <w:rFonts w:ascii="Calibri" w:hAnsi="Calibri"/>
                <w:sz w:val="18"/>
              </w:rPr>
              <w:t>753,440</w:t>
            </w:r>
          </w:p>
        </w:tc>
      </w:tr>
      <w:tr>
        <w:tc>
          <w:tcPr>
            <w:tcW w:type="dxa" w:w="2880"/>
            <w:shd w:val="clear" w:color="auto" w:fill="F4F7FC"/>
          </w:tcPr>
          <w:p>
            <w:pPr>
              <w:spacing w:before="20" w:after="20"/>
            </w:pPr>
            <w:r>
              <w:rPr>
                <w:rFonts w:ascii="Calibri" w:hAnsi="Calibri"/>
                <w:sz w:val="18"/>
              </w:rPr>
              <w:t>Engine Performance – No.2</w:t>
            </w:r>
          </w:p>
        </w:tc>
        <w:tc>
          <w:tcPr>
            <w:tcW w:type="dxa" w:w="1584"/>
            <w:shd w:val="clear" w:color="auto" w:fill="F4F7FC"/>
          </w:tcPr>
          <w:p>
            <w:pPr>
              <w:spacing w:before="20" w:after="20"/>
            </w:pPr>
            <w:r>
              <w:rPr>
                <w:rFonts w:ascii="Calibri" w:hAnsi="Calibri"/>
                <w:sz w:val="18"/>
              </w:rPr>
              <w:t>USD 170/FH</w:t>
            </w:r>
          </w:p>
        </w:tc>
        <w:tc>
          <w:tcPr>
            <w:tcW w:type="dxa" w:w="1728"/>
            <w:shd w:val="clear" w:color="auto" w:fill="F4F7FC"/>
          </w:tcPr>
          <w:p>
            <w:pPr>
              <w:spacing w:before="20" w:after="20"/>
            </w:pPr>
            <w:r>
              <w:rPr>
                <w:rFonts w:ascii="Calibri" w:hAnsi="Calibri"/>
                <w:sz w:val="18"/>
              </w:rPr>
              <w:t>1,469 FH</w:t>
            </w:r>
          </w:p>
        </w:tc>
        <w:tc>
          <w:tcPr>
            <w:tcW w:type="dxa" w:w="1728"/>
            <w:shd w:val="clear" w:color="auto" w:fill="F4F7FC"/>
          </w:tcPr>
          <w:p>
            <w:pPr>
              <w:spacing w:before="20" w:after="20"/>
            </w:pPr>
            <w:r>
              <w:rPr>
                <w:rFonts w:ascii="Calibri" w:hAnsi="Calibri"/>
                <w:sz w:val="18"/>
              </w:rPr>
              <w:t>249,730</w:t>
            </w:r>
          </w:p>
        </w:tc>
        <w:tc>
          <w:tcPr>
            <w:tcW w:type="dxa" w:w="2592"/>
            <w:shd w:val="clear" w:color="auto" w:fill="F4F7FC"/>
          </w:tcPr>
          <w:p>
            <w:pPr>
              <w:spacing w:before="20" w:after="20"/>
            </w:pPr>
            <w:r>
              <w:rPr>
                <w:rFonts w:ascii="Calibri" w:hAnsi="Calibri"/>
                <w:sz w:val="18"/>
              </w:rPr>
              <w:t>753,440</w:t>
            </w:r>
          </w:p>
        </w:tc>
      </w:tr>
      <w:tr>
        <w:tc>
          <w:tcPr>
            <w:tcW w:type="dxa" w:w="2880"/>
            <w:shd w:val="clear" w:color="auto" w:fill="FFFFFF"/>
          </w:tcPr>
          <w:p>
            <w:pPr>
              <w:spacing w:before="20" w:after="20"/>
            </w:pPr>
            <w:r>
              <w:rPr>
                <w:rFonts w:ascii="Calibri" w:hAnsi="Calibri"/>
                <w:sz w:val="18"/>
              </w:rPr>
              <w:t>Engine LLP – No.1</w:t>
            </w:r>
          </w:p>
        </w:tc>
        <w:tc>
          <w:tcPr>
            <w:tcW w:type="dxa" w:w="1584"/>
            <w:shd w:val="clear" w:color="auto" w:fill="FFFFFF"/>
          </w:tcPr>
          <w:p>
            <w:pPr>
              <w:spacing w:before="20" w:after="20"/>
            </w:pPr>
            <w:r>
              <w:rPr>
                <w:rFonts w:ascii="Calibri" w:hAnsi="Calibri"/>
                <w:sz w:val="18"/>
              </w:rPr>
              <w:t>USD 225/FC</w:t>
            </w:r>
          </w:p>
        </w:tc>
        <w:tc>
          <w:tcPr>
            <w:tcW w:type="dxa" w:w="1728"/>
            <w:shd w:val="clear" w:color="auto" w:fill="FFFFFF"/>
          </w:tcPr>
          <w:p>
            <w:pPr>
              <w:spacing w:before="20" w:after="20"/>
            </w:pPr>
            <w:r>
              <w:rPr>
                <w:rFonts w:ascii="Calibri" w:hAnsi="Calibri"/>
                <w:sz w:val="18"/>
              </w:rPr>
              <w:t>1,040 FC</w:t>
            </w:r>
          </w:p>
        </w:tc>
        <w:tc>
          <w:tcPr>
            <w:tcW w:type="dxa" w:w="1728"/>
            <w:shd w:val="clear" w:color="auto" w:fill="FFFFFF"/>
          </w:tcPr>
          <w:p>
            <w:pPr>
              <w:spacing w:before="20" w:after="20"/>
            </w:pPr>
            <w:r>
              <w:rPr>
                <w:rFonts w:ascii="Calibri" w:hAnsi="Calibri"/>
                <w:sz w:val="18"/>
              </w:rPr>
              <w:t>234,000</w:t>
            </w:r>
          </w:p>
        </w:tc>
        <w:tc>
          <w:tcPr>
            <w:tcW w:type="dxa" w:w="2592"/>
            <w:shd w:val="clear" w:color="auto" w:fill="FFFFFF"/>
          </w:tcPr>
          <w:p>
            <w:pPr>
              <w:spacing w:before="20" w:after="20"/>
            </w:pPr>
            <w:r>
              <w:rPr>
                <w:rFonts w:ascii="Calibri" w:hAnsi="Calibri"/>
                <w:sz w:val="18"/>
              </w:rPr>
              <w:t>704,925</w:t>
            </w:r>
          </w:p>
        </w:tc>
      </w:tr>
      <w:tr>
        <w:tc>
          <w:tcPr>
            <w:tcW w:type="dxa" w:w="2880"/>
            <w:shd w:val="clear" w:color="auto" w:fill="F4F7FC"/>
          </w:tcPr>
          <w:p>
            <w:pPr>
              <w:spacing w:before="20" w:after="20"/>
            </w:pPr>
            <w:r>
              <w:rPr>
                <w:rFonts w:ascii="Calibri" w:hAnsi="Calibri"/>
                <w:sz w:val="18"/>
              </w:rPr>
              <w:t>Engine LLP – No.2</w:t>
            </w:r>
          </w:p>
        </w:tc>
        <w:tc>
          <w:tcPr>
            <w:tcW w:type="dxa" w:w="1584"/>
            <w:shd w:val="clear" w:color="auto" w:fill="F4F7FC"/>
          </w:tcPr>
          <w:p>
            <w:pPr>
              <w:spacing w:before="20" w:after="20"/>
            </w:pPr>
            <w:r>
              <w:rPr>
                <w:rFonts w:ascii="Calibri" w:hAnsi="Calibri"/>
                <w:sz w:val="18"/>
              </w:rPr>
              <w:t>USD 225/FC</w:t>
            </w:r>
          </w:p>
        </w:tc>
        <w:tc>
          <w:tcPr>
            <w:tcW w:type="dxa" w:w="1728"/>
            <w:shd w:val="clear" w:color="auto" w:fill="F4F7FC"/>
          </w:tcPr>
          <w:p>
            <w:pPr>
              <w:spacing w:before="20" w:after="20"/>
            </w:pPr>
            <w:r>
              <w:rPr>
                <w:rFonts w:ascii="Calibri" w:hAnsi="Calibri"/>
                <w:sz w:val="18"/>
              </w:rPr>
              <w:t>1,040 FC</w:t>
            </w:r>
          </w:p>
        </w:tc>
        <w:tc>
          <w:tcPr>
            <w:tcW w:type="dxa" w:w="1728"/>
            <w:shd w:val="clear" w:color="auto" w:fill="F4F7FC"/>
          </w:tcPr>
          <w:p>
            <w:pPr>
              <w:spacing w:before="20" w:after="20"/>
            </w:pPr>
            <w:r>
              <w:rPr>
                <w:rFonts w:ascii="Calibri" w:hAnsi="Calibri"/>
                <w:sz w:val="18"/>
              </w:rPr>
              <w:t>234,000</w:t>
            </w:r>
          </w:p>
        </w:tc>
        <w:tc>
          <w:tcPr>
            <w:tcW w:type="dxa" w:w="2592"/>
            <w:shd w:val="clear" w:color="auto" w:fill="F4F7FC"/>
          </w:tcPr>
          <w:p>
            <w:pPr>
              <w:spacing w:before="20" w:after="20"/>
            </w:pPr>
            <w:r>
              <w:rPr>
                <w:rFonts w:ascii="Calibri" w:hAnsi="Calibri"/>
                <w:sz w:val="18"/>
              </w:rPr>
              <w:t>704,925</w:t>
            </w:r>
          </w:p>
        </w:tc>
      </w:tr>
      <w:tr>
        <w:tc>
          <w:tcPr>
            <w:tcW w:type="dxa" w:w="2880"/>
            <w:shd w:val="clear" w:color="auto" w:fill="FFFFFF"/>
          </w:tcPr>
          <w:p>
            <w:pPr>
              <w:spacing w:before="20" w:after="20"/>
            </w:pPr>
            <w:r>
              <w:rPr>
                <w:rFonts w:ascii="Calibri" w:hAnsi="Calibri"/>
                <w:sz w:val="18"/>
              </w:rPr>
              <w:t>Landing Gear (all legs)</w:t>
            </w:r>
          </w:p>
        </w:tc>
        <w:tc>
          <w:tcPr>
            <w:tcW w:type="dxa" w:w="1584"/>
            <w:shd w:val="clear" w:color="auto" w:fill="FFFFFF"/>
          </w:tcPr>
          <w:p>
            <w:pPr>
              <w:spacing w:before="20" w:after="20"/>
            </w:pPr>
            <w:r>
              <w:rPr>
                <w:rFonts w:ascii="Calibri" w:hAnsi="Calibri"/>
                <w:sz w:val="18"/>
              </w:rPr>
              <w:t>USD 100/FH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146,900</w:t>
            </w:r>
          </w:p>
        </w:tc>
        <w:tc>
          <w:tcPr>
            <w:tcW w:type="dxa" w:w="2592"/>
            <w:shd w:val="clear" w:color="auto" w:fill="FFFFFF"/>
          </w:tcPr>
          <w:p>
            <w:pPr>
              <w:spacing w:before="20" w:after="20"/>
            </w:pPr>
            <w:r>
              <w:rPr>
                <w:rFonts w:ascii="Calibri" w:hAnsi="Calibri"/>
                <w:sz w:val="18"/>
              </w:rPr>
              <w:t>443,200</w:t>
            </w:r>
          </w:p>
        </w:tc>
      </w:tr>
      <w:tr>
        <w:tc>
          <w:tcPr>
            <w:tcW w:type="dxa" w:w="2880"/>
            <w:shd w:val="clear" w:color="auto" w:fill="F4F7FC"/>
          </w:tcPr>
          <w:p>
            <w:pPr>
              <w:spacing w:before="20" w:after="20"/>
            </w:pPr>
            <w:r>
              <w:rPr>
                <w:rFonts w:ascii="Calibri" w:hAnsi="Calibri"/>
                <w:sz w:val="18"/>
              </w:rPr>
              <w:t>APU</w:t>
            </w:r>
          </w:p>
        </w:tc>
        <w:tc>
          <w:tcPr>
            <w:tcW w:type="dxa" w:w="1584"/>
            <w:shd w:val="clear" w:color="auto" w:fill="F4F7FC"/>
          </w:tcPr>
          <w:p>
            <w:pPr>
              <w:spacing w:before="20" w:after="20"/>
            </w:pPr>
            <w:r>
              <w:rPr>
                <w:rFonts w:ascii="Calibri" w:hAnsi="Calibri"/>
                <w:sz w:val="18"/>
              </w:rPr>
              <w:t>USD 60/APU-H</w:t>
            </w:r>
          </w:p>
        </w:tc>
        <w:tc>
          <w:tcPr>
            <w:tcW w:type="dxa" w:w="1728"/>
            <w:shd w:val="clear" w:color="auto" w:fill="F4F7FC"/>
          </w:tcPr>
          <w:p>
            <w:pPr>
              <w:spacing w:before="20" w:after="20"/>
            </w:pPr>
            <w:r>
              <w:rPr>
                <w:rFonts w:ascii="Calibri" w:hAnsi="Calibri"/>
                <w:sz w:val="18"/>
              </w:rPr>
              <w:t>213 APU-H</w:t>
            </w:r>
          </w:p>
        </w:tc>
        <w:tc>
          <w:tcPr>
            <w:tcW w:type="dxa" w:w="1728"/>
            <w:shd w:val="clear" w:color="auto" w:fill="F4F7FC"/>
          </w:tcPr>
          <w:p>
            <w:pPr>
              <w:spacing w:before="20" w:after="20"/>
            </w:pPr>
            <w:r>
              <w:rPr>
                <w:rFonts w:ascii="Calibri" w:hAnsi="Calibri"/>
                <w:sz w:val="18"/>
              </w:rPr>
              <w:t>12,780</w:t>
            </w:r>
          </w:p>
        </w:tc>
        <w:tc>
          <w:tcPr>
            <w:tcW w:type="dxa" w:w="2592"/>
            <w:shd w:val="clear" w:color="auto" w:fill="F4F7FC"/>
          </w:tcPr>
          <w:p>
            <w:pPr>
              <w:spacing w:before="20" w:after="20"/>
            </w:pPr>
            <w:r>
              <w:rPr>
                <w:rFonts w:ascii="Calibri" w:hAnsi="Calibri"/>
                <w:sz w:val="18"/>
              </w:rPr>
              <w:t>37,980</w:t>
            </w:r>
          </w:p>
        </w:tc>
      </w:tr>
      <w:tr>
        <w:tc>
          <w:tcPr>
            <w:tcW w:type="dxa" w:w="2880"/>
            <w:shd w:val="clear" w:color="auto" w:fill="FFFFFF"/>
          </w:tcPr>
          <w:p>
            <w:pPr>
              <w:spacing w:before="20" w:after="20"/>
            </w:pPr>
            <w:r>
              <w:rPr>
                <w:rFonts w:ascii="Calibri" w:hAnsi="Calibri"/>
                <w:sz w:val="18"/>
              </w:rPr>
              <w:t>Q3 2025 TOTAL MR DUE</w:t>
            </w:r>
          </w:p>
        </w:tc>
        <w:tc>
          <w:tcPr>
            <w:tcW w:type="dxa" w:w="1584"/>
            <w:shd w:val="clear" w:color="auto" w:fill="FFFFFF"/>
          </w:tcPr>
          <w:p>
            <w:pPr>
              <w:spacing w:before="20" w:after="20"/>
            </w:pPr>
            <w:r>
              <w:rPr>
                <w:rFonts w:ascii="Calibri" w:hAnsi="Calibri"/>
                <w:sz w:val="18"/>
              </w:rPr>
              <w:t>—</w:t>
            </w:r>
          </w:p>
        </w:tc>
        <w:tc>
          <w:tcPr>
            <w:tcW w:type="dxa" w:w="1728"/>
            <w:shd w:val="clear" w:color="auto" w:fill="FFFFFF"/>
          </w:tcPr>
          <w:p>
            <w:pPr>
              <w:spacing w:before="20" w:after="20"/>
            </w:pPr>
            <w:r>
              <w:rPr>
                <w:rFonts w:ascii="Calibri" w:hAnsi="Calibri"/>
                <w:sz w:val="18"/>
              </w:rPr>
              <w:t>—</w:t>
            </w:r>
          </w:p>
        </w:tc>
        <w:tc>
          <w:tcPr>
            <w:tcW w:type="dxa" w:w="1728"/>
            <w:shd w:val="clear" w:color="auto" w:fill="FFFFFF"/>
          </w:tcPr>
          <w:p>
            <w:pPr>
              <w:spacing w:before="20" w:after="20"/>
            </w:pPr>
            <w:r>
              <w:rPr>
                <w:rFonts w:ascii="Calibri" w:hAnsi="Calibri"/>
                <w:sz w:val="18"/>
              </w:rPr>
              <w:t>2,037,920</w:t>
            </w:r>
          </w:p>
        </w:tc>
        <w:tc>
          <w:tcPr>
            <w:tcW w:type="dxa" w:w="2592"/>
            <w:shd w:val="clear" w:color="auto" w:fill="FFFFFF"/>
          </w:tcPr>
          <w:p>
            <w:pPr>
              <w:spacing w:before="20" w:after="20"/>
            </w:pPr>
            <w:r>
              <w:rPr>
                <w:rFonts w:ascii="Calibri" w:hAnsi="Calibri"/>
                <w:sz w:val="18"/>
              </w:rPr>
              <w:t>—</w:t>
            </w:r>
          </w:p>
        </w:tc>
      </w:tr>
    </w:tbl>
    <w:p/>
    <w:p>
      <w:pPr>
        <w:pStyle w:val="Heading2"/>
      </w:pPr>
      <w:r>
        <w:rPr>
          <w:rFonts w:ascii="Calibri" w:hAnsi="Calibri"/>
          <w:b/>
          <w:color w:val="0D2B55"/>
          <w:sz w:val="24"/>
        </w:rPr>
        <w:t>4. COMPONENT LIFE STATUS — 30 SEPT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Life Limit</w:t>
            </w:r>
          </w:p>
        </w:tc>
        <w:tc>
          <w:tcPr>
            <w:tcW w:type="dxa" w:w="1872"/>
            <w:shd w:val="clear" w:color="auto" w:fill="0D2B55"/>
          </w:tcPr>
          <w:p>
            <w:pPr>
              <w:spacing w:before="40" w:after="40"/>
            </w:pPr>
            <w:r>
              <w:rPr>
                <w:rFonts w:ascii="Calibri" w:hAnsi="Calibri"/>
                <w:b/>
                <w:color w:val="FFFFFF"/>
                <w:sz w:val="18"/>
              </w:rPr>
              <w:t>TSN at 30 Sep</w:t>
            </w:r>
          </w:p>
        </w:tc>
        <w:tc>
          <w:tcPr>
            <w:tcW w:type="dxa" w:w="1584"/>
            <w:shd w:val="clear" w:color="auto" w:fill="0D2B55"/>
          </w:tcPr>
          <w:p>
            <w:pPr>
              <w:spacing w:before="40" w:after="40"/>
            </w:pPr>
            <w:r>
              <w:rPr>
                <w:rFonts w:ascii="Calibri" w:hAnsi="Calibri"/>
                <w:b/>
                <w:color w:val="FFFFFF"/>
                <w:sz w:val="18"/>
              </w:rPr>
              <w:t>Remaining</w:t>
            </w:r>
          </w:p>
        </w:tc>
        <w:tc>
          <w:tcPr>
            <w:tcW w:type="dxa" w:w="1152"/>
            <w:shd w:val="clear" w:color="auto" w:fill="0D2B55"/>
          </w:tcPr>
          <w:p>
            <w:pPr>
              <w:spacing w:before="40" w:after="40"/>
            </w:pPr>
            <w:r>
              <w:rPr>
                <w:rFonts w:ascii="Calibri" w:hAnsi="Calibri"/>
                <w:b/>
                <w:color w:val="FFFFFF"/>
                <w:sz w:val="18"/>
              </w:rPr>
              <w:t>% Used</w:t>
            </w:r>
          </w:p>
        </w:tc>
        <w:tc>
          <w:tcPr>
            <w:tcW w:type="dxa" w:w="1872"/>
            <w:shd w:val="clear" w:color="auto" w:fill="0D2B55"/>
          </w:tcPr>
          <w:p>
            <w:pPr>
              <w:spacing w:before="40" w:after="40"/>
            </w:pPr>
            <w:r>
              <w:rPr>
                <w:rFonts w:ascii="Calibri" w:hAnsi="Calibri"/>
                <w:b/>
                <w:color w:val="FFFFFF"/>
                <w:sz w:val="18"/>
              </w:rPr>
              <w:t>Alert Level</w:t>
            </w:r>
          </w:p>
        </w:tc>
      </w:tr>
      <w:tr>
        <w:tc>
          <w:tcPr>
            <w:tcW w:type="dxa" w:w="2880"/>
            <w:shd w:val="clear" w:color="auto" w:fill="FFFFFF"/>
          </w:tcPr>
          <w:p>
            <w:pPr>
              <w:spacing w:before="20" w:after="20"/>
            </w:pPr>
            <w:r>
              <w:rPr>
                <w:rFonts w:ascii="Calibri" w:hAnsi="Calibri"/>
                <w:sz w:val="18"/>
              </w:rPr>
              <w:t>HPC Disc Stg 3 – Eng 1 (ESN-910101)</w:t>
            </w:r>
          </w:p>
        </w:tc>
        <w:tc>
          <w:tcPr>
            <w:tcW w:type="dxa" w:w="1440"/>
            <w:shd w:val="clear" w:color="auto" w:fill="FFFFFF"/>
          </w:tcPr>
          <w:p>
            <w:pPr>
              <w:spacing w:before="20" w:after="20"/>
            </w:pPr>
            <w:r>
              <w:rPr>
                <w:rFonts w:ascii="Calibri" w:hAnsi="Calibri"/>
                <w:sz w:val="18"/>
              </w:rPr>
              <w:t>15,000 FC</w:t>
            </w:r>
          </w:p>
        </w:tc>
        <w:tc>
          <w:tcPr>
            <w:tcW w:type="dxa" w:w="1872"/>
            <w:shd w:val="clear" w:color="auto" w:fill="FFFFFF"/>
          </w:tcPr>
          <w:p>
            <w:pPr>
              <w:spacing w:before="20" w:after="20"/>
            </w:pPr>
            <w:r>
              <w:rPr>
                <w:rFonts w:ascii="Calibri" w:hAnsi="Calibri"/>
                <w:sz w:val="18"/>
              </w:rPr>
              <w:t>14,822 FC</w:t>
            </w:r>
          </w:p>
        </w:tc>
        <w:tc>
          <w:tcPr>
            <w:tcW w:type="dxa" w:w="1584"/>
            <w:shd w:val="clear" w:color="auto" w:fill="FFFFFF"/>
          </w:tcPr>
          <w:p>
            <w:pPr>
              <w:spacing w:before="20" w:after="20"/>
            </w:pPr>
            <w:r>
              <w:rPr>
                <w:rFonts w:ascii="Calibri" w:hAnsi="Calibri"/>
                <w:sz w:val="18"/>
              </w:rPr>
              <w:t>178 FC</w:t>
            </w:r>
          </w:p>
        </w:tc>
        <w:tc>
          <w:tcPr>
            <w:tcW w:type="dxa" w:w="1152"/>
            <w:shd w:val="clear" w:color="auto" w:fill="FFFFFF"/>
          </w:tcPr>
          <w:p>
            <w:pPr>
              <w:spacing w:before="20" w:after="20"/>
            </w:pPr>
            <w:r>
              <w:rPr>
                <w:rFonts w:ascii="Calibri" w:hAnsi="Calibri"/>
                <w:sz w:val="18"/>
              </w:rPr>
              <w:t>98.8%</w:t>
            </w:r>
          </w:p>
        </w:tc>
        <w:tc>
          <w:tcPr>
            <w:tcW w:type="dxa" w:w="1872"/>
            <w:shd w:val="clear" w:color="auto" w:fill="FFFFFF"/>
          </w:tcPr>
          <w:p>
            <w:pPr>
              <w:spacing w:before="20" w:after="20"/>
            </w:pPr>
            <w:r>
              <w:rPr>
                <w:rFonts w:ascii="Calibri" w:hAnsi="Calibri"/>
                <w:sz w:val="18"/>
              </w:rPr>
              <w:t>URGENT — within 2 months</w:t>
            </w:r>
          </w:p>
        </w:tc>
      </w:tr>
      <w:tr>
        <w:tc>
          <w:tcPr>
            <w:tcW w:type="dxa" w:w="2880"/>
            <w:shd w:val="clear" w:color="auto" w:fill="F4F7FC"/>
          </w:tcPr>
          <w:p>
            <w:pPr>
              <w:spacing w:before="20" w:after="20"/>
            </w:pPr>
            <w:r>
              <w:rPr>
                <w:rFonts w:ascii="Calibri" w:hAnsi="Calibri"/>
                <w:sz w:val="18"/>
              </w:rPr>
              <w:t>HPC Disc Stg 3 – Eng 2 (ESN-910102)</w:t>
            </w:r>
          </w:p>
        </w:tc>
        <w:tc>
          <w:tcPr>
            <w:tcW w:type="dxa" w:w="1440"/>
            <w:shd w:val="clear" w:color="auto" w:fill="F4F7FC"/>
          </w:tcPr>
          <w:p>
            <w:pPr>
              <w:spacing w:before="20" w:after="20"/>
            </w:pPr>
            <w:r>
              <w:rPr>
                <w:rFonts w:ascii="Calibri" w:hAnsi="Calibri"/>
                <w:sz w:val="18"/>
              </w:rPr>
              <w:t>15,000 FC</w:t>
            </w:r>
          </w:p>
        </w:tc>
        <w:tc>
          <w:tcPr>
            <w:tcW w:type="dxa" w:w="1872"/>
            <w:shd w:val="clear" w:color="auto" w:fill="F4F7FC"/>
          </w:tcPr>
          <w:p>
            <w:pPr>
              <w:spacing w:before="20" w:after="20"/>
            </w:pPr>
            <w:r>
              <w:rPr>
                <w:rFonts w:ascii="Calibri" w:hAnsi="Calibri"/>
                <w:sz w:val="18"/>
              </w:rPr>
              <w:t>14,618 FC</w:t>
            </w:r>
          </w:p>
        </w:tc>
        <w:tc>
          <w:tcPr>
            <w:tcW w:type="dxa" w:w="1584"/>
            <w:shd w:val="clear" w:color="auto" w:fill="F4F7FC"/>
          </w:tcPr>
          <w:p>
            <w:pPr>
              <w:spacing w:before="20" w:after="20"/>
            </w:pPr>
            <w:r>
              <w:rPr>
                <w:rFonts w:ascii="Calibri" w:hAnsi="Calibri"/>
                <w:sz w:val="18"/>
              </w:rPr>
              <w:t>382 FC</w:t>
            </w:r>
          </w:p>
        </w:tc>
        <w:tc>
          <w:tcPr>
            <w:tcW w:type="dxa" w:w="1152"/>
            <w:shd w:val="clear" w:color="auto" w:fill="F4F7FC"/>
          </w:tcPr>
          <w:p>
            <w:pPr>
              <w:spacing w:before="20" w:after="20"/>
            </w:pPr>
            <w:r>
              <w:rPr>
                <w:rFonts w:ascii="Calibri" w:hAnsi="Calibri"/>
                <w:sz w:val="18"/>
              </w:rPr>
              <w:t>97.5%</w:t>
            </w:r>
          </w:p>
        </w:tc>
        <w:tc>
          <w:tcPr>
            <w:tcW w:type="dxa" w:w="1872"/>
            <w:shd w:val="clear" w:color="auto" w:fill="F4F7FC"/>
          </w:tcPr>
          <w:p>
            <w:pPr>
              <w:spacing w:before="20" w:after="20"/>
            </w:pPr>
            <w:r>
              <w:rPr>
                <w:rFonts w:ascii="Calibri" w:hAnsi="Calibri"/>
                <w:sz w:val="18"/>
              </w:rPr>
              <w:t>Within 4 months</w:t>
            </w:r>
          </w:p>
        </w:tc>
      </w:tr>
      <w:tr>
        <w:tc>
          <w:tcPr>
            <w:tcW w:type="dxa" w:w="2880"/>
            <w:shd w:val="clear" w:color="auto" w:fill="FFFFFF"/>
          </w:tcPr>
          <w:p>
            <w:pPr>
              <w:spacing w:before="20" w:after="20"/>
            </w:pPr>
            <w:r>
              <w:rPr>
                <w:rFonts w:ascii="Calibri" w:hAnsi="Calibri"/>
                <w:sz w:val="18"/>
              </w:rPr>
              <w:t>Fan Blades – Eng 1 (set)</w:t>
            </w:r>
          </w:p>
        </w:tc>
        <w:tc>
          <w:tcPr>
            <w:tcW w:type="dxa" w:w="1440"/>
            <w:shd w:val="clear" w:color="auto" w:fill="FFFFFF"/>
          </w:tcPr>
          <w:p>
            <w:pPr>
              <w:spacing w:before="20" w:after="20"/>
            </w:pPr>
            <w:r>
              <w:rPr>
                <w:rFonts w:ascii="Calibri" w:hAnsi="Calibri"/>
                <w:sz w:val="18"/>
              </w:rPr>
              <w:t>20,000 FC</w:t>
            </w:r>
          </w:p>
        </w:tc>
        <w:tc>
          <w:tcPr>
            <w:tcW w:type="dxa" w:w="1872"/>
            <w:shd w:val="clear" w:color="auto" w:fill="FFFFFF"/>
          </w:tcPr>
          <w:p>
            <w:pPr>
              <w:spacing w:before="20" w:after="20"/>
            </w:pPr>
            <w:r>
              <w:rPr>
                <w:rFonts w:ascii="Calibri" w:hAnsi="Calibri"/>
                <w:sz w:val="18"/>
              </w:rPr>
              <w:t>14,822 FC</w:t>
            </w:r>
          </w:p>
        </w:tc>
        <w:tc>
          <w:tcPr>
            <w:tcW w:type="dxa" w:w="1584"/>
            <w:shd w:val="clear" w:color="auto" w:fill="FFFFFF"/>
          </w:tcPr>
          <w:p>
            <w:pPr>
              <w:spacing w:before="20" w:after="20"/>
            </w:pPr>
            <w:r>
              <w:rPr>
                <w:rFonts w:ascii="Calibri" w:hAnsi="Calibri"/>
                <w:sz w:val="18"/>
              </w:rPr>
              <w:t>5,178 FC</w:t>
            </w:r>
          </w:p>
        </w:tc>
        <w:tc>
          <w:tcPr>
            <w:tcW w:type="dxa" w:w="1152"/>
            <w:shd w:val="clear" w:color="auto" w:fill="FFFFFF"/>
          </w:tcPr>
          <w:p>
            <w:pPr>
              <w:spacing w:before="20" w:after="20"/>
            </w:pPr>
            <w:r>
              <w:rPr>
                <w:rFonts w:ascii="Calibri" w:hAnsi="Calibri"/>
                <w:sz w:val="18"/>
              </w:rPr>
              <w:t>74.1%</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HPT Stg 1 Disc – Eng 1</w:t>
            </w:r>
          </w:p>
        </w:tc>
        <w:tc>
          <w:tcPr>
            <w:tcW w:type="dxa" w:w="1440"/>
            <w:shd w:val="clear" w:color="auto" w:fill="F4F7FC"/>
          </w:tcPr>
          <w:p>
            <w:pPr>
              <w:spacing w:before="20" w:after="20"/>
            </w:pPr>
            <w:r>
              <w:rPr>
                <w:rFonts w:ascii="Calibri" w:hAnsi="Calibri"/>
                <w:sz w:val="18"/>
              </w:rPr>
              <w:t>15,000 FC</w:t>
            </w:r>
          </w:p>
        </w:tc>
        <w:tc>
          <w:tcPr>
            <w:tcW w:type="dxa" w:w="1872"/>
            <w:shd w:val="clear" w:color="auto" w:fill="F4F7FC"/>
          </w:tcPr>
          <w:p>
            <w:pPr>
              <w:spacing w:before="20" w:after="20"/>
            </w:pPr>
            <w:r>
              <w:rPr>
                <w:rFonts w:ascii="Calibri" w:hAnsi="Calibri"/>
                <w:sz w:val="18"/>
              </w:rPr>
              <w:t>14,822 FC</w:t>
            </w:r>
          </w:p>
        </w:tc>
        <w:tc>
          <w:tcPr>
            <w:tcW w:type="dxa" w:w="1584"/>
            <w:shd w:val="clear" w:color="auto" w:fill="F4F7FC"/>
          </w:tcPr>
          <w:p>
            <w:pPr>
              <w:spacing w:before="20" w:after="20"/>
            </w:pPr>
            <w:r>
              <w:rPr>
                <w:rFonts w:ascii="Calibri" w:hAnsi="Calibri"/>
                <w:sz w:val="18"/>
              </w:rPr>
              <w:t>178 FC</w:t>
            </w:r>
          </w:p>
        </w:tc>
        <w:tc>
          <w:tcPr>
            <w:tcW w:type="dxa" w:w="1152"/>
            <w:shd w:val="clear" w:color="auto" w:fill="F4F7FC"/>
          </w:tcPr>
          <w:p>
            <w:pPr>
              <w:spacing w:before="20" w:after="20"/>
            </w:pPr>
            <w:r>
              <w:rPr>
                <w:rFonts w:ascii="Calibri" w:hAnsi="Calibri"/>
                <w:sz w:val="18"/>
              </w:rPr>
              <w:t>98.8%</w:t>
            </w:r>
          </w:p>
        </w:tc>
        <w:tc>
          <w:tcPr>
            <w:tcW w:type="dxa" w:w="1872"/>
            <w:shd w:val="clear" w:color="auto" w:fill="F4F7FC"/>
          </w:tcPr>
          <w:p>
            <w:pPr>
              <w:spacing w:before="20" w:after="20"/>
            </w:pPr>
            <w:r>
              <w:rPr>
                <w:rFonts w:ascii="Calibri" w:hAnsi="Calibri"/>
                <w:sz w:val="18"/>
              </w:rPr>
              <w:t>URGENT — same as HPC Stg 3</w:t>
            </w:r>
          </w:p>
        </w:tc>
      </w:tr>
      <w:tr>
        <w:tc>
          <w:tcPr>
            <w:tcW w:type="dxa" w:w="2880"/>
            <w:shd w:val="clear" w:color="auto" w:fill="FFFFFF"/>
          </w:tcPr>
          <w:p>
            <w:pPr>
              <w:spacing w:before="20" w:after="20"/>
            </w:pPr>
            <w:r>
              <w:rPr>
                <w:rFonts w:ascii="Calibri" w:hAnsi="Calibri"/>
                <w:sz w:val="18"/>
              </w:rPr>
              <w:t>HPT Stg 1 Blade – Eng 1</w:t>
            </w:r>
          </w:p>
        </w:tc>
        <w:tc>
          <w:tcPr>
            <w:tcW w:type="dxa" w:w="1440"/>
            <w:shd w:val="clear" w:color="auto" w:fill="FFFFFF"/>
          </w:tcPr>
          <w:p>
            <w:pPr>
              <w:spacing w:before="20" w:after="20"/>
            </w:pPr>
            <w:r>
              <w:rPr>
                <w:rFonts w:ascii="Calibri" w:hAnsi="Calibri"/>
                <w:sz w:val="18"/>
              </w:rPr>
              <w:t>10,000 FC (post-PRSV)</w:t>
            </w:r>
          </w:p>
        </w:tc>
        <w:tc>
          <w:tcPr>
            <w:tcW w:type="dxa" w:w="1872"/>
            <w:shd w:val="clear" w:color="auto" w:fill="FFFFFF"/>
          </w:tcPr>
          <w:p>
            <w:pPr>
              <w:spacing w:before="20" w:after="20"/>
            </w:pPr>
            <w:r>
              <w:rPr>
                <w:rFonts w:ascii="Calibri" w:hAnsi="Calibri"/>
                <w:sz w:val="18"/>
              </w:rPr>
              <w:t>2,500 FC</w:t>
            </w:r>
          </w:p>
        </w:tc>
        <w:tc>
          <w:tcPr>
            <w:tcW w:type="dxa" w:w="1584"/>
            <w:shd w:val="clear" w:color="auto" w:fill="FFFFFF"/>
          </w:tcPr>
          <w:p>
            <w:pPr>
              <w:spacing w:before="20" w:after="20"/>
            </w:pPr>
            <w:r>
              <w:rPr>
                <w:rFonts w:ascii="Calibri" w:hAnsi="Calibri"/>
                <w:sz w:val="18"/>
              </w:rPr>
              <w:t>7,500 FC</w:t>
            </w:r>
          </w:p>
        </w:tc>
        <w:tc>
          <w:tcPr>
            <w:tcW w:type="dxa" w:w="1152"/>
            <w:shd w:val="clear" w:color="auto" w:fill="FFFFFF"/>
          </w:tcPr>
          <w:p>
            <w:pPr>
              <w:spacing w:before="20" w:after="20"/>
            </w:pPr>
            <w:r>
              <w:rPr>
                <w:rFonts w:ascii="Calibri" w:hAnsi="Calibri"/>
                <w:sz w:val="18"/>
              </w:rPr>
              <w:t>25.0%</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6,000 FH / 36 months</w:t>
            </w:r>
          </w:p>
        </w:tc>
        <w:tc>
          <w:tcPr>
            <w:tcW w:type="dxa" w:w="1872"/>
            <w:shd w:val="clear" w:color="auto" w:fill="F4F7FC"/>
          </w:tcPr>
          <w:p>
            <w:pPr>
              <w:spacing w:before="20" w:after="20"/>
            </w:pPr>
            <w:r>
              <w:rPr>
                <w:rFonts w:ascii="Calibri" w:hAnsi="Calibri"/>
                <w:sz w:val="18"/>
              </w:rPr>
              <w:t>4,823 FH since C-Chk</w:t>
            </w:r>
          </w:p>
        </w:tc>
        <w:tc>
          <w:tcPr>
            <w:tcW w:type="dxa" w:w="1584"/>
            <w:shd w:val="clear" w:color="auto" w:fill="F4F7FC"/>
          </w:tcPr>
          <w:p>
            <w:pPr>
              <w:spacing w:before="20" w:after="20"/>
            </w:pPr>
            <w:r>
              <w:rPr>
                <w:rFonts w:ascii="Calibri" w:hAnsi="Calibri"/>
                <w:sz w:val="18"/>
              </w:rPr>
              <w:t>1,177 FH</w:t>
            </w:r>
          </w:p>
        </w:tc>
        <w:tc>
          <w:tcPr>
            <w:tcW w:type="dxa" w:w="1152"/>
            <w:shd w:val="clear" w:color="auto" w:fill="F4F7FC"/>
          </w:tcPr>
          <w:p>
            <w:pPr>
              <w:spacing w:before="20" w:after="20"/>
            </w:pPr>
            <w:r>
              <w:rPr>
                <w:rFonts w:ascii="Calibri" w:hAnsi="Calibri"/>
                <w:sz w:val="18"/>
              </w:rPr>
              <w:t>80.4%</w:t>
            </w:r>
          </w:p>
        </w:tc>
        <w:tc>
          <w:tcPr>
            <w:tcW w:type="dxa" w:w="1872"/>
            <w:shd w:val="clear" w:color="auto" w:fill="F4F7FC"/>
          </w:tcPr>
          <w:p>
            <w:pPr>
              <w:spacing w:before="20" w:after="20"/>
            </w:pPr>
            <w:r>
              <w:rPr>
                <w:rFonts w:ascii="Calibri" w:hAnsi="Calibri"/>
                <w:sz w:val="18"/>
              </w:rPr>
              <w:t>Within 13 months</w:t>
            </w:r>
          </w:p>
        </w:tc>
      </w:tr>
      <w:tr>
        <w:tc>
          <w:tcPr>
            <w:tcW w:type="dxa" w:w="2880"/>
            <w:shd w:val="clear" w:color="auto" w:fill="FFFFFF"/>
          </w:tcPr>
          <w:p>
            <w:pPr>
              <w:spacing w:before="20" w:after="20"/>
            </w:pPr>
            <w:r>
              <w:rPr>
                <w:rFonts w:ascii="Calibri" w:hAnsi="Calibri"/>
                <w:sz w:val="18"/>
              </w:rPr>
              <w:t>NLG Overhaul</w:t>
            </w:r>
          </w:p>
        </w:tc>
        <w:tc>
          <w:tcPr>
            <w:tcW w:type="dxa" w:w="1440"/>
            <w:shd w:val="clear" w:color="auto" w:fill="FFFFFF"/>
          </w:tcPr>
          <w:p>
            <w:pPr>
              <w:spacing w:before="20" w:after="20"/>
            </w:pPr>
            <w:r>
              <w:rPr>
                <w:rFonts w:ascii="Calibri" w:hAnsi="Calibri"/>
                <w:sz w:val="18"/>
              </w:rPr>
              <w:t>10 years</w:t>
            </w:r>
          </w:p>
        </w:tc>
        <w:tc>
          <w:tcPr>
            <w:tcW w:type="dxa" w:w="1872"/>
            <w:shd w:val="clear" w:color="auto" w:fill="FFFFFF"/>
          </w:tcPr>
          <w:p>
            <w:pPr>
              <w:spacing w:before="20" w:after="20"/>
            </w:pPr>
            <w:r>
              <w:rPr>
                <w:rFonts w:ascii="Calibri" w:hAnsi="Calibri"/>
                <w:sz w:val="18"/>
              </w:rPr>
              <w:t>6 yrs since OH</w:t>
            </w:r>
          </w:p>
        </w:tc>
        <w:tc>
          <w:tcPr>
            <w:tcW w:type="dxa" w:w="1584"/>
            <w:shd w:val="clear" w:color="auto" w:fill="FFFFFF"/>
          </w:tcPr>
          <w:p>
            <w:pPr>
              <w:spacing w:before="20" w:after="20"/>
            </w:pPr>
            <w:r>
              <w:rPr>
                <w:rFonts w:ascii="Calibri" w:hAnsi="Calibri"/>
                <w:sz w:val="18"/>
              </w:rPr>
              <w:t>4 yrs remaining</w:t>
            </w:r>
          </w:p>
        </w:tc>
        <w:tc>
          <w:tcPr>
            <w:tcW w:type="dxa" w:w="1152"/>
            <w:shd w:val="clear" w:color="auto" w:fill="FFFFFF"/>
          </w:tcPr>
          <w:p>
            <w:pPr>
              <w:spacing w:before="20" w:after="20"/>
            </w:pPr>
            <w:r>
              <w:rPr>
                <w:rFonts w:ascii="Calibri" w:hAnsi="Calibri"/>
                <w:sz w:val="18"/>
              </w:rPr>
              <w:t>60%</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MLG Overhaul</w:t>
            </w:r>
          </w:p>
        </w:tc>
        <w:tc>
          <w:tcPr>
            <w:tcW w:type="dxa" w:w="1440"/>
            <w:shd w:val="clear" w:color="auto" w:fill="F4F7FC"/>
          </w:tcPr>
          <w:p>
            <w:pPr>
              <w:spacing w:before="20" w:after="20"/>
            </w:pPr>
            <w:r>
              <w:rPr>
                <w:rFonts w:ascii="Calibri" w:hAnsi="Calibri"/>
                <w:sz w:val="18"/>
              </w:rPr>
              <w:t>10 years</w:t>
            </w:r>
          </w:p>
        </w:tc>
        <w:tc>
          <w:tcPr>
            <w:tcW w:type="dxa" w:w="1872"/>
            <w:shd w:val="clear" w:color="auto" w:fill="F4F7FC"/>
          </w:tcPr>
          <w:p>
            <w:pPr>
              <w:spacing w:before="20" w:after="20"/>
            </w:pPr>
            <w:r>
              <w:rPr>
                <w:rFonts w:ascii="Calibri" w:hAnsi="Calibri"/>
                <w:sz w:val="18"/>
              </w:rPr>
              <w:t>5.5 yrs since OH</w:t>
            </w:r>
          </w:p>
        </w:tc>
        <w:tc>
          <w:tcPr>
            <w:tcW w:type="dxa" w:w="1584"/>
            <w:shd w:val="clear" w:color="auto" w:fill="F4F7FC"/>
          </w:tcPr>
          <w:p>
            <w:pPr>
              <w:spacing w:before="20" w:after="20"/>
            </w:pPr>
            <w:r>
              <w:rPr>
                <w:rFonts w:ascii="Calibri" w:hAnsi="Calibri"/>
                <w:sz w:val="18"/>
              </w:rPr>
              <w:t>4.5 yrs remaining</w:t>
            </w:r>
          </w:p>
        </w:tc>
        <w:tc>
          <w:tcPr>
            <w:tcW w:type="dxa" w:w="1152"/>
            <w:shd w:val="clear" w:color="auto" w:fill="F4F7FC"/>
          </w:tcPr>
          <w:p>
            <w:pPr>
              <w:spacing w:before="20" w:after="20"/>
            </w:pPr>
            <w:r>
              <w:rPr>
                <w:rFonts w:ascii="Calibri" w:hAnsi="Calibri"/>
                <w:sz w:val="18"/>
              </w:rPr>
              <w:t>55%</w:t>
            </w:r>
          </w:p>
        </w:tc>
        <w:tc>
          <w:tcPr>
            <w:tcW w:type="dxa" w:w="1872"/>
            <w:shd w:val="clear" w:color="auto" w:fill="F4F7FC"/>
          </w:tcPr>
          <w:p>
            <w:pPr>
              <w:spacing w:before="20" w:after="20"/>
            </w:pPr>
            <w:r>
              <w:rPr>
                <w:rFonts w:ascii="Calibri" w:hAnsi="Calibri"/>
                <w:sz w:val="18"/>
              </w:rPr>
              <w:t>Normal</w:t>
            </w:r>
          </w:p>
        </w:tc>
      </w:tr>
      <w:tr>
        <w:tc>
          <w:tcPr>
            <w:tcW w:type="dxa" w:w="2880"/>
            <w:shd w:val="clear" w:color="auto" w:fill="FFFFFF"/>
          </w:tcPr>
          <w:p>
            <w:pPr>
              <w:spacing w:before="20" w:after="20"/>
            </w:pPr>
            <w:r>
              <w:rPr>
                <w:rFonts w:ascii="Calibri" w:hAnsi="Calibri"/>
                <w:sz w:val="18"/>
              </w:rPr>
              <w:t>APU HSI</w:t>
            </w:r>
          </w:p>
        </w:tc>
        <w:tc>
          <w:tcPr>
            <w:tcW w:type="dxa" w:w="1440"/>
            <w:shd w:val="clear" w:color="auto" w:fill="FFFFFF"/>
          </w:tcPr>
          <w:p>
            <w:pPr>
              <w:spacing w:before="20" w:after="20"/>
            </w:pPr>
            <w:r>
              <w:rPr>
                <w:rFonts w:ascii="Calibri" w:hAnsi="Calibri"/>
                <w:sz w:val="18"/>
              </w:rPr>
              <w:t>4,000 APU-H</w:t>
            </w:r>
          </w:p>
        </w:tc>
        <w:tc>
          <w:tcPr>
            <w:tcW w:type="dxa" w:w="1872"/>
            <w:shd w:val="clear" w:color="auto" w:fill="FFFFFF"/>
          </w:tcPr>
          <w:p>
            <w:pPr>
              <w:spacing w:before="20" w:after="20"/>
            </w:pPr>
            <w:r>
              <w:rPr>
                <w:rFonts w:ascii="Calibri" w:hAnsi="Calibri"/>
                <w:sz w:val="18"/>
              </w:rPr>
              <w:t>2,184 APU-H since HSI</w:t>
            </w:r>
          </w:p>
        </w:tc>
        <w:tc>
          <w:tcPr>
            <w:tcW w:type="dxa" w:w="1584"/>
            <w:shd w:val="clear" w:color="auto" w:fill="FFFFFF"/>
          </w:tcPr>
          <w:p>
            <w:pPr>
              <w:spacing w:before="20" w:after="20"/>
            </w:pPr>
            <w:r>
              <w:rPr>
                <w:rFonts w:ascii="Calibri" w:hAnsi="Calibri"/>
                <w:sz w:val="18"/>
              </w:rPr>
              <w:t>1,816 APU-H</w:t>
            </w:r>
          </w:p>
        </w:tc>
        <w:tc>
          <w:tcPr>
            <w:tcW w:type="dxa" w:w="1152"/>
            <w:shd w:val="clear" w:color="auto" w:fill="FFFFFF"/>
          </w:tcPr>
          <w:p>
            <w:pPr>
              <w:spacing w:before="20" w:after="20"/>
            </w:pPr>
            <w:r>
              <w:rPr>
                <w:rFonts w:ascii="Calibri" w:hAnsi="Calibri"/>
                <w:sz w:val="18"/>
              </w:rPr>
              <w:t>54.6%</w:t>
            </w:r>
          </w:p>
        </w:tc>
        <w:tc>
          <w:tcPr>
            <w:tcW w:type="dxa" w:w="1872"/>
            <w:shd w:val="clear" w:color="auto" w:fill="FFFFFF"/>
          </w:tcPr>
          <w:p>
            <w:pPr>
              <w:spacing w:before="20" w:after="20"/>
            </w:pPr>
            <w:r>
              <w:rPr>
                <w:rFonts w:ascii="Calibri" w:hAnsi="Calibri"/>
                <w:sz w:val="18"/>
              </w:rPr>
              <w:t>Normal</w:t>
            </w:r>
          </w:p>
        </w:tc>
      </w:tr>
    </w:tbl>
    <w:p/>
    <w:p>
      <w:r>
        <w:br w:type="page"/>
      </w:r>
    </w:p>
    <w:p>
      <w:pPr>
        <w:pStyle w:val="Heading2"/>
      </w:pPr>
      <w:r>
        <w:rPr>
          <w:rFonts w:ascii="Calibri" w:hAnsi="Calibri"/>
          <w:b/>
          <w:color w:val="0D2B55"/>
          <w:sz w:val="24"/>
        </w:rPr>
        <w:t>5. PAYMENT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Amount (USD)</w:t>
            </w:r>
          </w:p>
        </w:tc>
      </w:tr>
      <w:tr>
        <w:tc>
          <w:tcPr>
            <w:tcW w:type="dxa" w:w="5040"/>
            <w:shd w:val="clear" w:color="auto" w:fill="FFFFFF"/>
          </w:tcPr>
          <w:p>
            <w:pPr>
              <w:spacing w:before="20" w:after="20"/>
            </w:pPr>
            <w:r>
              <w:rPr>
                <w:rFonts w:ascii="Calibri" w:hAnsi="Calibri"/>
                <w:sz w:val="18"/>
              </w:rPr>
              <w:t>Base Rent — July 2025</w:t>
            </w:r>
          </w:p>
        </w:tc>
        <w:tc>
          <w:tcPr>
            <w:tcW w:type="dxa" w:w="4320"/>
            <w:shd w:val="clear" w:color="auto" w:fill="FFFFFF"/>
          </w:tcPr>
          <w:p>
            <w:pPr>
              <w:spacing w:before="20" w:after="20"/>
            </w:pPr>
            <w:r>
              <w:rPr>
                <w:rFonts w:ascii="Calibri" w:hAnsi="Calibri"/>
                <w:sz w:val="18"/>
              </w:rPr>
              <w:t>USD 420,000</w:t>
            </w:r>
          </w:p>
        </w:tc>
      </w:tr>
      <w:tr>
        <w:tc>
          <w:tcPr>
            <w:tcW w:type="dxa" w:w="5040"/>
            <w:shd w:val="clear" w:color="auto" w:fill="F4F7FC"/>
          </w:tcPr>
          <w:p>
            <w:pPr>
              <w:spacing w:before="20" w:after="20"/>
            </w:pPr>
            <w:r>
              <w:rPr>
                <w:rFonts w:ascii="Calibri" w:hAnsi="Calibri"/>
                <w:sz w:val="18"/>
              </w:rPr>
              <w:t>Base Rent — August 2025</w:t>
            </w:r>
          </w:p>
        </w:tc>
        <w:tc>
          <w:tcPr>
            <w:tcW w:type="dxa" w:w="4320"/>
            <w:shd w:val="clear" w:color="auto" w:fill="F4F7FC"/>
          </w:tcPr>
          <w:p>
            <w:pPr>
              <w:spacing w:before="20" w:after="20"/>
            </w:pPr>
            <w:r>
              <w:rPr>
                <w:rFonts w:ascii="Calibri" w:hAnsi="Calibri"/>
                <w:sz w:val="18"/>
              </w:rPr>
              <w:t>USD 420,000</w:t>
            </w:r>
          </w:p>
        </w:tc>
      </w:tr>
      <w:tr>
        <w:tc>
          <w:tcPr>
            <w:tcW w:type="dxa" w:w="5040"/>
            <w:shd w:val="clear" w:color="auto" w:fill="FFFFFF"/>
          </w:tcPr>
          <w:p>
            <w:pPr>
              <w:spacing w:before="20" w:after="20"/>
            </w:pPr>
            <w:r>
              <w:rPr>
                <w:rFonts w:ascii="Calibri" w:hAnsi="Calibri"/>
                <w:sz w:val="18"/>
              </w:rPr>
              <w:t>Base Rent — September 2025</w:t>
            </w:r>
          </w:p>
        </w:tc>
        <w:tc>
          <w:tcPr>
            <w:tcW w:type="dxa" w:w="4320"/>
            <w:shd w:val="clear" w:color="auto" w:fill="FFFFFF"/>
          </w:tcPr>
          <w:p>
            <w:pPr>
              <w:spacing w:before="20" w:after="20"/>
            </w:pPr>
            <w:r>
              <w:rPr>
                <w:rFonts w:ascii="Calibri" w:hAnsi="Calibri"/>
                <w:sz w:val="18"/>
              </w:rPr>
              <w:t>USD 420,000</w:t>
            </w:r>
          </w:p>
        </w:tc>
      </w:tr>
      <w:tr>
        <w:tc>
          <w:tcPr>
            <w:tcW w:type="dxa" w:w="5040"/>
            <w:shd w:val="clear" w:color="auto" w:fill="F4F7FC"/>
          </w:tcPr>
          <w:p>
            <w:pPr>
              <w:spacing w:before="20" w:after="20"/>
            </w:pPr>
            <w:r>
              <w:rPr>
                <w:rFonts w:ascii="Calibri" w:hAnsi="Calibri"/>
                <w:sz w:val="18"/>
              </w:rPr>
              <w:t>Q3 2025 Maintenance Reserves (all components)</w:t>
            </w:r>
          </w:p>
        </w:tc>
        <w:tc>
          <w:tcPr>
            <w:tcW w:type="dxa" w:w="4320"/>
            <w:shd w:val="clear" w:color="auto" w:fill="F4F7FC"/>
          </w:tcPr>
          <w:p>
            <w:pPr>
              <w:spacing w:before="20" w:after="20"/>
            </w:pPr>
            <w:r>
              <w:rPr>
                <w:rFonts w:ascii="Calibri" w:hAnsi="Calibri"/>
                <w:sz w:val="18"/>
              </w:rPr>
              <w:t>USD 2,037,920</w:t>
            </w:r>
          </w:p>
        </w:tc>
      </w:tr>
      <w:tr>
        <w:tc>
          <w:tcPr>
            <w:tcW w:type="dxa" w:w="5040"/>
            <w:shd w:val="clear" w:color="auto" w:fill="FFFFFF"/>
          </w:tcPr>
          <w:p>
            <w:pPr>
              <w:spacing w:before="20" w:after="20"/>
            </w:pPr>
            <w:r>
              <w:rPr>
                <w:rFonts w:ascii="Calibri" w:hAnsi="Calibri"/>
                <w:sz w:val="18"/>
              </w:rPr>
              <w:t>Late payment interest (Art. 6.4)</w:t>
            </w:r>
          </w:p>
        </w:tc>
        <w:tc>
          <w:tcPr>
            <w:tcW w:type="dxa" w:w="4320"/>
            <w:shd w:val="clear" w:color="auto" w:fill="FFFFFF"/>
          </w:tcPr>
          <w:p>
            <w:pPr>
              <w:spacing w:before="20" w:after="20"/>
            </w:pPr>
            <w:r>
              <w:rPr>
                <w:rFonts w:ascii="Calibri" w:hAnsi="Calibri"/>
                <w:sz w:val="18"/>
              </w:rPr>
              <w:t>USD 0 (assumed timely)</w:t>
            </w:r>
          </w:p>
        </w:tc>
      </w:tr>
      <w:tr>
        <w:tc>
          <w:tcPr>
            <w:tcW w:type="dxa" w:w="5040"/>
            <w:shd w:val="clear" w:color="auto" w:fill="F4F7FC"/>
          </w:tcPr>
          <w:p>
            <w:pPr>
              <w:spacing w:before="20" w:after="20"/>
            </w:pPr>
            <w:r>
              <w:rPr>
                <w:rFonts w:ascii="Calibri" w:hAnsi="Calibri"/>
                <w:sz w:val="18"/>
              </w:rPr>
              <w:t>TOTAL PAYABLE BY 20 OCTOBER 2025</w:t>
            </w:r>
          </w:p>
        </w:tc>
        <w:tc>
          <w:tcPr>
            <w:tcW w:type="dxa" w:w="4320"/>
            <w:shd w:val="clear" w:color="auto" w:fill="F4F7FC"/>
          </w:tcPr>
          <w:p>
            <w:pPr>
              <w:spacing w:before="20" w:after="20"/>
            </w:pPr>
            <w:r>
              <w:rPr>
                <w:rFonts w:ascii="Calibri" w:hAnsi="Calibri"/>
                <w:sz w:val="18"/>
              </w:rPr>
              <w:t>USD 3,297,920</w:t>
            </w:r>
          </w:p>
        </w:tc>
      </w:tr>
    </w:tbl>
    <w:p/>
    <w:p>
      <w:pPr>
        <w:spacing w:after="100"/>
      </w:pPr>
      <w:r>
        <w:rPr>
          <w:rFonts w:ascii="Calibri" w:hAnsi="Calibri"/>
          <w:i w:val="0"/>
          <w:sz w:val="20"/>
        </w:rPr>
        <w:t>Wire transfer instructions per Article 6.3 of Lease SRS. Payment reference: SRS-N34567-Q3-2025</w:t>
      </w:r>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SUPPLEMENTAL RENT STATEMENT</w:t>
          </w:r>
        </w:p>
      </w:tc>
      <w:tc>
        <w:tcPr>
          <w:tcW w:type="dxa" w:w="3120"/>
        </w:tcPr>
        <w:p>
          <w:pPr>
            <w:jc w:val="right"/>
          </w:pPr>
          <w:r>
            <w:rPr>
              <w:rFonts w:ascii="Calibri" w:hAnsi="Calibri"/>
              <w:color w:val="666666"/>
              <w:sz w:val="16"/>
            </w:rPr>
            <w:t>SRS-N34567-Q3-2025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