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46ED9" w14:textId="77777777" w:rsidR="00866CCF" w:rsidRPr="00527DAB" w:rsidRDefault="00866CCF" w:rsidP="000E73E3">
      <w:pPr>
        <w:pStyle w:val="StandardWeb"/>
        <w:shd w:val="clear" w:color="auto" w:fill="FFFFFF"/>
        <w:rPr>
          <w:b/>
          <w:sz w:val="32"/>
          <w:szCs w:val="32"/>
        </w:rPr>
      </w:pPr>
      <w:r w:rsidRPr="00527DAB">
        <w:rPr>
          <w:b/>
          <w:sz w:val="32"/>
          <w:szCs w:val="32"/>
        </w:rPr>
        <w:t>Startseite Deutsch</w:t>
      </w:r>
    </w:p>
    <w:p w14:paraId="3A2D65E8" w14:textId="5FD65A3F" w:rsidR="00527DAB" w:rsidRPr="00527DAB" w:rsidRDefault="00E70001" w:rsidP="000E73E3">
      <w:pPr>
        <w:pStyle w:val="StandardWeb"/>
        <w:shd w:val="clear" w:color="auto" w:fill="FFFFFF"/>
        <w:rPr>
          <w:b/>
        </w:rPr>
      </w:pPr>
      <w:r>
        <w:rPr>
          <w:b/>
        </w:rPr>
        <w:t>Zentraler Text</w:t>
      </w:r>
    </w:p>
    <w:p w14:paraId="7AAB3E68" w14:textId="7E30DECE" w:rsidR="000E73E3" w:rsidRDefault="0089141F" w:rsidP="00C733AD">
      <w:pPr>
        <w:pStyle w:val="StandardWeb"/>
        <w:shd w:val="clear" w:color="auto" w:fill="FFFFFF"/>
        <w:jc w:val="both"/>
      </w:pPr>
      <w:r>
        <w:t xml:space="preserve">Der in Spanien geborene Fürst Ferdinand I. (1503–1564), der 1521/22 die Herrschaft über die habsburgischen </w:t>
      </w:r>
      <w:r w:rsidR="0003211F">
        <w:t xml:space="preserve">Erblande </w:t>
      </w:r>
      <w:r w:rsidR="00735D11">
        <w:t>antrat</w:t>
      </w:r>
      <w:r w:rsidR="0003211F">
        <w:t xml:space="preserve">, </w:t>
      </w:r>
      <w:r>
        <w:t xml:space="preserve">nach der Schlacht von Mohács (1526) auch König </w:t>
      </w:r>
      <w:r w:rsidR="0003211F">
        <w:t>von Böhmen und Ungarn wurde</w:t>
      </w:r>
      <w:r>
        <w:t xml:space="preserve"> und schließlich seinem älteren Bruder Karl V. als Kaiser </w:t>
      </w:r>
      <w:r w:rsidR="0003211F">
        <w:t xml:space="preserve">(1556/58) </w:t>
      </w:r>
      <w:r>
        <w:t xml:space="preserve">folgte, darf als der Gründer der Donaumonarchie gelten, die bis zum Ende des Ersten Weltkriegs Bestand hatte. </w:t>
      </w:r>
      <w:r w:rsidR="000E73E3" w:rsidRPr="004F1BCE">
        <w:t xml:space="preserve">Für die Erforschung der Geschichte des 16. Jahrhunderts stellt die Korrespondenz, die </w:t>
      </w:r>
      <w:r>
        <w:t xml:space="preserve">er </w:t>
      </w:r>
      <w:r w:rsidR="000E73E3" w:rsidRPr="004F1BCE">
        <w:t xml:space="preserve">mit seinen engsten Verwandten, v. a. </w:t>
      </w:r>
      <w:r>
        <w:t xml:space="preserve">mit seinen Geschwistern Karl V. </w:t>
      </w:r>
      <w:r w:rsidR="000E73E3" w:rsidRPr="004F1BCE">
        <w:t>und Maria von Ungarn, der Statthalterin der Niederlande, führte, eine Quelle ersten Ranges dar. D</w:t>
      </w:r>
      <w:r>
        <w:t>ies</w:t>
      </w:r>
      <w:r w:rsidR="000E73E3" w:rsidRPr="004F1BCE">
        <w:t>er Briefwechsel ist deshalb von so hoher Bedeutung, weil in ihm alle großen Probleme des 16. Jahrhunderts angesprochen werden, so die konfessionelle Spaltung im Heiligen Römischen Reich, die Auseinandersetzungen mit Frankreich oder d</w:t>
      </w:r>
      <w:r>
        <w:t>ie Abwehr der Osmanen. Auch aus einer sprach- und kulturwissenschaftlichen Perspektive ist die Familienk</w:t>
      </w:r>
      <w:r w:rsidR="000E73E3" w:rsidRPr="004F1BCE">
        <w:t>orrespondenz</w:t>
      </w:r>
      <w:r>
        <w:t xml:space="preserve"> Ferdinands I.</w:t>
      </w:r>
      <w:r w:rsidR="000E73E3" w:rsidRPr="004F1BCE">
        <w:t xml:space="preserve"> außerordentlich interessant, verwendeten die Habsburgergeschwister doch nicht nur eine einzige Spra</w:t>
      </w:r>
      <w:r w:rsidR="004F1BCE">
        <w:t>che, sondern schrieben einander</w:t>
      </w:r>
      <w:r w:rsidR="000E73E3" w:rsidRPr="004F1BCE">
        <w:t xml:space="preserve"> in Französisch, Deutsch, Spanisch und Latein. Seit dem Beginn des 20. Jahrhunderts wird </w:t>
      </w:r>
      <w:r>
        <w:t>– im Rahmen</w:t>
      </w:r>
      <w:r w:rsidR="00735D11">
        <w:t xml:space="preserve"> der Bemühungen der Kommission</w:t>
      </w:r>
      <w:r>
        <w:t xml:space="preserve"> für Neuere Geschichte Österreichs – </w:t>
      </w:r>
      <w:r w:rsidR="000E73E3" w:rsidRPr="004F1BCE">
        <w:t>an der Edition der Korrespondenz g</w:t>
      </w:r>
      <w:r>
        <w:t>earbeitet, und bisher sind die Briefj</w:t>
      </w:r>
      <w:r w:rsidR="000E73E3" w:rsidRPr="004F1BCE">
        <w:t xml:space="preserve">ahrgänge bis </w:t>
      </w:r>
      <w:r w:rsidR="004F1BCE">
        <w:t>einschließlich 1536 im Druck erschienen.</w:t>
      </w:r>
    </w:p>
    <w:p w14:paraId="168626C7" w14:textId="5457D48E" w:rsidR="004F1BCE" w:rsidRDefault="004F1BCE" w:rsidP="00C733AD">
      <w:pPr>
        <w:pStyle w:val="StandardWeb"/>
        <w:shd w:val="clear" w:color="auto" w:fill="FFFFFF"/>
        <w:jc w:val="both"/>
      </w:pPr>
      <w:r>
        <w:t xml:space="preserve">Der erste von Wilhelm Bauer herausgegebene Band der Familienkorrespondenz aus dem Jahr 1912, der die Briefe </w:t>
      </w:r>
      <w:r w:rsidR="00735D11">
        <w:t>(A1–</w:t>
      </w:r>
      <w:r w:rsidR="00C733AD">
        <w:t xml:space="preserve">A261) </w:t>
      </w:r>
      <w:r w:rsidR="00D11C76">
        <w:t xml:space="preserve">von 1514 </w:t>
      </w:r>
      <w:r>
        <w:t xml:space="preserve">bis </w:t>
      </w:r>
      <w:r w:rsidR="00D11C76">
        <w:t xml:space="preserve">Ende </w:t>
      </w:r>
      <w:r>
        <w:t xml:space="preserve">1526 beinhaltet, wurde für diese Datenbank aufbereitet. Die weiteren bisher gedruckten Bände </w:t>
      </w:r>
      <w:r w:rsidR="0089141F">
        <w:t xml:space="preserve">wie auch das bisher aufbereitete Briefmaterial </w:t>
      </w:r>
      <w:r>
        <w:t>sollen in den nächsten Jahren folgen.</w:t>
      </w:r>
    </w:p>
    <w:p w14:paraId="057E1243" w14:textId="62C24C65" w:rsidR="00E70001" w:rsidRDefault="000820AF" w:rsidP="000E73E3">
      <w:pPr>
        <w:pStyle w:val="StandardWeb"/>
        <w:shd w:val="clear" w:color="auto" w:fill="FFFFFF"/>
        <w:rPr>
          <w:b/>
        </w:rPr>
      </w:pPr>
      <w:r>
        <w:rPr>
          <w:b/>
        </w:rPr>
        <w:t xml:space="preserve">Horizontale </w:t>
      </w:r>
      <w:r w:rsidR="00527DAB" w:rsidRPr="00527DAB">
        <w:rPr>
          <w:b/>
        </w:rPr>
        <w:t>L</w:t>
      </w:r>
      <w:r w:rsidR="00D25664">
        <w:rPr>
          <w:b/>
        </w:rPr>
        <w:t>eiste o</w:t>
      </w:r>
      <w:r w:rsidR="00E70001">
        <w:rPr>
          <w:b/>
        </w:rPr>
        <w:t>ben (</w:t>
      </w:r>
      <w:r w:rsidR="00D25664">
        <w:rPr>
          <w:b/>
        </w:rPr>
        <w:t xml:space="preserve">wie bisher, </w:t>
      </w:r>
      <w:r w:rsidR="00E70001">
        <w:rPr>
          <w:b/>
        </w:rPr>
        <w:t>mit den folgenden anklickbaren Punkten):</w:t>
      </w:r>
    </w:p>
    <w:p w14:paraId="58400F1E" w14:textId="77777777" w:rsidR="000820AF" w:rsidRDefault="00E70001" w:rsidP="000E73E3">
      <w:pPr>
        <w:pStyle w:val="StandardWeb"/>
        <w:numPr>
          <w:ilvl w:val="0"/>
          <w:numId w:val="3"/>
        </w:numPr>
        <w:shd w:val="clear" w:color="auto" w:fill="FFFFFF"/>
      </w:pPr>
      <w:r w:rsidRPr="00E70001">
        <w:t>Start</w:t>
      </w:r>
    </w:p>
    <w:p w14:paraId="06F2F88E" w14:textId="77777777" w:rsidR="000820AF" w:rsidRDefault="00E70001" w:rsidP="000E73E3">
      <w:pPr>
        <w:pStyle w:val="StandardWeb"/>
        <w:numPr>
          <w:ilvl w:val="0"/>
          <w:numId w:val="3"/>
        </w:numPr>
        <w:shd w:val="clear" w:color="auto" w:fill="FFFFFF"/>
      </w:pPr>
      <w:r w:rsidRPr="00E70001">
        <w:t>Briefe</w:t>
      </w:r>
    </w:p>
    <w:p w14:paraId="2D514169" w14:textId="77777777" w:rsidR="000820AF" w:rsidRDefault="00E70001" w:rsidP="000E73E3">
      <w:pPr>
        <w:pStyle w:val="StandardWeb"/>
        <w:numPr>
          <w:ilvl w:val="0"/>
          <w:numId w:val="3"/>
        </w:numPr>
        <w:shd w:val="clear" w:color="auto" w:fill="FFFFFF"/>
      </w:pPr>
      <w:r w:rsidRPr="00E70001">
        <w:t>Suche</w:t>
      </w:r>
    </w:p>
    <w:p w14:paraId="2E5B7B75" w14:textId="77777777" w:rsidR="000820AF" w:rsidRDefault="00E70001" w:rsidP="000E73E3">
      <w:pPr>
        <w:pStyle w:val="StandardWeb"/>
        <w:numPr>
          <w:ilvl w:val="0"/>
          <w:numId w:val="3"/>
        </w:numPr>
        <w:shd w:val="clear" w:color="auto" w:fill="FFFFFF"/>
      </w:pPr>
      <w:r w:rsidRPr="00E70001">
        <w:t>Register</w:t>
      </w:r>
    </w:p>
    <w:p w14:paraId="684BAE00" w14:textId="77777777" w:rsidR="000820AF" w:rsidRDefault="00E70001" w:rsidP="000E73E3">
      <w:pPr>
        <w:pStyle w:val="StandardWeb"/>
        <w:numPr>
          <w:ilvl w:val="0"/>
          <w:numId w:val="3"/>
        </w:numPr>
        <w:shd w:val="clear" w:color="auto" w:fill="FFFFFF"/>
      </w:pPr>
      <w:r w:rsidRPr="00E70001">
        <w:t>Karte</w:t>
      </w:r>
    </w:p>
    <w:p w14:paraId="737F9525" w14:textId="77777777" w:rsidR="000820AF" w:rsidRDefault="00D25664" w:rsidP="000E73E3">
      <w:pPr>
        <w:pStyle w:val="StandardWeb"/>
        <w:numPr>
          <w:ilvl w:val="0"/>
          <w:numId w:val="3"/>
        </w:numPr>
        <w:shd w:val="clear" w:color="auto" w:fill="FFFFFF"/>
      </w:pPr>
      <w:r>
        <w:t>Links</w:t>
      </w:r>
    </w:p>
    <w:p w14:paraId="647DD570" w14:textId="00898F0D" w:rsidR="00E70001" w:rsidRPr="00E70001" w:rsidRDefault="00E70001" w:rsidP="000E73E3">
      <w:pPr>
        <w:pStyle w:val="StandardWeb"/>
        <w:numPr>
          <w:ilvl w:val="0"/>
          <w:numId w:val="3"/>
        </w:numPr>
        <w:shd w:val="clear" w:color="auto" w:fill="FFFFFF"/>
      </w:pPr>
      <w:r w:rsidRPr="00E70001">
        <w:t>Impressum</w:t>
      </w:r>
    </w:p>
    <w:p w14:paraId="6278E2F1" w14:textId="77777777" w:rsidR="00E70001" w:rsidRDefault="00E70001" w:rsidP="000E73E3">
      <w:pPr>
        <w:pStyle w:val="StandardWeb"/>
        <w:shd w:val="clear" w:color="auto" w:fill="FFFFFF"/>
        <w:rPr>
          <w:b/>
        </w:rPr>
      </w:pPr>
    </w:p>
    <w:p w14:paraId="6DA4CE97" w14:textId="48822E31" w:rsidR="007D578E" w:rsidRDefault="00D25664" w:rsidP="000E73E3">
      <w:pPr>
        <w:pStyle w:val="StandardWeb"/>
        <w:shd w:val="clear" w:color="auto" w:fill="FFFFFF"/>
        <w:rPr>
          <w:b/>
        </w:rPr>
      </w:pPr>
      <w:r>
        <w:rPr>
          <w:b/>
        </w:rPr>
        <w:t>Start-Seite</w:t>
      </w:r>
    </w:p>
    <w:p w14:paraId="4537DFFF" w14:textId="4D26CDAA" w:rsidR="00E70001" w:rsidRPr="00D25664" w:rsidRDefault="00E70001" w:rsidP="000E73E3">
      <w:pPr>
        <w:pStyle w:val="StandardWeb"/>
        <w:shd w:val="clear" w:color="auto" w:fill="FFFFFF"/>
      </w:pPr>
      <w:r w:rsidRPr="00D25664">
        <w:rPr>
          <w:b/>
        </w:rPr>
        <w:t>In der Mitte</w:t>
      </w:r>
      <w:r w:rsidRPr="00D25664">
        <w:t xml:space="preserve"> </w:t>
      </w:r>
      <w:r w:rsidR="00D25664">
        <w:t xml:space="preserve">sollte sich </w:t>
      </w:r>
      <w:r w:rsidRPr="00D25664">
        <w:t xml:space="preserve">der </w:t>
      </w:r>
      <w:r w:rsidR="00D25664">
        <w:t xml:space="preserve">gleiche </w:t>
      </w:r>
      <w:r w:rsidRPr="00D25664">
        <w:t>zentrale Text wie oben</w:t>
      </w:r>
      <w:r w:rsidR="00735D11">
        <w:t xml:space="preserve"> finden; hier bin ich aber auch für andere Vorschläge offen.</w:t>
      </w:r>
    </w:p>
    <w:p w14:paraId="338A51AC" w14:textId="722507B7" w:rsidR="00866CCF" w:rsidRPr="00527DAB" w:rsidRDefault="00E70001" w:rsidP="000E73E3">
      <w:pPr>
        <w:pStyle w:val="StandardWeb"/>
        <w:shd w:val="clear" w:color="auto" w:fill="FFFFFF"/>
        <w:rPr>
          <w:b/>
        </w:rPr>
      </w:pPr>
      <w:r>
        <w:rPr>
          <w:b/>
        </w:rPr>
        <w:t>Links</w:t>
      </w:r>
      <w:r w:rsidR="00527DAB" w:rsidRPr="00527DAB">
        <w:rPr>
          <w:b/>
        </w:rPr>
        <w:t xml:space="preserve"> </w:t>
      </w:r>
      <w:r w:rsidR="00D25664">
        <w:rPr>
          <w:b/>
        </w:rPr>
        <w:t xml:space="preserve">davon </w:t>
      </w:r>
      <w:r w:rsidR="00D25664" w:rsidRPr="00D25664">
        <w:t xml:space="preserve">die folgenden </w:t>
      </w:r>
      <w:r w:rsidR="00527DAB" w:rsidRPr="00D25664">
        <w:t>a</w:t>
      </w:r>
      <w:r w:rsidR="00866CCF" w:rsidRPr="00D25664">
        <w:t>nklickbare</w:t>
      </w:r>
      <w:r w:rsidR="00D25664" w:rsidRPr="00D25664">
        <w:t>n</w:t>
      </w:r>
      <w:r w:rsidR="00866CCF" w:rsidRPr="00D25664">
        <w:t xml:space="preserve"> </w:t>
      </w:r>
      <w:r w:rsidR="00527DAB" w:rsidRPr="00D25664">
        <w:t>P</w:t>
      </w:r>
      <w:r w:rsidR="00866CCF" w:rsidRPr="00D25664">
        <w:t>unkte</w:t>
      </w:r>
      <w:r w:rsidR="00527DAB" w:rsidRPr="00D25664">
        <w:t xml:space="preserve"> und Unterpunkte</w:t>
      </w:r>
      <w:r w:rsidR="00866CCF" w:rsidRPr="00D25664">
        <w:t>:</w:t>
      </w:r>
    </w:p>
    <w:p w14:paraId="5C6C01DC" w14:textId="4F9665F6" w:rsidR="00866CCF" w:rsidRPr="00D25664" w:rsidRDefault="00472AAE" w:rsidP="00472AAE">
      <w:pPr>
        <w:pStyle w:val="StandardWeb"/>
        <w:numPr>
          <w:ilvl w:val="0"/>
          <w:numId w:val="2"/>
        </w:numPr>
        <w:shd w:val="clear" w:color="auto" w:fill="FFFFFF"/>
      </w:pPr>
      <w:r w:rsidRPr="00D25664">
        <w:t>Die Familienkorrespondenz Ferdinands I.</w:t>
      </w:r>
    </w:p>
    <w:p w14:paraId="36902E9D" w14:textId="77777777" w:rsidR="00866CCF" w:rsidRPr="00D25664" w:rsidRDefault="00472AAE" w:rsidP="00866CCF">
      <w:pPr>
        <w:pStyle w:val="StandardWeb"/>
        <w:numPr>
          <w:ilvl w:val="1"/>
          <w:numId w:val="2"/>
        </w:numPr>
        <w:shd w:val="clear" w:color="auto" w:fill="FFFFFF"/>
      </w:pPr>
      <w:r w:rsidRPr="00D25664">
        <w:t>Allgemeine Charakteristik der Korrespondenz</w:t>
      </w:r>
    </w:p>
    <w:p w14:paraId="545900C5" w14:textId="77777777" w:rsidR="00866CCF" w:rsidRPr="00D25664" w:rsidRDefault="00472AAE" w:rsidP="00866CCF">
      <w:pPr>
        <w:pStyle w:val="StandardWeb"/>
        <w:numPr>
          <w:ilvl w:val="1"/>
          <w:numId w:val="2"/>
        </w:numPr>
        <w:shd w:val="clear" w:color="auto" w:fill="FFFFFF"/>
      </w:pPr>
      <w:r w:rsidRPr="00D25664">
        <w:t>Die Korrespondenzpartner</w:t>
      </w:r>
    </w:p>
    <w:p w14:paraId="757F6732" w14:textId="77777777" w:rsidR="00866CCF" w:rsidRPr="00D25664" w:rsidRDefault="00472AAE" w:rsidP="00866CCF">
      <w:pPr>
        <w:pStyle w:val="StandardWeb"/>
        <w:numPr>
          <w:ilvl w:val="1"/>
          <w:numId w:val="2"/>
        </w:numPr>
        <w:shd w:val="clear" w:color="auto" w:fill="FFFFFF"/>
      </w:pPr>
      <w:r w:rsidRPr="00D25664">
        <w:t xml:space="preserve">Sprache – Form – Inhalt </w:t>
      </w:r>
      <w:bookmarkStart w:id="0" w:name="_GoBack"/>
      <w:bookmarkEnd w:id="0"/>
    </w:p>
    <w:p w14:paraId="33A6DD01" w14:textId="77777777" w:rsidR="00866CCF" w:rsidRDefault="00B6230D" w:rsidP="00866CCF">
      <w:pPr>
        <w:pStyle w:val="StandardWeb"/>
        <w:numPr>
          <w:ilvl w:val="1"/>
          <w:numId w:val="2"/>
        </w:numPr>
        <w:shd w:val="clear" w:color="auto" w:fill="FFFFFF"/>
      </w:pPr>
      <w:r w:rsidRPr="00D25664">
        <w:t>Die Drucke</w:t>
      </w:r>
      <w:r w:rsidR="00472AAE" w:rsidRPr="00D25664">
        <w:t>dition der Briefe: Bestände, Aufbau, Geschichte</w:t>
      </w:r>
    </w:p>
    <w:p w14:paraId="2410E224" w14:textId="360E8429" w:rsidR="00D040B1" w:rsidRPr="00D25664" w:rsidRDefault="00D040B1" w:rsidP="00866CCF">
      <w:pPr>
        <w:pStyle w:val="StandardWeb"/>
        <w:numPr>
          <w:ilvl w:val="1"/>
          <w:numId w:val="2"/>
        </w:numPr>
        <w:shd w:val="clear" w:color="auto" w:fill="FFFFFF"/>
      </w:pPr>
      <w:r>
        <w:t>Auswahlbibliographie</w:t>
      </w:r>
    </w:p>
    <w:p w14:paraId="254548A5" w14:textId="25FB8F84" w:rsidR="00866CCF" w:rsidRPr="00D25664" w:rsidRDefault="00472AAE" w:rsidP="002F64CC">
      <w:pPr>
        <w:pStyle w:val="StandardWeb"/>
        <w:numPr>
          <w:ilvl w:val="0"/>
          <w:numId w:val="2"/>
        </w:numPr>
        <w:shd w:val="clear" w:color="auto" w:fill="FFFFFF"/>
      </w:pPr>
      <w:r w:rsidRPr="00D25664">
        <w:lastRenderedPageBreak/>
        <w:t xml:space="preserve">Bisher </w:t>
      </w:r>
      <w:r w:rsidR="00E70001" w:rsidRPr="00D25664">
        <w:t xml:space="preserve">im </w:t>
      </w:r>
      <w:r w:rsidR="002F64CC" w:rsidRPr="00D25664">
        <w:t>Druck erschienene Bände</w:t>
      </w:r>
    </w:p>
    <w:p w14:paraId="6E00B050" w14:textId="77777777" w:rsidR="00866CCF" w:rsidRPr="00D25664" w:rsidRDefault="00472AAE" w:rsidP="00472AAE">
      <w:pPr>
        <w:pStyle w:val="StandardWeb"/>
        <w:numPr>
          <w:ilvl w:val="0"/>
          <w:numId w:val="2"/>
        </w:numPr>
        <w:shd w:val="clear" w:color="auto" w:fill="FFFFFF"/>
      </w:pPr>
      <w:r w:rsidRPr="00D25664">
        <w:t>Vorwort der Kommission für Neuere Geschichte Österreichs zum ersten Band der Edition (1912)</w:t>
      </w:r>
    </w:p>
    <w:p w14:paraId="2B78ED1E" w14:textId="77777777" w:rsidR="00866CCF" w:rsidRPr="00D25664" w:rsidRDefault="00472AAE" w:rsidP="00472AAE">
      <w:pPr>
        <w:pStyle w:val="StandardWeb"/>
        <w:numPr>
          <w:ilvl w:val="0"/>
          <w:numId w:val="2"/>
        </w:numPr>
        <w:shd w:val="clear" w:color="auto" w:fill="FFFFFF"/>
      </w:pPr>
      <w:r w:rsidRPr="00D25664">
        <w:t xml:space="preserve">Vorwort </w:t>
      </w:r>
      <w:r w:rsidR="0065148F" w:rsidRPr="00D25664">
        <w:t xml:space="preserve">des Bearbeiters Wilhelm Bauer </w:t>
      </w:r>
      <w:r w:rsidRPr="00D25664">
        <w:t xml:space="preserve">zum ersten Band der Edition (1912) </w:t>
      </w:r>
    </w:p>
    <w:p w14:paraId="592D5BB5" w14:textId="77777777" w:rsidR="00866CCF" w:rsidRPr="00D25664" w:rsidRDefault="00472AAE" w:rsidP="000E73E3">
      <w:pPr>
        <w:pStyle w:val="StandardWeb"/>
        <w:numPr>
          <w:ilvl w:val="0"/>
          <w:numId w:val="2"/>
        </w:numPr>
        <w:shd w:val="clear" w:color="auto" w:fill="FFFFFF"/>
      </w:pPr>
      <w:r w:rsidRPr="00D25664">
        <w:t xml:space="preserve">Einleitung </w:t>
      </w:r>
      <w:r w:rsidR="0065148F" w:rsidRPr="00D25664">
        <w:t xml:space="preserve">von Wilhelm Bauer </w:t>
      </w:r>
      <w:r w:rsidRPr="00D25664">
        <w:t xml:space="preserve">zum </w:t>
      </w:r>
      <w:r w:rsidR="0065148F" w:rsidRPr="00D25664">
        <w:t>ersten Band der Edition (1912)</w:t>
      </w:r>
    </w:p>
    <w:p w14:paraId="3C24175B" w14:textId="31BAC943" w:rsidR="00B6230D" w:rsidRPr="00D25664" w:rsidRDefault="00B6230D" w:rsidP="000E73E3">
      <w:pPr>
        <w:pStyle w:val="StandardWeb"/>
        <w:numPr>
          <w:ilvl w:val="0"/>
          <w:numId w:val="2"/>
        </w:numPr>
        <w:shd w:val="clear" w:color="auto" w:fill="FFFFFF"/>
      </w:pPr>
      <w:r w:rsidRPr="00D25664">
        <w:t>Verzei</w:t>
      </w:r>
      <w:r w:rsidR="00101404" w:rsidRPr="00D25664">
        <w:t>chnis der abgekürzt zitierten Bü</w:t>
      </w:r>
      <w:r w:rsidRPr="00D25664">
        <w:t>ch</w:t>
      </w:r>
      <w:r w:rsidR="00101404" w:rsidRPr="00D25664">
        <w:t>er</w:t>
      </w:r>
      <w:r w:rsidR="000820AF">
        <w:t>titel des ersten Bandes (Briefe A1</w:t>
      </w:r>
      <w:r w:rsidR="00735D11">
        <w:t>–</w:t>
      </w:r>
      <w:r w:rsidR="000820AF">
        <w:t>A261</w:t>
      </w:r>
      <w:r w:rsidRPr="00D25664">
        <w:t>)</w:t>
      </w:r>
    </w:p>
    <w:p w14:paraId="4FA0C76A" w14:textId="77777777" w:rsidR="00866CCF" w:rsidRPr="00D25664" w:rsidRDefault="00472AAE" w:rsidP="000E73E3">
      <w:pPr>
        <w:pStyle w:val="StandardWeb"/>
        <w:numPr>
          <w:ilvl w:val="0"/>
          <w:numId w:val="2"/>
        </w:numPr>
        <w:shd w:val="clear" w:color="auto" w:fill="FFFFFF"/>
      </w:pPr>
      <w:r w:rsidRPr="00D25664">
        <w:t>Die digitale Edition</w:t>
      </w:r>
    </w:p>
    <w:p w14:paraId="6899DE83" w14:textId="77777777" w:rsidR="00472AAE" w:rsidRPr="00D25664" w:rsidRDefault="00866CCF" w:rsidP="001A7F49">
      <w:pPr>
        <w:pStyle w:val="StandardWeb"/>
        <w:numPr>
          <w:ilvl w:val="0"/>
          <w:numId w:val="2"/>
        </w:numPr>
        <w:shd w:val="clear" w:color="auto" w:fill="FFFFFF"/>
      </w:pPr>
      <w:r w:rsidRPr="00D25664">
        <w:t>Brieflisten</w:t>
      </w:r>
      <w:r w:rsidR="00472AAE" w:rsidRPr="00D25664">
        <w:t xml:space="preserve"> </w:t>
      </w:r>
      <w:r w:rsidRPr="00D25664">
        <w:t>1537 –</w:t>
      </w:r>
      <w:r w:rsidR="00472AAE" w:rsidRPr="00D25664">
        <w:t xml:space="preserve"> 1564</w:t>
      </w:r>
    </w:p>
    <w:sectPr w:rsidR="00472AAE" w:rsidRPr="00D256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C454C"/>
    <w:multiLevelType w:val="hybridMultilevel"/>
    <w:tmpl w:val="7766FF52"/>
    <w:lvl w:ilvl="0" w:tplc="85D25544">
      <w:numFmt w:val="bullet"/>
      <w:lvlText w:val="-"/>
      <w:lvlJc w:val="left"/>
      <w:pPr>
        <w:ind w:left="720" w:hanging="360"/>
      </w:pPr>
      <w:rPr>
        <w:rFonts w:ascii="Times New Roman" w:eastAsia="Times New Roman"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BE11892"/>
    <w:multiLevelType w:val="hybridMultilevel"/>
    <w:tmpl w:val="D85CF00C"/>
    <w:lvl w:ilvl="0" w:tplc="8326C396">
      <w:numFmt w:val="bullet"/>
      <w:lvlText w:val="-"/>
      <w:lvlJc w:val="left"/>
      <w:pPr>
        <w:ind w:left="720" w:hanging="360"/>
      </w:pPr>
      <w:rPr>
        <w:rFonts w:ascii="Times New Roman" w:eastAsia="Times New Roman" w:hAnsi="Times New Roman"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E296701"/>
    <w:multiLevelType w:val="hybridMultilevel"/>
    <w:tmpl w:val="08A60C56"/>
    <w:lvl w:ilvl="0" w:tplc="8180A27C">
      <w:numFmt w:val="bullet"/>
      <w:lvlText w:val="-"/>
      <w:lvlJc w:val="left"/>
      <w:pPr>
        <w:ind w:left="720" w:hanging="360"/>
      </w:pPr>
      <w:rPr>
        <w:rFonts w:ascii="Times New Roman" w:eastAsia="Times New Roman"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3E3"/>
    <w:rsid w:val="0003211F"/>
    <w:rsid w:val="00047F82"/>
    <w:rsid w:val="000820AF"/>
    <w:rsid w:val="000E73E3"/>
    <w:rsid w:val="00101404"/>
    <w:rsid w:val="00237737"/>
    <w:rsid w:val="002F64CC"/>
    <w:rsid w:val="00356CED"/>
    <w:rsid w:val="00472AAE"/>
    <w:rsid w:val="004F1BCE"/>
    <w:rsid w:val="004F27CE"/>
    <w:rsid w:val="00527DAB"/>
    <w:rsid w:val="0065148F"/>
    <w:rsid w:val="00735D11"/>
    <w:rsid w:val="00750482"/>
    <w:rsid w:val="007D578E"/>
    <w:rsid w:val="00810085"/>
    <w:rsid w:val="00866CCF"/>
    <w:rsid w:val="0089141F"/>
    <w:rsid w:val="00A32EA7"/>
    <w:rsid w:val="00B6230D"/>
    <w:rsid w:val="00C733AD"/>
    <w:rsid w:val="00D040B1"/>
    <w:rsid w:val="00D11C76"/>
    <w:rsid w:val="00D25664"/>
    <w:rsid w:val="00E70001"/>
    <w:rsid w:val="00E921F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3D98"/>
  <w15:chartTrackingRefBased/>
  <w15:docId w15:val="{A08AC6D2-E06D-4E98-8F58-19BFD54E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0E73E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Funotentext">
    <w:name w:val="footnote text"/>
    <w:basedOn w:val="Standard"/>
    <w:link w:val="FunotentextZchn"/>
    <w:uiPriority w:val="99"/>
    <w:rsid w:val="00472AAE"/>
    <w:pPr>
      <w:autoSpaceDE w:val="0"/>
      <w:autoSpaceDN w:val="0"/>
      <w:spacing w:after="0" w:line="240" w:lineRule="auto"/>
    </w:pPr>
    <w:rPr>
      <w:rFonts w:ascii="Times New Roman" w:eastAsiaTheme="minorEastAsia" w:hAnsi="Times New Roman" w:cs="Times New Roman"/>
      <w:sz w:val="20"/>
      <w:szCs w:val="20"/>
      <w:lang w:val="de-DE" w:eastAsia="de-AT"/>
    </w:rPr>
  </w:style>
  <w:style w:type="character" w:customStyle="1" w:styleId="FunotentextZchn">
    <w:name w:val="Fußnotentext Zchn"/>
    <w:basedOn w:val="Absatz-Standardschriftart"/>
    <w:link w:val="Funotentext"/>
    <w:uiPriority w:val="99"/>
    <w:rsid w:val="00472AAE"/>
    <w:rPr>
      <w:rFonts w:ascii="Times New Roman" w:eastAsiaTheme="minorEastAsia" w:hAnsi="Times New Roman" w:cs="Times New Roman"/>
      <w:sz w:val="20"/>
      <w:szCs w:val="20"/>
      <w:lang w:val="de-DE"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765316">
      <w:bodyDiv w:val="1"/>
      <w:marLeft w:val="0"/>
      <w:marRight w:val="0"/>
      <w:marTop w:val="0"/>
      <w:marBottom w:val="0"/>
      <w:divBdr>
        <w:top w:val="none" w:sz="0" w:space="0" w:color="auto"/>
        <w:left w:val="none" w:sz="0" w:space="0" w:color="auto"/>
        <w:bottom w:val="none" w:sz="0" w:space="0" w:color="auto"/>
        <w:right w:val="none" w:sz="0" w:space="0" w:color="auto"/>
      </w:divBdr>
      <w:divsChild>
        <w:div w:id="669021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2328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 Laferl</dc:creator>
  <cp:keywords/>
  <dc:description/>
  <cp:lastModifiedBy>Christopher F. Laferl</cp:lastModifiedBy>
  <cp:revision>10</cp:revision>
  <dcterms:created xsi:type="dcterms:W3CDTF">2020-01-19T22:24:00Z</dcterms:created>
  <dcterms:modified xsi:type="dcterms:W3CDTF">2020-02-15T22:09:00Z</dcterms:modified>
</cp:coreProperties>
</file>