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D13D7" w14:textId="2F40AEED" w:rsidR="000E44D2" w:rsidRPr="00527DAB" w:rsidRDefault="000E44D2" w:rsidP="000E44D2">
      <w:pPr>
        <w:pStyle w:val="StandardWeb"/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>Startseite Engli</w:t>
      </w:r>
      <w:r w:rsidRPr="00527DAB">
        <w:rPr>
          <w:b/>
          <w:sz w:val="32"/>
          <w:szCs w:val="32"/>
        </w:rPr>
        <w:t>sch</w:t>
      </w:r>
    </w:p>
    <w:p w14:paraId="541F17BD" w14:textId="77777777" w:rsidR="000E44D2" w:rsidRPr="00527DAB" w:rsidRDefault="000E44D2" w:rsidP="000E44D2">
      <w:pPr>
        <w:pStyle w:val="StandardWeb"/>
        <w:shd w:val="clear" w:color="auto" w:fill="FFFFFF"/>
        <w:rPr>
          <w:b/>
        </w:rPr>
      </w:pPr>
      <w:r>
        <w:rPr>
          <w:b/>
        </w:rPr>
        <w:t>Text in der Mitte</w:t>
      </w:r>
    </w:p>
    <w:p w14:paraId="64A21246" w14:textId="57C7FD48" w:rsidR="00CD6D74" w:rsidRPr="00EE2630" w:rsidRDefault="69F62DEA" w:rsidP="000B5721">
      <w:pPr>
        <w:pStyle w:val="StandardWeb"/>
        <w:jc w:val="both"/>
        <w:rPr>
          <w:lang w:val="en-US"/>
        </w:rPr>
      </w:pPr>
      <w:r w:rsidRPr="00EE2630">
        <w:rPr>
          <w:lang w:val="en-US"/>
        </w:rPr>
        <w:t>Born in Spain, Ferdinand I (1503-1564), who assumed the rule of the Habsburg Hereditary Lands in 1521/1522, became King of Bohemia and Hungary after the Battle of Mohács (1526) and who ultimately suc</w:t>
      </w:r>
      <w:r w:rsidR="00EE2630">
        <w:rPr>
          <w:lang w:val="en-US"/>
        </w:rPr>
        <w:t>c</w:t>
      </w:r>
      <w:r w:rsidRPr="00EE2630">
        <w:rPr>
          <w:lang w:val="en-US"/>
        </w:rPr>
        <w:t xml:space="preserve">eeded his older brother Charles V as emperor (1556/58), is considered the founder of the </w:t>
      </w:r>
      <w:r w:rsidR="00831C00">
        <w:rPr>
          <w:lang w:val="en-US"/>
        </w:rPr>
        <w:t xml:space="preserve">multicultural Central European Habsburg </w:t>
      </w:r>
      <w:r w:rsidRPr="00EE2630">
        <w:rPr>
          <w:lang w:val="en-US"/>
        </w:rPr>
        <w:t>Monarchy, which endured until the end of the First World War. The correspondence he exchanged with his closest relatives, above all with his siblings Charles V and Mary of Hungary, the Governor of the Netherlands, represents for research into 16</w:t>
      </w:r>
      <w:r w:rsidRPr="00831C00">
        <w:rPr>
          <w:vertAlign w:val="superscript"/>
          <w:lang w:val="en-US"/>
        </w:rPr>
        <w:t>th</w:t>
      </w:r>
      <w:r w:rsidRPr="00EE2630">
        <w:rPr>
          <w:lang w:val="en-US"/>
        </w:rPr>
        <w:t xml:space="preserve"> century history a source of the highest magnitude. This correspondence is extremely significant in that it addresses all the major problems of the 16</w:t>
      </w:r>
      <w:r w:rsidRPr="00831C00">
        <w:rPr>
          <w:vertAlign w:val="superscript"/>
          <w:lang w:val="en-US"/>
        </w:rPr>
        <w:t>th</w:t>
      </w:r>
      <w:r w:rsidRPr="00EE2630">
        <w:rPr>
          <w:lang w:val="en-US"/>
        </w:rPr>
        <w:t xml:space="preserve"> century, be it the </w:t>
      </w:r>
      <w:r w:rsidR="00825640">
        <w:rPr>
          <w:lang w:val="en-US"/>
        </w:rPr>
        <w:t xml:space="preserve">Reformation and the beginnings of the confessionalization </w:t>
      </w:r>
      <w:r w:rsidRPr="00EE2630">
        <w:rPr>
          <w:lang w:val="en-US"/>
        </w:rPr>
        <w:t>in the Holy Roman Empire, the disputes with France or resistance against the Ottomans. The family correspondence of Ferdinand I is also of extraordinary interest from both a linguistic and cultural perspective, considering that the Habsburg siblings relied not only on a single language, but several, writing each other in French, German, Spanish and Latin. Since the beginning of the 20</w:t>
      </w:r>
      <w:r w:rsidRPr="00831C00">
        <w:rPr>
          <w:vertAlign w:val="superscript"/>
          <w:lang w:val="en-US"/>
        </w:rPr>
        <w:t>th</w:t>
      </w:r>
      <w:r w:rsidRPr="00EE2630">
        <w:rPr>
          <w:lang w:val="en-US"/>
        </w:rPr>
        <w:t xml:space="preserve"> century – as part of efforts made by the Commission for </w:t>
      </w:r>
      <w:r w:rsidR="00831C00">
        <w:rPr>
          <w:lang w:val="en-US"/>
        </w:rPr>
        <w:t xml:space="preserve">Modern Austrian </w:t>
      </w:r>
      <w:r w:rsidRPr="00EE2630">
        <w:rPr>
          <w:lang w:val="en-US"/>
        </w:rPr>
        <w:t xml:space="preserve">History – work has been underway on the edition of the correspondence; so far, the volumes of letters up to and including the year 1536 have appeared in print. </w:t>
      </w:r>
    </w:p>
    <w:p w14:paraId="0D0B940D" w14:textId="6FE7DCFA" w:rsidR="00FB5D0A" w:rsidRDefault="00D44F2D" w:rsidP="000B5721">
      <w:pPr>
        <w:pStyle w:val="StandardWeb"/>
        <w:jc w:val="both"/>
        <w:rPr>
          <w:lang w:val="en-US"/>
        </w:rPr>
      </w:pPr>
      <w:r w:rsidRPr="00EE2630">
        <w:rPr>
          <w:lang w:val="en-US"/>
        </w:rPr>
        <w:t xml:space="preserve">The first volume of family correspondence published by Wilhelm Bauer in 1912, containing the letters </w:t>
      </w:r>
      <w:r w:rsidR="000B5721">
        <w:rPr>
          <w:lang w:val="en-US"/>
        </w:rPr>
        <w:t xml:space="preserve">(A1 – A261) </w:t>
      </w:r>
      <w:r w:rsidRPr="00EE2630">
        <w:rPr>
          <w:lang w:val="en-US"/>
        </w:rPr>
        <w:t>from 1514 until the end of 1526, has been adapted and ma</w:t>
      </w:r>
      <w:r w:rsidR="001D056E" w:rsidRPr="00EE2630">
        <w:rPr>
          <w:lang w:val="en-US"/>
        </w:rPr>
        <w:t xml:space="preserve">de available for this database. </w:t>
      </w:r>
      <w:r w:rsidRPr="00EE2630">
        <w:rPr>
          <w:lang w:val="en-US"/>
        </w:rPr>
        <w:t xml:space="preserve">The </w:t>
      </w:r>
      <w:r w:rsidR="001D056E" w:rsidRPr="00EE2630">
        <w:rPr>
          <w:lang w:val="en-US"/>
        </w:rPr>
        <w:t>other volumes printed thus far, along with further prepared letter material, are to follow in the upcoming years.</w:t>
      </w:r>
    </w:p>
    <w:p w14:paraId="05F8D258" w14:textId="77777777" w:rsidR="000E44D2" w:rsidRDefault="000E44D2" w:rsidP="00EE2630">
      <w:pPr>
        <w:pStyle w:val="StandardWeb"/>
        <w:rPr>
          <w:lang w:val="en-US"/>
        </w:rPr>
      </w:pPr>
    </w:p>
    <w:p w14:paraId="7303D363" w14:textId="77777777" w:rsidR="00C925BE" w:rsidRDefault="00C925BE" w:rsidP="00C925BE">
      <w:pPr>
        <w:pStyle w:val="StandardWeb"/>
        <w:shd w:val="clear" w:color="auto" w:fill="FFFFFF"/>
        <w:rPr>
          <w:b/>
        </w:rPr>
      </w:pPr>
      <w:r>
        <w:rPr>
          <w:b/>
        </w:rPr>
        <w:t xml:space="preserve">Horizontale </w:t>
      </w:r>
      <w:r w:rsidRPr="00527DAB">
        <w:rPr>
          <w:b/>
        </w:rPr>
        <w:t>L</w:t>
      </w:r>
      <w:r>
        <w:rPr>
          <w:b/>
        </w:rPr>
        <w:t>eiste oben (wie bisher, mit den folgenden anklickbaren Punkten):</w:t>
      </w:r>
    </w:p>
    <w:p w14:paraId="74D17F43" w14:textId="77777777" w:rsidR="00C925BE" w:rsidRDefault="00C925BE" w:rsidP="00C925BE">
      <w:pPr>
        <w:pStyle w:val="StandardWeb"/>
        <w:numPr>
          <w:ilvl w:val="0"/>
          <w:numId w:val="2"/>
        </w:numPr>
        <w:shd w:val="clear" w:color="auto" w:fill="FFFFFF"/>
      </w:pPr>
      <w:r w:rsidRPr="00E70001">
        <w:t>Start</w:t>
      </w:r>
    </w:p>
    <w:p w14:paraId="240C28C0" w14:textId="20AB47E3" w:rsidR="00C925BE" w:rsidRDefault="00C925BE" w:rsidP="00C925BE">
      <w:pPr>
        <w:pStyle w:val="StandardWeb"/>
        <w:numPr>
          <w:ilvl w:val="0"/>
          <w:numId w:val="2"/>
        </w:numPr>
        <w:shd w:val="clear" w:color="auto" w:fill="FFFFFF"/>
      </w:pPr>
      <w:r>
        <w:t>Letters</w:t>
      </w:r>
    </w:p>
    <w:p w14:paraId="01840786" w14:textId="39ADC7D8" w:rsidR="00C925BE" w:rsidRDefault="00C925BE" w:rsidP="00C925BE">
      <w:pPr>
        <w:pStyle w:val="StandardWeb"/>
        <w:numPr>
          <w:ilvl w:val="0"/>
          <w:numId w:val="2"/>
        </w:numPr>
        <w:shd w:val="clear" w:color="auto" w:fill="FFFFFF"/>
      </w:pPr>
      <w:r>
        <w:t>Search</w:t>
      </w:r>
    </w:p>
    <w:p w14:paraId="412154E1" w14:textId="7A7D6B85" w:rsidR="00C925BE" w:rsidRDefault="00C925BE" w:rsidP="00C925BE">
      <w:pPr>
        <w:pStyle w:val="StandardWeb"/>
        <w:numPr>
          <w:ilvl w:val="0"/>
          <w:numId w:val="2"/>
        </w:numPr>
        <w:shd w:val="clear" w:color="auto" w:fill="FFFFFF"/>
      </w:pPr>
      <w:r>
        <w:t>Indexes (</w:t>
      </w:r>
      <w:proofErr w:type="spellStart"/>
      <w:r>
        <w:t>Persons</w:t>
      </w:r>
      <w:proofErr w:type="spellEnd"/>
      <w:r>
        <w:t xml:space="preserve">, Places, </w:t>
      </w:r>
      <w:proofErr w:type="spellStart"/>
      <w:r>
        <w:t>Subjects</w:t>
      </w:r>
      <w:proofErr w:type="spellEnd"/>
      <w:r>
        <w:t>)</w:t>
      </w:r>
    </w:p>
    <w:p w14:paraId="36C2143B" w14:textId="6F42C2C2" w:rsidR="00C925BE" w:rsidRDefault="00C925BE" w:rsidP="00C925BE">
      <w:pPr>
        <w:pStyle w:val="StandardWeb"/>
        <w:numPr>
          <w:ilvl w:val="0"/>
          <w:numId w:val="2"/>
        </w:numPr>
        <w:shd w:val="clear" w:color="auto" w:fill="FFFFFF"/>
      </w:pPr>
      <w:proofErr w:type="spellStart"/>
      <w:r>
        <w:t>Map</w:t>
      </w:r>
      <w:proofErr w:type="spellEnd"/>
    </w:p>
    <w:p w14:paraId="4E8EEE3B" w14:textId="77777777" w:rsidR="00C925BE" w:rsidRDefault="00C925BE" w:rsidP="00C925BE">
      <w:pPr>
        <w:pStyle w:val="StandardWeb"/>
        <w:numPr>
          <w:ilvl w:val="0"/>
          <w:numId w:val="2"/>
        </w:numPr>
        <w:shd w:val="clear" w:color="auto" w:fill="FFFFFF"/>
      </w:pPr>
      <w:r>
        <w:t>Links</w:t>
      </w:r>
    </w:p>
    <w:p w14:paraId="5C561C42" w14:textId="77777777" w:rsidR="00C925BE" w:rsidRPr="00E70001" w:rsidRDefault="00C925BE" w:rsidP="00C925BE">
      <w:pPr>
        <w:pStyle w:val="StandardWeb"/>
        <w:numPr>
          <w:ilvl w:val="0"/>
          <w:numId w:val="2"/>
        </w:numPr>
        <w:shd w:val="clear" w:color="auto" w:fill="FFFFFF"/>
      </w:pPr>
      <w:r w:rsidRPr="00E70001">
        <w:t>Impressum</w:t>
      </w:r>
    </w:p>
    <w:p w14:paraId="6E86ED1C" w14:textId="77777777" w:rsidR="00C925BE" w:rsidRDefault="00C925BE" w:rsidP="00C925BE">
      <w:pPr>
        <w:pStyle w:val="StandardWeb"/>
        <w:shd w:val="clear" w:color="auto" w:fill="FFFFFF"/>
        <w:rPr>
          <w:b/>
        </w:rPr>
      </w:pPr>
    </w:p>
    <w:p w14:paraId="494342E8" w14:textId="77777777" w:rsidR="00C925BE" w:rsidRDefault="00C925BE" w:rsidP="00C925BE">
      <w:pPr>
        <w:pStyle w:val="StandardWeb"/>
        <w:shd w:val="clear" w:color="auto" w:fill="FFFFFF"/>
        <w:rPr>
          <w:b/>
        </w:rPr>
      </w:pPr>
      <w:r>
        <w:rPr>
          <w:b/>
        </w:rPr>
        <w:t>Nun zur Start-Seite</w:t>
      </w:r>
    </w:p>
    <w:p w14:paraId="346AA250" w14:textId="77777777" w:rsidR="00C925BE" w:rsidRPr="00D25664" w:rsidRDefault="00C925BE" w:rsidP="00C925BE">
      <w:pPr>
        <w:pStyle w:val="StandardWeb"/>
        <w:shd w:val="clear" w:color="auto" w:fill="FFFFFF"/>
      </w:pPr>
      <w:r w:rsidRPr="00D25664">
        <w:rPr>
          <w:b/>
        </w:rPr>
        <w:t>In der Mitte</w:t>
      </w:r>
      <w:r w:rsidRPr="00D25664">
        <w:t xml:space="preserve"> </w:t>
      </w:r>
      <w:r>
        <w:t xml:space="preserve">sollte sich </w:t>
      </w:r>
      <w:r w:rsidRPr="00D25664">
        <w:t xml:space="preserve">der </w:t>
      </w:r>
      <w:r>
        <w:t xml:space="preserve">gleiche </w:t>
      </w:r>
      <w:r w:rsidRPr="00D25664">
        <w:t>zentrale Text wie oben</w:t>
      </w:r>
      <w:r>
        <w:t xml:space="preserve"> finden.</w:t>
      </w:r>
    </w:p>
    <w:p w14:paraId="79E19D58" w14:textId="77777777" w:rsidR="00C925BE" w:rsidRPr="00527DAB" w:rsidRDefault="00C925BE" w:rsidP="00C925BE">
      <w:pPr>
        <w:pStyle w:val="StandardWeb"/>
        <w:shd w:val="clear" w:color="auto" w:fill="FFFFFF"/>
        <w:rPr>
          <w:b/>
        </w:rPr>
      </w:pPr>
      <w:r>
        <w:rPr>
          <w:b/>
        </w:rPr>
        <w:t>Links</w:t>
      </w:r>
      <w:r w:rsidRPr="00527DAB">
        <w:rPr>
          <w:b/>
        </w:rPr>
        <w:t xml:space="preserve"> </w:t>
      </w:r>
      <w:r>
        <w:rPr>
          <w:b/>
        </w:rPr>
        <w:t xml:space="preserve">davon </w:t>
      </w:r>
      <w:r w:rsidRPr="00D25664">
        <w:t>die folgenden anklickbaren Punkte und Unterpunkte:</w:t>
      </w:r>
    </w:p>
    <w:p w14:paraId="5F5E2158" w14:textId="5558AC6B" w:rsidR="00C925BE" w:rsidRPr="00C925BE" w:rsidRDefault="00C925BE" w:rsidP="00C925BE">
      <w:pPr>
        <w:pStyle w:val="StandardWeb"/>
        <w:numPr>
          <w:ilvl w:val="0"/>
          <w:numId w:val="1"/>
        </w:numPr>
        <w:shd w:val="clear" w:color="auto" w:fill="FFFFFF"/>
        <w:rPr>
          <w:lang w:val="en-US"/>
        </w:rPr>
      </w:pPr>
      <w:r w:rsidRPr="00C925BE">
        <w:rPr>
          <w:bCs/>
          <w:lang w:val="en-US"/>
        </w:rPr>
        <w:t>The Family Correspondence of Ferdinand I</w:t>
      </w:r>
    </w:p>
    <w:p w14:paraId="393207DC" w14:textId="449FF254" w:rsidR="00C925BE" w:rsidRPr="00C925BE" w:rsidRDefault="00C925BE" w:rsidP="00C925BE">
      <w:pPr>
        <w:pStyle w:val="StandardWeb"/>
        <w:numPr>
          <w:ilvl w:val="1"/>
          <w:numId w:val="1"/>
        </w:numPr>
        <w:shd w:val="clear" w:color="auto" w:fill="FFFFFF"/>
      </w:pPr>
      <w:r w:rsidRPr="00C925BE">
        <w:rPr>
          <w:lang w:val="en-US"/>
        </w:rPr>
        <w:t>General characteristics of the correspondence</w:t>
      </w:r>
    </w:p>
    <w:p w14:paraId="4F64430F" w14:textId="302B46C7" w:rsidR="00C925BE" w:rsidRPr="00C925BE" w:rsidRDefault="00C925BE" w:rsidP="00C925BE">
      <w:pPr>
        <w:pStyle w:val="StandardWeb"/>
        <w:numPr>
          <w:ilvl w:val="1"/>
          <w:numId w:val="1"/>
        </w:numPr>
        <w:shd w:val="clear" w:color="auto" w:fill="FFFFFF"/>
      </w:pPr>
      <w:r w:rsidRPr="00C925BE">
        <w:rPr>
          <w:lang w:val="en-US"/>
        </w:rPr>
        <w:t>The correspondence partners</w:t>
      </w:r>
    </w:p>
    <w:p w14:paraId="546D82DF" w14:textId="20E8A863" w:rsidR="00C925BE" w:rsidRPr="00C925BE" w:rsidRDefault="00C925BE" w:rsidP="00C925BE">
      <w:pPr>
        <w:pStyle w:val="StandardWeb"/>
        <w:numPr>
          <w:ilvl w:val="1"/>
          <w:numId w:val="1"/>
        </w:numPr>
        <w:shd w:val="clear" w:color="auto" w:fill="FFFFFF"/>
      </w:pPr>
      <w:r w:rsidRPr="00C925BE">
        <w:rPr>
          <w:lang w:val="en-US"/>
        </w:rPr>
        <w:t>Language – form – content</w:t>
      </w:r>
    </w:p>
    <w:p w14:paraId="0842787C" w14:textId="6F876F94" w:rsidR="00C925BE" w:rsidRPr="00C925BE" w:rsidRDefault="00C925BE" w:rsidP="00C925BE">
      <w:pPr>
        <w:pStyle w:val="StandardWeb"/>
        <w:numPr>
          <w:ilvl w:val="1"/>
          <w:numId w:val="1"/>
        </w:numPr>
        <w:shd w:val="clear" w:color="auto" w:fill="FFFFFF"/>
        <w:rPr>
          <w:lang w:val="en-US"/>
        </w:rPr>
      </w:pPr>
      <w:r w:rsidRPr="00C925BE">
        <w:rPr>
          <w:lang w:val="en-US"/>
        </w:rPr>
        <w:t>The printed edition of the letters: structure, history, archival storage</w:t>
      </w:r>
    </w:p>
    <w:p w14:paraId="12B719FC" w14:textId="77777777" w:rsidR="000B5721" w:rsidRPr="000B5721" w:rsidRDefault="006F05A8" w:rsidP="000B5721">
      <w:pPr>
        <w:pStyle w:val="StandardWeb"/>
        <w:numPr>
          <w:ilvl w:val="0"/>
          <w:numId w:val="1"/>
        </w:numPr>
        <w:shd w:val="clear" w:color="auto" w:fill="FFFFFF"/>
        <w:rPr>
          <w:lang w:val="en-US"/>
        </w:rPr>
      </w:pPr>
      <w:r w:rsidRPr="000B5721">
        <w:rPr>
          <w:lang w:val="en-US"/>
        </w:rPr>
        <w:lastRenderedPageBreak/>
        <w:t>Volumes published in print so far</w:t>
      </w:r>
    </w:p>
    <w:p w14:paraId="32F5EF55" w14:textId="29C99A0A" w:rsidR="00C925BE" w:rsidRPr="000B5721" w:rsidRDefault="000B5721" w:rsidP="000B5721">
      <w:pPr>
        <w:pStyle w:val="StandardWeb"/>
        <w:numPr>
          <w:ilvl w:val="0"/>
          <w:numId w:val="1"/>
        </w:numPr>
        <w:shd w:val="clear" w:color="auto" w:fill="FFFFFF"/>
        <w:rPr>
          <w:lang w:val="en-US"/>
        </w:rPr>
      </w:pPr>
      <w:r w:rsidRPr="000B5721">
        <w:rPr>
          <w:lang w:val="en-US"/>
        </w:rPr>
        <w:t>Foreword</w:t>
      </w:r>
      <w:r w:rsidRPr="000B5721">
        <w:rPr>
          <w:lang w:val="en-US"/>
        </w:rPr>
        <w:t xml:space="preserve"> </w:t>
      </w:r>
      <w:r w:rsidRPr="000B5721">
        <w:rPr>
          <w:lang w:val="en-US"/>
        </w:rPr>
        <w:t>by the Commission for Modern Austrian History</w:t>
      </w:r>
      <w:r w:rsidRPr="000B5721">
        <w:rPr>
          <w:lang w:val="en-US"/>
        </w:rPr>
        <w:t>, volume 1 (1912)</w:t>
      </w:r>
    </w:p>
    <w:p w14:paraId="1FEB64A0" w14:textId="53A21128" w:rsidR="00C925BE" w:rsidRPr="000B5721" w:rsidRDefault="000B5721" w:rsidP="00C925BE">
      <w:pPr>
        <w:pStyle w:val="StandardWeb"/>
        <w:numPr>
          <w:ilvl w:val="0"/>
          <w:numId w:val="1"/>
        </w:numPr>
        <w:shd w:val="clear" w:color="auto" w:fill="FFFFFF"/>
      </w:pPr>
      <w:proofErr w:type="spellStart"/>
      <w:r w:rsidRPr="000B5721">
        <w:t>Foreword</w:t>
      </w:r>
      <w:proofErr w:type="spellEnd"/>
      <w:r w:rsidRPr="000B5721">
        <w:t xml:space="preserve"> </w:t>
      </w:r>
      <w:proofErr w:type="spellStart"/>
      <w:r w:rsidRPr="000B5721">
        <w:t>by</w:t>
      </w:r>
      <w:proofErr w:type="spellEnd"/>
      <w:r w:rsidRPr="000B5721">
        <w:t xml:space="preserve"> Wilhelm Bauer, </w:t>
      </w:r>
      <w:proofErr w:type="spellStart"/>
      <w:r w:rsidRPr="000B5721">
        <w:t>volume</w:t>
      </w:r>
      <w:proofErr w:type="spellEnd"/>
      <w:r w:rsidRPr="000B5721">
        <w:t xml:space="preserve"> 1 (1912)</w:t>
      </w:r>
    </w:p>
    <w:p w14:paraId="76B8DF1A" w14:textId="77777777" w:rsidR="000B5721" w:rsidRPr="000B5721" w:rsidRDefault="000B5721" w:rsidP="000B5721">
      <w:pPr>
        <w:pStyle w:val="StandardWeb"/>
        <w:numPr>
          <w:ilvl w:val="0"/>
          <w:numId w:val="1"/>
        </w:numPr>
        <w:shd w:val="clear" w:color="auto" w:fill="FFFFFF"/>
        <w:rPr>
          <w:lang w:val="en-US"/>
        </w:rPr>
      </w:pPr>
      <w:r w:rsidRPr="000B5721">
        <w:rPr>
          <w:lang w:val="en-US"/>
        </w:rPr>
        <w:t>Introduction by Wilhelm Bauer, volume 1 (1912)</w:t>
      </w:r>
    </w:p>
    <w:p w14:paraId="604B45C7" w14:textId="25F0BEF0" w:rsidR="00C925BE" w:rsidRPr="000B5721" w:rsidRDefault="000B5721" w:rsidP="000B5721">
      <w:pPr>
        <w:pStyle w:val="StandardWeb"/>
        <w:numPr>
          <w:ilvl w:val="0"/>
          <w:numId w:val="1"/>
        </w:numPr>
        <w:shd w:val="clear" w:color="auto" w:fill="FFFFFF"/>
        <w:rPr>
          <w:lang w:val="en-US"/>
        </w:rPr>
      </w:pPr>
      <w:r w:rsidRPr="000B5721">
        <w:rPr>
          <w:lang w:val="en-US"/>
        </w:rPr>
        <w:t>Index of abbreviated book titles</w:t>
      </w:r>
      <w:r w:rsidRPr="000B5721">
        <w:rPr>
          <w:lang w:val="en-US"/>
        </w:rPr>
        <w:t xml:space="preserve">, volume 1 </w:t>
      </w:r>
      <w:r w:rsidR="00C925BE" w:rsidRPr="000B5721">
        <w:rPr>
          <w:lang w:val="en-US"/>
        </w:rPr>
        <w:t>(</w:t>
      </w:r>
      <w:r w:rsidRPr="000B5721">
        <w:rPr>
          <w:lang w:val="en-US"/>
        </w:rPr>
        <w:t xml:space="preserve">letters </w:t>
      </w:r>
      <w:r w:rsidR="00C925BE" w:rsidRPr="000B5721">
        <w:rPr>
          <w:lang w:val="en-US"/>
        </w:rPr>
        <w:t>A1</w:t>
      </w:r>
      <w:r w:rsidRPr="000B5721">
        <w:rPr>
          <w:lang w:val="en-US"/>
        </w:rPr>
        <w:t xml:space="preserve"> – </w:t>
      </w:r>
      <w:r w:rsidR="00C925BE" w:rsidRPr="000B5721">
        <w:rPr>
          <w:lang w:val="en-US"/>
        </w:rPr>
        <w:t>A261)</w:t>
      </w:r>
    </w:p>
    <w:p w14:paraId="42C0BE68" w14:textId="11900E80" w:rsidR="00C925BE" w:rsidRPr="000B5721" w:rsidRDefault="000B5721" w:rsidP="00C925BE">
      <w:pPr>
        <w:pStyle w:val="StandardWeb"/>
        <w:numPr>
          <w:ilvl w:val="0"/>
          <w:numId w:val="1"/>
        </w:numPr>
        <w:shd w:val="clear" w:color="auto" w:fill="FFFFFF"/>
      </w:pPr>
      <w:r>
        <w:t>The digital</w:t>
      </w:r>
      <w:r w:rsidR="006F05A8" w:rsidRPr="000B5721">
        <w:t xml:space="preserve"> </w:t>
      </w:r>
      <w:proofErr w:type="spellStart"/>
      <w:r w:rsidR="006F05A8" w:rsidRPr="000B5721">
        <w:t>e</w:t>
      </w:r>
      <w:r w:rsidR="00C925BE" w:rsidRPr="000B5721">
        <w:t>dition</w:t>
      </w:r>
      <w:proofErr w:type="spellEnd"/>
    </w:p>
    <w:p w14:paraId="35AA1FE2" w14:textId="50992063" w:rsidR="000E44D2" w:rsidRPr="00CE3C15" w:rsidRDefault="000B5721" w:rsidP="00452529">
      <w:pPr>
        <w:pStyle w:val="StandardWeb"/>
        <w:numPr>
          <w:ilvl w:val="0"/>
          <w:numId w:val="1"/>
        </w:numPr>
        <w:shd w:val="clear" w:color="auto" w:fill="FFFFFF"/>
        <w:rPr>
          <w:lang w:val="en-US"/>
        </w:rPr>
      </w:pPr>
      <w:r>
        <w:t xml:space="preserve">Index of </w:t>
      </w:r>
      <w:proofErr w:type="spellStart"/>
      <w:r>
        <w:t>letters</w:t>
      </w:r>
      <w:proofErr w:type="spellEnd"/>
      <w:r>
        <w:t xml:space="preserve"> </w:t>
      </w:r>
      <w:r w:rsidR="00C925BE" w:rsidRPr="000B5721">
        <w:t>1537 – 1564</w:t>
      </w:r>
      <w:bookmarkStart w:id="0" w:name="_GoBack"/>
      <w:bookmarkEnd w:id="0"/>
    </w:p>
    <w:sectPr w:rsidR="000E44D2" w:rsidRPr="00CE3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454C"/>
    <w:multiLevelType w:val="hybridMultilevel"/>
    <w:tmpl w:val="7766FF52"/>
    <w:lvl w:ilvl="0" w:tplc="85D25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1892"/>
    <w:multiLevelType w:val="hybridMultilevel"/>
    <w:tmpl w:val="D85CF00C"/>
    <w:lvl w:ilvl="0" w:tplc="8326C3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151CE"/>
    <w:multiLevelType w:val="hybridMultilevel"/>
    <w:tmpl w:val="AC167440"/>
    <w:lvl w:ilvl="0" w:tplc="C45C8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E9"/>
    <w:rsid w:val="000B5721"/>
    <w:rsid w:val="000E44D2"/>
    <w:rsid w:val="001D056E"/>
    <w:rsid w:val="00627ABB"/>
    <w:rsid w:val="006F05A8"/>
    <w:rsid w:val="00757AE9"/>
    <w:rsid w:val="00825640"/>
    <w:rsid w:val="00831C00"/>
    <w:rsid w:val="00AF3391"/>
    <w:rsid w:val="00C925BE"/>
    <w:rsid w:val="00CD6D74"/>
    <w:rsid w:val="00CE3C15"/>
    <w:rsid w:val="00D44F2D"/>
    <w:rsid w:val="00EE2630"/>
    <w:rsid w:val="00FB5D0A"/>
    <w:rsid w:val="69F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76A7"/>
  <w15:chartTrackingRefBased/>
  <w15:docId w15:val="{7A31E666-2B65-4F77-902C-B2340558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5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einLeerraum">
    <w:name w:val="No Spacing"/>
    <w:uiPriority w:val="1"/>
    <w:qFormat/>
    <w:rsid w:val="000B5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Doyle</dc:creator>
  <cp:keywords/>
  <dc:description/>
  <cp:lastModifiedBy>Christopher F. Laferl</cp:lastModifiedBy>
  <cp:revision>8</cp:revision>
  <dcterms:created xsi:type="dcterms:W3CDTF">2020-01-24T10:47:00Z</dcterms:created>
  <dcterms:modified xsi:type="dcterms:W3CDTF">2020-02-15T14:16:00Z</dcterms:modified>
</cp:coreProperties>
</file>