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9C9CF" w14:textId="41BA6F3B" w:rsidR="006B497A" w:rsidRDefault="006B497A" w:rsidP="00D73B1A">
      <w:pPr>
        <w:spacing w:line="276" w:lineRule="auto"/>
        <w:jc w:val="center"/>
        <w:rPr>
          <w:b/>
          <w:bCs/>
          <w:smallCaps/>
          <w:sz w:val="28"/>
          <w:szCs w:val="28"/>
        </w:rPr>
      </w:pPr>
      <w:r w:rsidRPr="00FF2F17">
        <w:rPr>
          <w:b/>
          <w:bCs/>
          <w:smallCaps/>
          <w:sz w:val="28"/>
          <w:szCs w:val="28"/>
        </w:rPr>
        <w:t>Die Familienkorrespondenz Ferdinands I.</w:t>
      </w:r>
    </w:p>
    <w:p w14:paraId="0167B84F" w14:textId="0CC6E9C4" w:rsidR="0081204C" w:rsidRPr="0081204C" w:rsidRDefault="0081204C" w:rsidP="0081204C">
      <w:pPr>
        <w:spacing w:line="276" w:lineRule="auto"/>
        <w:jc w:val="center"/>
        <w:rPr>
          <w:bCs/>
          <w:smallCaps/>
        </w:rPr>
      </w:pPr>
      <w:r w:rsidRPr="0081204C">
        <w:rPr>
          <w:bCs/>
          <w:smallCaps/>
        </w:rPr>
        <w:t>Christopher F. Laferl</w:t>
      </w:r>
    </w:p>
    <w:p w14:paraId="42642616" w14:textId="77777777" w:rsidR="005335F9" w:rsidRDefault="005335F9" w:rsidP="005335F9">
      <w:pPr>
        <w:spacing w:line="276" w:lineRule="auto"/>
        <w:jc w:val="both"/>
      </w:pPr>
    </w:p>
    <w:p w14:paraId="1715DFE7" w14:textId="77777777" w:rsidR="005335F9" w:rsidRPr="005335F9" w:rsidRDefault="009A5164" w:rsidP="005335F9">
      <w:pPr>
        <w:spacing w:line="276" w:lineRule="auto"/>
        <w:jc w:val="both"/>
        <w:rPr>
          <w:smallCaps/>
        </w:rPr>
      </w:pPr>
      <w:r w:rsidRPr="005335F9">
        <w:rPr>
          <w:smallCaps/>
        </w:rPr>
        <w:t>Die digitale Edition</w:t>
      </w:r>
    </w:p>
    <w:p w14:paraId="3D3B6674" w14:textId="77777777" w:rsidR="005335F9" w:rsidRPr="005335F9" w:rsidRDefault="005335F9" w:rsidP="005335F9">
      <w:pPr>
        <w:spacing w:line="276" w:lineRule="auto"/>
        <w:jc w:val="both"/>
        <w:rPr>
          <w:smallCaps/>
        </w:rPr>
      </w:pPr>
    </w:p>
    <w:p w14:paraId="2AD63933" w14:textId="77777777" w:rsidR="000561D6" w:rsidRDefault="00D05F4A" w:rsidP="000561D6">
      <w:pPr>
        <w:spacing w:line="276" w:lineRule="auto"/>
        <w:jc w:val="both"/>
      </w:pPr>
      <w:r>
        <w:t xml:space="preserve">Um die bisher publizierten Bände der Familienkorrespondenz Ferdinands I., die zum überwiegenden Teil nicht mehr im Buchhandel erhältlich sind, in zeitgemäßer Form dem Fachpublikum zugänglich </w:t>
      </w:r>
      <w:r w:rsidR="004639CD">
        <w:t>zu machen</w:t>
      </w:r>
      <w:r>
        <w:t xml:space="preserve">, wurde </w:t>
      </w:r>
      <w:r w:rsidR="004639CD">
        <w:t xml:space="preserve">von der Kommission für Neuere Geschichte Österreichs </w:t>
      </w:r>
      <w:r w:rsidR="00982C6A">
        <w:t>um 2015 da</w:t>
      </w:r>
      <w:r>
        <w:t>s Projekt der Digitalisierung des bi</w:t>
      </w:r>
      <w:r w:rsidR="004639CD">
        <w:t>sher edierten Materials angeregt</w:t>
      </w:r>
      <w:r>
        <w:t>. Die Digitalisierung</w:t>
      </w:r>
      <w:r w:rsidR="007F1139">
        <w:t xml:space="preserve"> des ersten Bandes aus dem Jahr 1912, mit dem der Anfang gemacht werden sollte</w:t>
      </w:r>
      <w:r>
        <w:t xml:space="preserve">, </w:t>
      </w:r>
      <w:r w:rsidR="008B60F3">
        <w:t xml:space="preserve">stellte sich </w:t>
      </w:r>
      <w:r w:rsidR="00982C6A">
        <w:t xml:space="preserve">allerdings </w:t>
      </w:r>
      <w:r w:rsidR="008B60F3">
        <w:t>weit aufwe</w:t>
      </w:r>
      <w:r w:rsidR="004639CD">
        <w:t>ndiger heraus, als ursprünglich</w:t>
      </w:r>
      <w:r w:rsidR="008B60F3">
        <w:t xml:space="preserve"> ange</w:t>
      </w:r>
      <w:r w:rsidR="005335F9">
        <w:t xml:space="preserve">nommen worden war, musste doch jeder Brieftext genau überprüft und kollationiert werden. Verständlicherweise gibt es derzeit noch kein Programm, das für französische, spanische, deutsche oder lateinische Texte </w:t>
      </w:r>
      <w:r w:rsidR="00982C6A">
        <w:t xml:space="preserve">aus der Frühen Neuzeit </w:t>
      </w:r>
      <w:r w:rsidR="005335F9">
        <w:t xml:space="preserve">problemlos eine Konvertierung von Pdf-Dateien in Word ermöglichen würde. Des Weiteren musste auch das Register ganz neu gemacht werden. Nach all diesen Schwierigkeiten kann die digitale Edition </w:t>
      </w:r>
      <w:r w:rsidR="004639CD">
        <w:t xml:space="preserve">des ersten Bandes </w:t>
      </w:r>
      <w:r w:rsidR="005335F9">
        <w:t>nun</w:t>
      </w:r>
      <w:r w:rsidR="007F1139">
        <w:t xml:space="preserve"> aber endlich online gehen</w:t>
      </w:r>
      <w:r w:rsidR="005335F9">
        <w:t xml:space="preserve">. Möge sie </w:t>
      </w:r>
      <w:r w:rsidR="007F1139">
        <w:t>von der Fachwelt positiv aufgenommen</w:t>
      </w:r>
      <w:r w:rsidR="005335F9">
        <w:t xml:space="preserve"> werden</w:t>
      </w:r>
      <w:r w:rsidR="007F1139">
        <w:t>. Die Digitalisierung der anderen bisher gedruckten Bände soll in den nächsten Jahren folgen.</w:t>
      </w:r>
    </w:p>
    <w:p w14:paraId="775D10D2" w14:textId="7E919B9D" w:rsidR="00E73368" w:rsidRPr="00E4210C" w:rsidRDefault="007F1139" w:rsidP="00AB63EA">
      <w:pPr>
        <w:spacing w:line="276" w:lineRule="auto"/>
        <w:ind w:firstLine="708"/>
        <w:jc w:val="both"/>
      </w:pPr>
      <w:r w:rsidRPr="00E4210C">
        <w:t xml:space="preserve">Die digitale Aufbereitung der Edition folgt im Aufbau der gedruckten Vorlage. Nur in ganz wenigen Fällen wurde emendierend eingegriffen. Die Überprüfung der Transkripte, die Neufassung der Regesten oder die Erweiterung des Kommentars waren nicht Ziel des Digitalisierungsprojekts. Sie hätten den verfügbaren </w:t>
      </w:r>
      <w:r w:rsidR="00752AD9">
        <w:t xml:space="preserve">bescheidenen </w:t>
      </w:r>
      <w:r w:rsidRPr="00E4210C">
        <w:t xml:space="preserve">Arbeits- und Finanzrahmen bei Weitem gesprengt und hätten angesichts der ohnehin schon überlangen Bearbeitungszeit </w:t>
      </w:r>
      <w:r w:rsidR="00AB63EA">
        <w:t xml:space="preserve">des bereits publizierten Briefmaterials und </w:t>
      </w:r>
      <w:r w:rsidR="00752AD9">
        <w:t>der noch ausstehenden weitere 24</w:t>
      </w:r>
      <w:r w:rsidR="00AB63EA">
        <w:t xml:space="preserve"> Jahre umfassenden Familienkorrespondenz Ferdinands I. </w:t>
      </w:r>
      <w:r w:rsidR="00752AD9">
        <w:t xml:space="preserve">(1541–1564) </w:t>
      </w:r>
      <w:r w:rsidRPr="00E4210C">
        <w:t>auch nicht gerechtfer</w:t>
      </w:r>
      <w:r w:rsidR="00AB63EA">
        <w:t xml:space="preserve">tigt werden können. </w:t>
      </w:r>
      <w:r w:rsidRPr="00E4210C">
        <w:t>Ein paar wesentliche Neuerun</w:t>
      </w:r>
      <w:r w:rsidR="00E73368" w:rsidRPr="00E4210C">
        <w:t>gen wurden dennoch vorgenommen:</w:t>
      </w:r>
    </w:p>
    <w:p w14:paraId="485B4A70" w14:textId="77777777" w:rsidR="00E73368" w:rsidRPr="00E4210C" w:rsidRDefault="00E73368" w:rsidP="00E73368">
      <w:pPr>
        <w:pStyle w:val="Listenabsatz"/>
        <w:numPr>
          <w:ilvl w:val="0"/>
          <w:numId w:val="4"/>
        </w:numPr>
        <w:spacing w:line="276" w:lineRule="auto"/>
        <w:jc w:val="both"/>
      </w:pPr>
      <w:r w:rsidRPr="00E4210C">
        <w:t>Den</w:t>
      </w:r>
      <w:r w:rsidR="00D450A0" w:rsidRPr="00E4210C">
        <w:t xml:space="preserve"> </w:t>
      </w:r>
      <w:r w:rsidRPr="00E4210C">
        <w:t xml:space="preserve">einzelnen </w:t>
      </w:r>
      <w:r w:rsidR="00D450A0" w:rsidRPr="00E4210C">
        <w:t xml:space="preserve">Briefnummern </w:t>
      </w:r>
      <w:r w:rsidRPr="00E4210C">
        <w:t xml:space="preserve">des ersten Bandes wurde </w:t>
      </w:r>
      <w:r w:rsidR="00D450A0" w:rsidRPr="00E4210C">
        <w:t xml:space="preserve">der Buchstabe </w:t>
      </w:r>
      <w:r w:rsidR="00D450A0" w:rsidRPr="00E4210C">
        <w:rPr>
          <w:i/>
        </w:rPr>
        <w:t>A</w:t>
      </w:r>
      <w:r w:rsidR="00D450A0" w:rsidRPr="00E4210C">
        <w:t xml:space="preserve"> vorangestellt (z. B. </w:t>
      </w:r>
      <w:r w:rsidRPr="00E4210C">
        <w:t xml:space="preserve">Nr. </w:t>
      </w:r>
      <w:r w:rsidR="00D450A0" w:rsidRPr="00E4210C">
        <w:rPr>
          <w:i/>
        </w:rPr>
        <w:t>A66</w:t>
      </w:r>
      <w:r w:rsidR="00D450A0" w:rsidRPr="00E4210C">
        <w:t xml:space="preserve"> in der digitalen Edition für </w:t>
      </w:r>
      <w:r w:rsidRPr="00E4210C">
        <w:t xml:space="preserve">Nr. </w:t>
      </w:r>
      <w:r w:rsidR="00D450A0" w:rsidRPr="00E4210C">
        <w:rPr>
          <w:i/>
        </w:rPr>
        <w:t>66</w:t>
      </w:r>
      <w:r w:rsidR="00D450A0" w:rsidRPr="00E4210C">
        <w:t xml:space="preserve"> in der gedruckten Version); diese Ergänzung war nötig, da der zweite Band der Edition neu mit der Ziffer 1 zu zählen beginnt, </w:t>
      </w:r>
      <w:r w:rsidRPr="00E4210C">
        <w:t xml:space="preserve">wie bereits ausgeführt, </w:t>
      </w:r>
      <w:r w:rsidR="00D450A0" w:rsidRPr="00E4210C">
        <w:t>während die digitale Edition jeden Brief mit einer eindeutigen Identifizierungsangabe versehen musste.</w:t>
      </w:r>
      <w:r w:rsidR="00D14DE3" w:rsidRPr="00E4210C">
        <w:t xml:space="preserve"> Auch die Verweise in den Kommentaren wurden an die neue Nummerierung angepasst.</w:t>
      </w:r>
    </w:p>
    <w:p w14:paraId="71439828" w14:textId="77777777" w:rsidR="00D14DE3" w:rsidRPr="00E4210C" w:rsidRDefault="00E73368" w:rsidP="00D14DE3">
      <w:pPr>
        <w:pStyle w:val="Listenabsatz"/>
        <w:numPr>
          <w:ilvl w:val="0"/>
          <w:numId w:val="4"/>
        </w:numPr>
        <w:spacing w:line="276" w:lineRule="auto"/>
        <w:jc w:val="both"/>
      </w:pPr>
      <w:r w:rsidRPr="00E4210C">
        <w:t>D</w:t>
      </w:r>
      <w:r w:rsidR="007F1139" w:rsidRPr="00E4210C">
        <w:t xml:space="preserve">en Vorgaben der Edition des fünften Bandes aus dem Jahr 2015 entsprechend, </w:t>
      </w:r>
      <w:r w:rsidR="00982C6A">
        <w:t xml:space="preserve">wurden </w:t>
      </w:r>
      <w:r w:rsidR="007F1139" w:rsidRPr="00E4210C">
        <w:t>die Einleitung</w:t>
      </w:r>
      <w:r w:rsidR="00982C6A">
        <w:t>stexte</w:t>
      </w:r>
      <w:r w:rsidR="007F1139" w:rsidRPr="00E4210C">
        <w:t xml:space="preserve"> und die Re</w:t>
      </w:r>
      <w:r w:rsidRPr="00E4210C">
        <w:t>gesten ins Englische übersetzt.</w:t>
      </w:r>
    </w:p>
    <w:p w14:paraId="49311ED5" w14:textId="77777777" w:rsidR="00E4210C" w:rsidRPr="005234DB" w:rsidRDefault="00E4210C" w:rsidP="00E4210C">
      <w:pPr>
        <w:pStyle w:val="Listenabsatz"/>
        <w:numPr>
          <w:ilvl w:val="0"/>
          <w:numId w:val="4"/>
        </w:numPr>
        <w:autoSpaceDE/>
        <w:autoSpaceDN/>
        <w:spacing w:after="160" w:line="259" w:lineRule="auto"/>
      </w:pPr>
      <w:r w:rsidRPr="00E4210C">
        <w:t xml:space="preserve">Bei den Quellen-, Archiv- und Druckangaben werden ergänzend die Seiten in der gedruckten Edition </w:t>
      </w:r>
      <w:r w:rsidRPr="005234DB">
        <w:t xml:space="preserve">angeführt. </w:t>
      </w:r>
    </w:p>
    <w:p w14:paraId="7C78A538" w14:textId="77777777" w:rsidR="00D14DE3" w:rsidRPr="005234DB" w:rsidRDefault="003A61C1" w:rsidP="00D14DE3">
      <w:pPr>
        <w:pStyle w:val="Listenabsatz"/>
        <w:numPr>
          <w:ilvl w:val="0"/>
          <w:numId w:val="4"/>
        </w:numPr>
        <w:spacing w:line="276" w:lineRule="auto"/>
        <w:jc w:val="both"/>
      </w:pPr>
      <w:r w:rsidRPr="005234DB">
        <w:t xml:space="preserve">Die Orthographie </w:t>
      </w:r>
      <w:r w:rsidR="005234DB" w:rsidRPr="005234DB">
        <w:t xml:space="preserve">der Einleitungstexte </w:t>
      </w:r>
      <w:r w:rsidRPr="005234DB">
        <w:t>wurde behutsam an die derzeit gültigen Regeln angepasst</w:t>
      </w:r>
      <w:r w:rsidR="00D14DE3" w:rsidRPr="005234DB">
        <w:t>.</w:t>
      </w:r>
    </w:p>
    <w:p w14:paraId="3B675F5D" w14:textId="77777777" w:rsidR="00D14DE3" w:rsidRPr="00E4210C" w:rsidRDefault="00D14DE3" w:rsidP="00D14DE3">
      <w:pPr>
        <w:pStyle w:val="Listenabsatz"/>
        <w:numPr>
          <w:ilvl w:val="0"/>
          <w:numId w:val="4"/>
        </w:numPr>
        <w:spacing w:line="276" w:lineRule="auto"/>
        <w:jc w:val="both"/>
      </w:pPr>
      <w:r w:rsidRPr="00E4210C">
        <w:t>O</w:t>
      </w:r>
      <w:r w:rsidR="003A61C1" w:rsidRPr="00E4210C">
        <w:t xml:space="preserve">ffensichtliche Fehler </w:t>
      </w:r>
      <w:r w:rsidRPr="00E4210C">
        <w:t xml:space="preserve">– </w:t>
      </w:r>
      <w:r w:rsidR="003A61C1" w:rsidRPr="00E4210C">
        <w:t>nicht zuletzt in der Zitierweise der spanischen Forschungs</w:t>
      </w:r>
      <w:r w:rsidRPr="00E4210C">
        <w:t xml:space="preserve">literatur – wurden </w:t>
      </w:r>
      <w:r w:rsidR="003A61C1" w:rsidRPr="00E4210C">
        <w:t>korrigiert</w:t>
      </w:r>
      <w:r w:rsidRPr="00E4210C">
        <w:t xml:space="preserve"> und mit dem Vermerk "Ko</w:t>
      </w:r>
      <w:r w:rsidR="00982C6A">
        <w:t>mmentar der Herausgeber der digitalen Edition" versehen. So wurden z. B. i</w:t>
      </w:r>
      <w:r w:rsidRPr="00E4210C">
        <w:t xml:space="preserve">n Nr. </w:t>
      </w:r>
      <w:r w:rsidR="00982C6A">
        <w:t xml:space="preserve">A3 </w:t>
      </w:r>
      <w:r w:rsidRPr="00E4210C">
        <w:t xml:space="preserve">die Ortsbezeichnung </w:t>
      </w:r>
      <w:proofErr w:type="spellStart"/>
      <w:r w:rsidRPr="00E4210C">
        <w:rPr>
          <w:i/>
        </w:rPr>
        <w:t>Casaleggio</w:t>
      </w:r>
      <w:proofErr w:type="spellEnd"/>
      <w:r w:rsidRPr="00E4210C">
        <w:t xml:space="preserve"> zu </w:t>
      </w:r>
      <w:proofErr w:type="spellStart"/>
      <w:r w:rsidRPr="00E4210C">
        <w:rPr>
          <w:i/>
        </w:rPr>
        <w:t>Casalegas</w:t>
      </w:r>
      <w:proofErr w:type="spellEnd"/>
      <w:r w:rsidRPr="00E4210C">
        <w:t xml:space="preserve"> (einem Ort in der Provinz Toledo) ber</w:t>
      </w:r>
      <w:r w:rsidR="00982C6A">
        <w:t xml:space="preserve">ichtigt oder </w:t>
      </w:r>
      <w:r w:rsidRPr="00E4210C">
        <w:t xml:space="preserve">in Nr. </w:t>
      </w:r>
      <w:r w:rsidR="00982C6A">
        <w:t>A26/20</w:t>
      </w:r>
      <w:r w:rsidRPr="00E4210C">
        <w:t xml:space="preserve"> </w:t>
      </w:r>
      <w:r w:rsidRPr="00E4210C">
        <w:rPr>
          <w:i/>
        </w:rPr>
        <w:t xml:space="preserve">Michael von </w:t>
      </w:r>
      <w:proofErr w:type="spellStart"/>
      <w:r w:rsidRPr="00E4210C">
        <w:rPr>
          <w:i/>
        </w:rPr>
        <w:t>Hezinghen</w:t>
      </w:r>
      <w:proofErr w:type="spellEnd"/>
      <w:r w:rsidRPr="00E4210C">
        <w:t xml:space="preserve"> zu </w:t>
      </w:r>
      <w:r w:rsidRPr="00E4210C">
        <w:rPr>
          <w:i/>
        </w:rPr>
        <w:t xml:space="preserve">Michael von </w:t>
      </w:r>
      <w:proofErr w:type="spellStart"/>
      <w:r w:rsidRPr="00E4210C">
        <w:rPr>
          <w:i/>
        </w:rPr>
        <w:t>Eytzing</w:t>
      </w:r>
      <w:proofErr w:type="spellEnd"/>
      <w:r w:rsidRPr="00E4210C">
        <w:t xml:space="preserve"> korrigiert.</w:t>
      </w:r>
    </w:p>
    <w:p w14:paraId="07C23CBE" w14:textId="77777777" w:rsidR="00E73368" w:rsidRPr="00E4210C" w:rsidRDefault="00D14DE3" w:rsidP="00E73368">
      <w:pPr>
        <w:pStyle w:val="Listenabsatz"/>
        <w:numPr>
          <w:ilvl w:val="0"/>
          <w:numId w:val="4"/>
        </w:numPr>
        <w:spacing w:line="276" w:lineRule="auto"/>
        <w:jc w:val="both"/>
      </w:pPr>
      <w:r w:rsidRPr="00E4210C">
        <w:t>D</w:t>
      </w:r>
      <w:r w:rsidR="003A61C1" w:rsidRPr="00E4210C">
        <w:t xml:space="preserve">as Layout </w:t>
      </w:r>
      <w:r w:rsidRPr="00E4210C">
        <w:t xml:space="preserve">wurde </w:t>
      </w:r>
      <w:r w:rsidR="003A61C1" w:rsidRPr="00E4210C">
        <w:t>etwas übersichtlicher gestaltet und manche Abkürzungen bzw. ungelenke Schreibungen zum besseren Verständnis geändert.</w:t>
      </w:r>
    </w:p>
    <w:p w14:paraId="41A10337" w14:textId="77777777" w:rsidR="00EF10C2" w:rsidRDefault="003A61C1" w:rsidP="00B74D55">
      <w:pPr>
        <w:pStyle w:val="Listenabsatz"/>
        <w:numPr>
          <w:ilvl w:val="0"/>
          <w:numId w:val="4"/>
        </w:numPr>
        <w:spacing w:line="276" w:lineRule="auto"/>
        <w:jc w:val="both"/>
      </w:pPr>
      <w:r w:rsidRPr="00E4210C">
        <w:lastRenderedPageBreak/>
        <w:t xml:space="preserve">Die Fußnotenzählung der Einleitung ist in </w:t>
      </w:r>
      <w:r w:rsidR="00982C6A">
        <w:t xml:space="preserve">der </w:t>
      </w:r>
      <w:r w:rsidRPr="00E4210C">
        <w:t xml:space="preserve">digitalen Edition fortlaufend, während sie in der Druckversion auf jeder Seite </w:t>
      </w:r>
      <w:r w:rsidR="00EF10C2">
        <w:t>wieder mit der Ziffer 1 begann.</w:t>
      </w:r>
    </w:p>
    <w:p w14:paraId="590525AD" w14:textId="77777777" w:rsidR="00785FD7" w:rsidRPr="00B41F0F" w:rsidRDefault="00785FD7" w:rsidP="00B74D55">
      <w:pPr>
        <w:pStyle w:val="Listenabsatz"/>
        <w:numPr>
          <w:ilvl w:val="0"/>
          <w:numId w:val="4"/>
        </w:numPr>
        <w:spacing w:line="276" w:lineRule="auto"/>
        <w:jc w:val="both"/>
      </w:pPr>
      <w:r>
        <w:t>Die editorischen Angaben wurden nicht mehr als Fußnoten geführt, sondern in den Kommentar eingearbeitet, so wie das auch in den letzten gedruckten Bä</w:t>
      </w:r>
      <w:r w:rsidR="00DA649C">
        <w:t xml:space="preserve">nden gehandhabt </w:t>
      </w:r>
      <w:r w:rsidR="00DA649C" w:rsidRPr="00B41F0F">
        <w:t>wurde</w:t>
      </w:r>
      <w:r w:rsidRPr="00B41F0F">
        <w:t>.</w:t>
      </w:r>
    </w:p>
    <w:p w14:paraId="35834FBD" w14:textId="77777777" w:rsidR="00803282" w:rsidRPr="00B41F0F" w:rsidRDefault="00E4210C" w:rsidP="00803282">
      <w:pPr>
        <w:pStyle w:val="Listenabsatz"/>
        <w:numPr>
          <w:ilvl w:val="0"/>
          <w:numId w:val="4"/>
        </w:numPr>
        <w:spacing w:line="276" w:lineRule="auto"/>
        <w:jc w:val="both"/>
      </w:pPr>
      <w:r w:rsidRPr="00B41F0F">
        <w:t xml:space="preserve">Des Weiteren wurde das Register neu aufgesetzt und in einen Personen-, Ortsnamen- und einen </w:t>
      </w:r>
      <w:proofErr w:type="spellStart"/>
      <w:r w:rsidRPr="00B41F0F">
        <w:t>Sachteil</w:t>
      </w:r>
      <w:proofErr w:type="spellEnd"/>
      <w:r w:rsidRPr="00B41F0F">
        <w:t xml:space="preserve"> gegliedert. Die Ortsnamen, und zum Teil auch die Personennamen wurden im Register, nicht jedoch in den Regesten oder im Kommentar, nach den heute üblichen graphischen Konventionen erneuert. </w:t>
      </w:r>
      <w:proofErr w:type="spellStart"/>
      <w:r w:rsidRPr="00B41F0F">
        <w:t>Toponyme</w:t>
      </w:r>
      <w:proofErr w:type="spellEnd"/>
      <w:r w:rsidRPr="00B41F0F">
        <w:t xml:space="preserve"> </w:t>
      </w:r>
      <w:r w:rsidR="00EF10C2">
        <w:t xml:space="preserve">werden im digitalen Register dann </w:t>
      </w:r>
      <w:r w:rsidRPr="00B41F0F">
        <w:t>auf Deutsch wiedergegeben, wenn deren Verwendung heute noch weitgehend üblich ist (z. B. Venedig, Neapel, Brüssel). In allen anderen Fällen wurde die heute la</w:t>
      </w:r>
      <w:r w:rsidR="00AC27BA" w:rsidRPr="00B41F0F">
        <w:t>ndesübliche Schreibung gewählt.</w:t>
      </w:r>
      <w:r w:rsidR="00C169EA" w:rsidRPr="00B41F0F">
        <w:t xml:space="preserve"> </w:t>
      </w:r>
      <w:r w:rsidR="00AC27BA" w:rsidRPr="00B41F0F">
        <w:t xml:space="preserve">Über die </w:t>
      </w:r>
      <w:r w:rsidR="00C169EA" w:rsidRPr="00B41F0F">
        <w:t xml:space="preserve">Verlinkung mit </w:t>
      </w:r>
      <w:proofErr w:type="spellStart"/>
      <w:r w:rsidR="00C169EA" w:rsidRPr="00B41F0F">
        <w:t>GeoNames</w:t>
      </w:r>
      <w:proofErr w:type="spellEnd"/>
      <w:r w:rsidR="00AC27BA" w:rsidRPr="00B41F0F">
        <w:t xml:space="preserve"> können auch alle anderen Bezeichnungen </w:t>
      </w:r>
      <w:r w:rsidR="00B41F0F">
        <w:t xml:space="preserve">und </w:t>
      </w:r>
      <w:r w:rsidR="00AC27BA" w:rsidRPr="00B41F0F">
        <w:t xml:space="preserve">Schreibungen der </w:t>
      </w:r>
      <w:proofErr w:type="spellStart"/>
      <w:r w:rsidR="00AC27BA" w:rsidRPr="00B41F0F">
        <w:t>Toponyme</w:t>
      </w:r>
      <w:proofErr w:type="spellEnd"/>
      <w:r w:rsidR="00AC27BA" w:rsidRPr="00B41F0F">
        <w:t xml:space="preserve"> gefunden werden, sofern eine eindeutige Zuordnung über </w:t>
      </w:r>
      <w:proofErr w:type="spellStart"/>
      <w:r w:rsidR="00AC27BA" w:rsidRPr="00B41F0F">
        <w:t>GeoNames</w:t>
      </w:r>
      <w:proofErr w:type="spellEnd"/>
      <w:r w:rsidR="00AC27BA" w:rsidRPr="00B41F0F">
        <w:t xml:space="preserve"> möglich war. </w:t>
      </w:r>
      <w:r w:rsidR="00C169EA" w:rsidRPr="00B41F0F">
        <w:t xml:space="preserve">Bei </w:t>
      </w:r>
      <w:r w:rsidR="00AC27BA" w:rsidRPr="00B41F0F">
        <w:t xml:space="preserve">einigen </w:t>
      </w:r>
      <w:r w:rsidR="00C169EA" w:rsidRPr="00B41F0F">
        <w:t xml:space="preserve">Namen historischer Regionen (wie Brabant, Savoyen etc.) </w:t>
      </w:r>
      <w:r w:rsidR="00AC27BA" w:rsidRPr="00B41F0F">
        <w:t>war eine Verlinkung hingegen nicht bzw. nur zum Teil korrekt durchzuführen</w:t>
      </w:r>
      <w:r w:rsidR="00C169EA" w:rsidRPr="00B41F0F">
        <w:t>,</w:t>
      </w:r>
      <w:r w:rsidR="00AC27BA" w:rsidRPr="00B41F0F">
        <w:t xml:space="preserve"> </w:t>
      </w:r>
      <w:r w:rsidR="00C169EA" w:rsidRPr="00B41F0F">
        <w:t>da die entsprechenden Gebiete heute auf mehrere Länder aufgeteilt sind</w:t>
      </w:r>
      <w:r w:rsidR="00AC27BA" w:rsidRPr="00B41F0F">
        <w:t xml:space="preserve">. Früher eigenständige Orte sind heute bisweilen nur mehr </w:t>
      </w:r>
      <w:r w:rsidR="00B809D4" w:rsidRPr="00B41F0F">
        <w:t>Stadtteile von anderen Städte</w:t>
      </w:r>
      <w:r w:rsidR="00AC27BA" w:rsidRPr="00B41F0F">
        <w:t xml:space="preserve">n (z. B. </w:t>
      </w:r>
      <w:proofErr w:type="spellStart"/>
      <w:r w:rsidR="00AC27BA" w:rsidRPr="00B41F0F">
        <w:t>Wijnendale</w:t>
      </w:r>
      <w:proofErr w:type="spellEnd"/>
      <w:r w:rsidR="00AC27BA" w:rsidRPr="00B41F0F">
        <w:t xml:space="preserve"> in </w:t>
      </w:r>
      <w:proofErr w:type="spellStart"/>
      <w:r w:rsidR="00AC27BA" w:rsidRPr="00B41F0F">
        <w:t>Torhout</w:t>
      </w:r>
      <w:proofErr w:type="spellEnd"/>
      <w:r w:rsidR="00AC27BA" w:rsidRPr="00B41F0F">
        <w:t xml:space="preserve">), was eine eindeutige Verlinkung ebenfalls unmöglich machte. In diesen Fällen </w:t>
      </w:r>
      <w:r w:rsidR="00B41F0F" w:rsidRPr="00B41F0F">
        <w:t>hilft</w:t>
      </w:r>
      <w:r w:rsidR="00AC27BA" w:rsidRPr="00B41F0F">
        <w:t xml:space="preserve"> die </w:t>
      </w:r>
      <w:r w:rsidR="00B41F0F" w:rsidRPr="00B41F0F">
        <w:t>Suchfunktion weiter.</w:t>
      </w:r>
    </w:p>
    <w:p w14:paraId="0996E319" w14:textId="77777777" w:rsidR="00B41F0F" w:rsidRPr="00B41F0F" w:rsidRDefault="00E4210C" w:rsidP="00803282">
      <w:pPr>
        <w:pStyle w:val="Listenabsatz"/>
        <w:numPr>
          <w:ilvl w:val="0"/>
          <w:numId w:val="4"/>
        </w:numPr>
        <w:spacing w:line="276" w:lineRule="auto"/>
        <w:jc w:val="both"/>
      </w:pPr>
      <w:r w:rsidRPr="00B41F0F">
        <w:t>Im Unterschied zur gedruckten Version, dessen Register die Seitenzahlen der Nennungen des gesuchten Begriffs anführt, verweisen die Registereinträge der digitalen Edition auf den jeweiligen Brief und</w:t>
      </w:r>
      <w:r w:rsidR="00B41F0F" w:rsidRPr="00B41F0F">
        <w:t xml:space="preserve"> den betreffenden Inhaltspunkt.</w:t>
      </w:r>
    </w:p>
    <w:p w14:paraId="7C92FCF6" w14:textId="77777777" w:rsidR="00E4210C" w:rsidRPr="002506FB" w:rsidRDefault="00E4210C" w:rsidP="00803282">
      <w:pPr>
        <w:pStyle w:val="Listenabsatz"/>
        <w:numPr>
          <w:ilvl w:val="0"/>
          <w:numId w:val="4"/>
        </w:numPr>
        <w:spacing w:line="276" w:lineRule="auto"/>
        <w:jc w:val="both"/>
      </w:pPr>
      <w:r w:rsidRPr="00B41F0F">
        <w:t xml:space="preserve">Bei der </w:t>
      </w:r>
      <w:r w:rsidR="00E15E56" w:rsidRPr="00B41F0F">
        <w:t xml:space="preserve">Registererstellung konnten </w:t>
      </w:r>
      <w:r w:rsidR="00C5558D" w:rsidRPr="00B41F0F">
        <w:t xml:space="preserve">– wegen des Fortschritts in der historischen Forschung und v. a. dank der heute viel leichteren Recherchemöglichkeiten im Internet – </w:t>
      </w:r>
      <w:r w:rsidR="00E15E56" w:rsidRPr="00B41F0F">
        <w:t>etlich</w:t>
      </w:r>
      <w:r w:rsidRPr="00B41F0F">
        <w:t>e Personen neu identifiziert werden, so z. B. in Nr.</w:t>
      </w:r>
      <w:r w:rsidRPr="00B41F0F">
        <w:rPr>
          <w:lang w:val="de-AT"/>
        </w:rPr>
        <w:t xml:space="preserve"> 34 </w:t>
      </w:r>
      <w:r w:rsidRPr="00B41F0F">
        <w:rPr>
          <w:i/>
          <w:lang w:val="de-AT"/>
        </w:rPr>
        <w:t>Blanche Rose</w:t>
      </w:r>
      <w:r w:rsidRPr="00B41F0F">
        <w:rPr>
          <w:lang w:val="de-AT"/>
        </w:rPr>
        <w:t xml:space="preserve"> als </w:t>
      </w:r>
      <w:r w:rsidRPr="00B41F0F">
        <w:rPr>
          <w:i/>
          <w:lang w:val="de-AT"/>
        </w:rPr>
        <w:t xml:space="preserve">Richard de la Pole, Herzog (Earl) von </w:t>
      </w:r>
      <w:proofErr w:type="spellStart"/>
      <w:r w:rsidRPr="00B41F0F">
        <w:rPr>
          <w:i/>
          <w:lang w:val="de-AT"/>
        </w:rPr>
        <w:t>Suffolk</w:t>
      </w:r>
      <w:proofErr w:type="spellEnd"/>
      <w:r w:rsidR="00803282" w:rsidRPr="00B41F0F">
        <w:rPr>
          <w:lang w:val="de-AT"/>
        </w:rPr>
        <w:t xml:space="preserve"> oder </w:t>
      </w:r>
      <w:r w:rsidR="00EF10C2">
        <w:rPr>
          <w:lang w:val="de-AT"/>
        </w:rPr>
        <w:t>der mehrfach erwähnte</w:t>
      </w:r>
      <w:r w:rsidR="00803282" w:rsidRPr="00B41F0F">
        <w:rPr>
          <w:lang w:val="de-AT"/>
        </w:rPr>
        <w:t xml:space="preserve"> </w:t>
      </w:r>
      <w:proofErr w:type="spellStart"/>
      <w:r w:rsidR="00803282" w:rsidRPr="00B41F0F">
        <w:rPr>
          <w:i/>
          <w:lang w:val="de-AT"/>
        </w:rPr>
        <w:t>conte</w:t>
      </w:r>
      <w:proofErr w:type="spellEnd"/>
      <w:r w:rsidR="00803282" w:rsidRPr="00B41F0F">
        <w:rPr>
          <w:i/>
          <w:lang w:val="de-AT"/>
        </w:rPr>
        <w:t xml:space="preserve"> de </w:t>
      </w:r>
      <w:proofErr w:type="spellStart"/>
      <w:r w:rsidR="00803282" w:rsidRPr="00B41F0F">
        <w:rPr>
          <w:i/>
          <w:lang w:val="de-AT"/>
        </w:rPr>
        <w:t>Sorne</w:t>
      </w:r>
      <w:proofErr w:type="spellEnd"/>
      <w:r w:rsidR="00803282" w:rsidRPr="00B41F0F">
        <w:rPr>
          <w:lang w:val="de-AT"/>
        </w:rPr>
        <w:t xml:space="preserve"> als</w:t>
      </w:r>
      <w:r w:rsidR="00803282" w:rsidRPr="00B41F0F">
        <w:t xml:space="preserve"> </w:t>
      </w:r>
      <w:r w:rsidR="00803282" w:rsidRPr="00B41F0F">
        <w:rPr>
          <w:i/>
        </w:rPr>
        <w:t>Graf Eitel Friedrich (</w:t>
      </w:r>
      <w:proofErr w:type="spellStart"/>
      <w:r w:rsidR="00803282" w:rsidRPr="002506FB">
        <w:rPr>
          <w:i/>
        </w:rPr>
        <w:t>Eitelfritz</w:t>
      </w:r>
      <w:proofErr w:type="spellEnd"/>
      <w:r w:rsidR="00803282" w:rsidRPr="002506FB">
        <w:rPr>
          <w:i/>
        </w:rPr>
        <w:t xml:space="preserve">) III. von </w:t>
      </w:r>
      <w:proofErr w:type="spellStart"/>
      <w:r w:rsidR="00803282" w:rsidRPr="002506FB">
        <w:rPr>
          <w:i/>
        </w:rPr>
        <w:t>Zollern</w:t>
      </w:r>
      <w:proofErr w:type="spellEnd"/>
      <w:r w:rsidR="00803282" w:rsidRPr="002506FB">
        <w:rPr>
          <w:i/>
        </w:rPr>
        <w:t xml:space="preserve"> (Hohenzollern</w:t>
      </w:r>
      <w:r w:rsidR="00803282" w:rsidRPr="002506FB">
        <w:t>).</w:t>
      </w:r>
    </w:p>
    <w:p w14:paraId="2DFF6321" w14:textId="77777777" w:rsidR="003D4726" w:rsidRDefault="008156A6" w:rsidP="00E4210C">
      <w:pPr>
        <w:pStyle w:val="Listenabsatz"/>
        <w:numPr>
          <w:ilvl w:val="0"/>
          <w:numId w:val="4"/>
        </w:numPr>
        <w:spacing w:line="276" w:lineRule="auto"/>
        <w:jc w:val="both"/>
      </w:pPr>
      <w:r w:rsidRPr="002506FB">
        <w:t>Die Registereinträge v</w:t>
      </w:r>
      <w:r w:rsidR="003D4726" w:rsidRPr="002506FB">
        <w:t>erweise</w:t>
      </w:r>
      <w:r w:rsidRPr="002506FB">
        <w:t xml:space="preserve">n auf die Transkripte der originalen Brieftexte und – </w:t>
      </w:r>
      <w:r w:rsidR="003D4726" w:rsidRPr="002506FB">
        <w:t>wenn</w:t>
      </w:r>
      <w:r w:rsidRPr="002506FB">
        <w:t xml:space="preserve"> vorhanden – </w:t>
      </w:r>
      <w:r w:rsidR="003D4726" w:rsidRPr="002506FB">
        <w:t xml:space="preserve">auf </w:t>
      </w:r>
      <w:r w:rsidRPr="002506FB">
        <w:t xml:space="preserve">die betreffenden Unterpunkte, nicht jedoch auf die Verwendung dieser </w:t>
      </w:r>
      <w:r w:rsidR="002506FB" w:rsidRPr="002506FB">
        <w:t>Einträge in den</w:t>
      </w:r>
      <w:r w:rsidRPr="002506FB">
        <w:t xml:space="preserve"> Regest</w:t>
      </w:r>
      <w:r w:rsidR="002506FB" w:rsidRPr="002506FB">
        <w:t xml:space="preserve">en und </w:t>
      </w:r>
      <w:r w:rsidRPr="002506FB">
        <w:t>Kommentar</w:t>
      </w:r>
      <w:r w:rsidR="002506FB" w:rsidRPr="002506FB">
        <w:t>en</w:t>
      </w:r>
      <w:r w:rsidRPr="002506FB">
        <w:t xml:space="preserve">. </w:t>
      </w:r>
      <w:r w:rsidR="002506FB" w:rsidRPr="002506FB">
        <w:t>Nur bei der Verwendung von Namen und Begriffen, die im eigentlichen Brieftext nicht vorkommen, sich allerdings im Regest oder im Kommentar finden, werden auch diese Namen und Begriffe im Register ausgewiesen.</w:t>
      </w:r>
    </w:p>
    <w:p w14:paraId="398AA2E9" w14:textId="77777777" w:rsidR="002506FB" w:rsidRPr="00AE251C" w:rsidRDefault="002506FB" w:rsidP="00E4210C">
      <w:pPr>
        <w:pStyle w:val="Listenabsatz"/>
        <w:numPr>
          <w:ilvl w:val="0"/>
          <w:numId w:val="4"/>
        </w:numPr>
        <w:spacing w:line="276" w:lineRule="auto"/>
        <w:jc w:val="both"/>
      </w:pPr>
      <w:r w:rsidRPr="000567EC">
        <w:t xml:space="preserve">Die Hauptkorrespondenzpartner Ferdinand (abgekürzt F), Karl (K) und Maria von Ungarn (M) sind im </w:t>
      </w:r>
      <w:r w:rsidRPr="00AE251C">
        <w:t>Personenregister wegen der zu häufigen Nennung nicht angeführt; im Sachregister finden sich jedoch die Einträge zu einzelnen sie betreffenden Themen.</w:t>
      </w:r>
    </w:p>
    <w:p w14:paraId="169887C8" w14:textId="0214E842" w:rsidR="0095127C" w:rsidRPr="00AE251C" w:rsidRDefault="0095127C" w:rsidP="00E4210C">
      <w:pPr>
        <w:pStyle w:val="Listenabsatz"/>
        <w:numPr>
          <w:ilvl w:val="0"/>
          <w:numId w:val="4"/>
        </w:numPr>
        <w:spacing w:line="276" w:lineRule="auto"/>
        <w:jc w:val="both"/>
      </w:pPr>
      <w:r w:rsidRPr="00AE251C">
        <w:t xml:space="preserve">Da eine klare Trennung zwischen Orts- und Sachbegriffen im Register nicht möglich war, wurden in das Sachregister neben den rein thematischen Begriffen (wie z. B. „Gesundheit/Krankheit“, „Bauernkrieg“, „Salz“) jene Ortsbezeichnungen aufgenommen, die auf immer wieder anzutreffende Themenbereiche Bezug nehmen (wie z. B. „Frankreich“ für die gespannten, kriegerischen oder friedlichen Beziehungen zu Frankreich oder „Türken“ für alle Fragen rund um die Beziehungen zum Osmanischen Reich). Im Sachregister finden sich auch die oft zitierten Herrschaftsgebiete Ferdinands (wie z. B. Böhmen, Erblande, Österreich oder Mähren). Im Ortsregister finden sich die Namen </w:t>
      </w:r>
      <w:r w:rsidRPr="00AE251C">
        <w:lastRenderedPageBreak/>
        <w:t xml:space="preserve">von Regionen, die entweder nicht im Herrschaftsgebiet </w:t>
      </w:r>
      <w:proofErr w:type="spellStart"/>
      <w:r w:rsidRPr="00AE251C">
        <w:t>F’s</w:t>
      </w:r>
      <w:proofErr w:type="spellEnd"/>
      <w:r w:rsidRPr="00AE251C">
        <w:t xml:space="preserve"> liegen</w:t>
      </w:r>
      <w:r w:rsidR="000D263D">
        <w:t xml:space="preserve"> oder nur sehr selten vorkommen, und jene von Städten</w:t>
      </w:r>
      <w:bookmarkStart w:id="0" w:name="_GoBack"/>
      <w:bookmarkEnd w:id="0"/>
      <w:r w:rsidR="000D263D">
        <w:t>.</w:t>
      </w:r>
    </w:p>
    <w:p w14:paraId="749DD3E7" w14:textId="77777777" w:rsidR="000567EC" w:rsidRPr="00AE251C" w:rsidRDefault="000567EC" w:rsidP="00E4210C">
      <w:pPr>
        <w:pStyle w:val="Listenabsatz"/>
        <w:numPr>
          <w:ilvl w:val="0"/>
          <w:numId w:val="4"/>
        </w:numPr>
        <w:spacing w:line="276" w:lineRule="auto"/>
        <w:jc w:val="both"/>
      </w:pPr>
      <w:r w:rsidRPr="00AE251C">
        <w:t>Das Sachregister enthält – wenn nötig – auch Verweise zu den entsprechenden englischen Begriffen.</w:t>
      </w:r>
    </w:p>
    <w:p w14:paraId="65D7335C" w14:textId="77777777" w:rsidR="00E4210C" w:rsidRPr="00AE251C" w:rsidRDefault="00E4210C" w:rsidP="00E4210C">
      <w:pPr>
        <w:pStyle w:val="Listenabsatz"/>
        <w:numPr>
          <w:ilvl w:val="0"/>
          <w:numId w:val="4"/>
        </w:numPr>
        <w:spacing w:line="276" w:lineRule="auto"/>
        <w:jc w:val="both"/>
      </w:pPr>
      <w:r w:rsidRPr="00AE251C">
        <w:t>Nicht nur die Neugestaltung des Registers und die englischen Regesten sollen die Benützung und die Suche nach bestimmten Namen und Begriffen erleichtern, die</w:t>
      </w:r>
      <w:r w:rsidR="00982C6A" w:rsidRPr="00AE251C">
        <w:t xml:space="preserve"> digitale Edition erlaubt auch – </w:t>
      </w:r>
      <w:r w:rsidRPr="00AE251C">
        <w:t>und das ist ein w</w:t>
      </w:r>
      <w:r w:rsidR="00982C6A" w:rsidRPr="00AE251C">
        <w:t>eiterer, entscheidender Vorteil –</w:t>
      </w:r>
      <w:r w:rsidRPr="00AE251C">
        <w:t xml:space="preserve"> eine Einzelwortsuche.</w:t>
      </w:r>
      <w:r w:rsidR="005F3F3F" w:rsidRPr="00AE251C">
        <w:t xml:space="preserve"> Das Sachregister konnte dadurch entlastet werden.</w:t>
      </w:r>
    </w:p>
    <w:p w14:paraId="0BDA46BD" w14:textId="77777777" w:rsidR="00E73368" w:rsidRPr="002506FB" w:rsidRDefault="00B04768" w:rsidP="00E73368">
      <w:pPr>
        <w:pStyle w:val="Listenabsatz"/>
        <w:numPr>
          <w:ilvl w:val="0"/>
          <w:numId w:val="4"/>
        </w:numPr>
        <w:spacing w:line="276" w:lineRule="auto"/>
        <w:jc w:val="both"/>
      </w:pPr>
      <w:r w:rsidRPr="00AE251C">
        <w:t xml:space="preserve">Die </w:t>
      </w:r>
      <w:r w:rsidR="002506FB" w:rsidRPr="00AE251C">
        <w:t>"</w:t>
      </w:r>
      <w:r w:rsidRPr="00AE251C">
        <w:t>Zusätze und Berichtigungen</w:t>
      </w:r>
      <w:r w:rsidR="002506FB" w:rsidRPr="00AE251C">
        <w:t>"</w:t>
      </w:r>
      <w:r w:rsidRPr="00AE251C">
        <w:t>, die sich in der gedruckten Ausgabe</w:t>
      </w:r>
      <w:r w:rsidRPr="002506FB">
        <w:t xml:space="preserve"> auf</w:t>
      </w:r>
      <w:r w:rsidR="003628B4" w:rsidRPr="002506FB">
        <w:t xml:space="preserve"> Seite 559 finden, wurden in die entsprechenden Briefnummern</w:t>
      </w:r>
      <w:r w:rsidRPr="002506FB">
        <w:t xml:space="preserve"> eingearbeitet.</w:t>
      </w:r>
    </w:p>
    <w:p w14:paraId="4FD86CDE" w14:textId="31EB2A30" w:rsidR="000561D6" w:rsidRPr="00E4210C" w:rsidRDefault="00C11C3D" w:rsidP="00E73368">
      <w:pPr>
        <w:pStyle w:val="Listenabsatz"/>
        <w:numPr>
          <w:ilvl w:val="0"/>
          <w:numId w:val="4"/>
        </w:numPr>
        <w:spacing w:line="276" w:lineRule="auto"/>
        <w:jc w:val="both"/>
      </w:pPr>
      <w:r w:rsidRPr="00E4210C">
        <w:t xml:space="preserve">In der digitalen Edition wurde des Weiteren darauf verzichtet, das chronologische Verzeichnis der in der Buchversion abgedruckten und angeführten Briefe und Aktenstücke </w:t>
      </w:r>
      <w:r w:rsidR="00141B1D" w:rsidRPr="00E4210C">
        <w:t>(</w:t>
      </w:r>
      <w:r w:rsidR="001D437E">
        <w:t>pp.</w:t>
      </w:r>
      <w:r w:rsidRPr="00E4210C">
        <w:t xml:space="preserve"> XXXV–XLII) in einer eigenen Datei wiederzugeben, da dieses Verzeichnis ohnehin in der Datenbank ersichtlich ist.</w:t>
      </w:r>
    </w:p>
    <w:p w14:paraId="3CD560EF" w14:textId="77777777" w:rsidR="00E73368" w:rsidRPr="00E4210C" w:rsidRDefault="00E73368" w:rsidP="00E73368">
      <w:pPr>
        <w:spacing w:line="276" w:lineRule="auto"/>
        <w:jc w:val="both"/>
      </w:pPr>
    </w:p>
    <w:p w14:paraId="60F473F5" w14:textId="77777777" w:rsidR="0087226F" w:rsidRDefault="005335F9" w:rsidP="00E73368">
      <w:pPr>
        <w:spacing w:line="276" w:lineRule="auto"/>
        <w:jc w:val="both"/>
      </w:pPr>
      <w:r w:rsidRPr="00E4210C">
        <w:t xml:space="preserve">Die Überprüfung der französischen Texte wie auch des Kommentars </w:t>
      </w:r>
      <w:r w:rsidR="002004EE" w:rsidRPr="00E4210C">
        <w:t>hat Laura Abel übernommen, jene der spanischen und lateinischen Briefe Johannes Hofer-</w:t>
      </w:r>
      <w:proofErr w:type="spellStart"/>
      <w:r w:rsidR="002004EE" w:rsidRPr="00E4210C">
        <w:t>Bindeus</w:t>
      </w:r>
      <w:proofErr w:type="spellEnd"/>
      <w:r w:rsidR="002506FB">
        <w:t xml:space="preserve"> und Doris </w:t>
      </w:r>
      <w:proofErr w:type="spellStart"/>
      <w:r w:rsidR="002506FB">
        <w:t>Pitzer</w:t>
      </w:r>
      <w:proofErr w:type="spellEnd"/>
      <w:r w:rsidR="002004EE" w:rsidRPr="00E4210C">
        <w:t xml:space="preserve">. Die Kollationierung der Regesten und die Aufteilung der einzelnen Briefe in eigene Dateien lagen in den Händen von Doris </w:t>
      </w:r>
      <w:proofErr w:type="spellStart"/>
      <w:r w:rsidR="002004EE" w:rsidRPr="00E4210C">
        <w:t>Pitzer</w:t>
      </w:r>
      <w:proofErr w:type="spellEnd"/>
      <w:r w:rsidR="002004EE" w:rsidRPr="00E4210C">
        <w:t>. Für die digitale Anzeichnu</w:t>
      </w:r>
      <w:r w:rsidR="002506FB">
        <w:t>ng der Registerbegriffe zeichn</w:t>
      </w:r>
      <w:r w:rsidR="002004EE" w:rsidRPr="00E4210C">
        <w:t>en Laura Abel</w:t>
      </w:r>
      <w:r w:rsidR="00E4210C" w:rsidRPr="00E4210C">
        <w:t>, Johannes Hofer-</w:t>
      </w:r>
      <w:proofErr w:type="spellStart"/>
      <w:r w:rsidR="00E4210C" w:rsidRPr="00E4210C">
        <w:t>Bindeus</w:t>
      </w:r>
      <w:proofErr w:type="spellEnd"/>
      <w:r w:rsidR="002004EE" w:rsidRPr="00E4210C">
        <w:t xml:space="preserve"> und Christopher F. Laferl verantwortlich. Die englische Übersetzung der Regesten stammt von Christina Hug, jene der Einleitung</w:t>
      </w:r>
      <w:r w:rsidR="002506FB">
        <w:t xml:space="preserve">en des ersten Bandes </w:t>
      </w:r>
      <w:r w:rsidR="002004EE" w:rsidRPr="00E4210C">
        <w:t xml:space="preserve">von Tanner </w:t>
      </w:r>
      <w:proofErr w:type="spellStart"/>
      <w:r w:rsidR="002004EE" w:rsidRPr="00E4210C">
        <w:t>Kauffman</w:t>
      </w:r>
      <w:proofErr w:type="spellEnd"/>
      <w:r w:rsidR="002004EE" w:rsidRPr="00E4210C">
        <w:t xml:space="preserve"> Gore</w:t>
      </w:r>
      <w:r w:rsidR="00AC27BA">
        <w:t>, Christopher F. Laferl und Michael Doyle Ryan</w:t>
      </w:r>
      <w:r w:rsidR="002004EE" w:rsidRPr="00E4210C">
        <w:t xml:space="preserve">. Christopher F. Laferl hat alle übersetzten Texte und </w:t>
      </w:r>
      <w:r w:rsidR="002004EE" w:rsidRPr="00AC27BA">
        <w:t xml:space="preserve">das Register abschließend überprüft. Die elektronische Betreuung der Datenbank erfolgte durch Joseph Wang. </w:t>
      </w:r>
      <w:r w:rsidR="00AC27BA" w:rsidRPr="00AC27BA">
        <w:t xml:space="preserve">Das Web-Design wurde von Birgit </w:t>
      </w:r>
      <w:proofErr w:type="spellStart"/>
      <w:r w:rsidR="00AC27BA" w:rsidRPr="00AC27BA">
        <w:t>Raitmayr</w:t>
      </w:r>
      <w:proofErr w:type="spellEnd"/>
      <w:r w:rsidR="00AC27BA" w:rsidRPr="00AC27BA">
        <w:t xml:space="preserve"> der Firma pixlerei.</w:t>
      </w:r>
      <w:r w:rsidR="0087226F">
        <w:t>at erstellt.</w:t>
      </w:r>
    </w:p>
    <w:p w14:paraId="1D11749E" w14:textId="77777777" w:rsidR="00064149" w:rsidRDefault="007F1139" w:rsidP="0087226F">
      <w:pPr>
        <w:spacing w:line="276" w:lineRule="auto"/>
        <w:ind w:firstLine="708"/>
        <w:jc w:val="both"/>
      </w:pPr>
      <w:r w:rsidRPr="00AC27BA">
        <w:t>Unterstützt w</w:t>
      </w:r>
      <w:r w:rsidR="000561D6" w:rsidRPr="00AC27BA">
        <w:t>u</w:t>
      </w:r>
      <w:r w:rsidRPr="00AC27BA">
        <w:t>rd</w:t>
      </w:r>
      <w:r w:rsidR="000561D6" w:rsidRPr="00AC27BA">
        <w:t>e und wird</w:t>
      </w:r>
      <w:r w:rsidRPr="00AC27BA">
        <w:t xml:space="preserve"> dieses Projekt von der Kommission für Neuere Geschichte Österreichs</w:t>
      </w:r>
      <w:r w:rsidR="000561D6" w:rsidRPr="00AC27BA">
        <w:t>, deren</w:t>
      </w:r>
      <w:r w:rsidR="000561D6" w:rsidRPr="00E4210C">
        <w:t xml:space="preserve"> Vorsitzende Brigitte </w:t>
      </w:r>
      <w:proofErr w:type="spellStart"/>
      <w:r w:rsidR="000561D6" w:rsidRPr="00E4210C">
        <w:t>Mazohl</w:t>
      </w:r>
      <w:proofErr w:type="spellEnd"/>
      <w:r w:rsidR="000561D6" w:rsidRPr="00E4210C">
        <w:t xml:space="preserve"> sich unermüdlich für die Digitalisierung von Quellenedition</w:t>
      </w:r>
      <w:r w:rsidR="002506FB">
        <w:t>en</w:t>
      </w:r>
      <w:r w:rsidR="000561D6" w:rsidRPr="00E4210C">
        <w:t xml:space="preserve"> zur neueren Geschichte Österreichs eingesetzt hat,</w:t>
      </w:r>
      <w:r w:rsidRPr="00E4210C">
        <w:t xml:space="preserve"> und </w:t>
      </w:r>
      <w:r w:rsidR="000561D6" w:rsidRPr="00E4210C">
        <w:t xml:space="preserve">vom </w:t>
      </w:r>
      <w:r w:rsidRPr="00E4210C">
        <w:t>Fachbereich Romanistik der Universität Salzburg. Der Verlag Holzhausen gab seine freundliche Zustimmung zur Digitalisierung der ersten drei Bände. Ihm</w:t>
      </w:r>
      <w:r w:rsidR="000561D6" w:rsidRPr="00E4210C">
        <w:t xml:space="preserve"> wie auch al</w:t>
      </w:r>
      <w:r w:rsidR="002506FB">
        <w:t>len, welche die Digitalisierung</w:t>
      </w:r>
      <w:r w:rsidR="000561D6" w:rsidRPr="00E4210C">
        <w:t xml:space="preserve"> der Familienkorrespondenz Ferdinands I. möglich gemacht haben,</w:t>
      </w:r>
      <w:r w:rsidR="002506FB">
        <w:t xml:space="preserve"> sei </w:t>
      </w:r>
      <w:r w:rsidRPr="00E4210C">
        <w:t>aufrichtig gedankt.</w:t>
      </w:r>
    </w:p>
    <w:p w14:paraId="41B3997B" w14:textId="77777777" w:rsidR="002A518E" w:rsidRDefault="002A518E" w:rsidP="00E73368">
      <w:pPr>
        <w:spacing w:line="276" w:lineRule="auto"/>
        <w:jc w:val="both"/>
      </w:pPr>
    </w:p>
    <w:p w14:paraId="2213D37C" w14:textId="77777777" w:rsidR="002A518E" w:rsidRPr="00E4210C" w:rsidRDefault="002A518E" w:rsidP="00E73368">
      <w:pPr>
        <w:spacing w:line="276" w:lineRule="auto"/>
        <w:jc w:val="both"/>
      </w:pPr>
      <w:r w:rsidRPr="00AC27BA">
        <w:t>Für alle Rückmeldungen durch Benützer</w:t>
      </w:r>
      <w:r w:rsidR="00AC27BA" w:rsidRPr="00AC27BA">
        <w:t>innen und Benützer danken das Bearbeitungsteam</w:t>
      </w:r>
      <w:r w:rsidRPr="00AC27BA">
        <w:t xml:space="preserve">! Senden Sie Ihre Kommentare bitte direkt an: </w:t>
      </w:r>
      <w:hyperlink r:id="rId8" w:history="1">
        <w:r w:rsidRPr="00AC27BA">
          <w:rPr>
            <w:rStyle w:val="Hyperlink"/>
          </w:rPr>
          <w:t>christopher.lafer@sbg.ac.at</w:t>
        </w:r>
      </w:hyperlink>
      <w:r w:rsidR="00AC27BA" w:rsidRPr="00AC27BA">
        <w:t>.</w:t>
      </w:r>
    </w:p>
    <w:sectPr w:rsidR="002A518E" w:rsidRPr="00E4210C">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42157" w14:textId="77777777" w:rsidR="004C2511" w:rsidRDefault="004C2511">
      <w:r>
        <w:separator/>
      </w:r>
    </w:p>
  </w:endnote>
  <w:endnote w:type="continuationSeparator" w:id="0">
    <w:p w14:paraId="3498DA3A" w14:textId="77777777" w:rsidR="004C2511" w:rsidRDefault="004C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BF2C2" w14:textId="77777777" w:rsidR="004C2511" w:rsidRDefault="004C2511">
      <w:r>
        <w:separator/>
      </w:r>
    </w:p>
  </w:footnote>
  <w:footnote w:type="continuationSeparator" w:id="0">
    <w:p w14:paraId="0E99BE7B" w14:textId="77777777" w:rsidR="004C2511" w:rsidRDefault="004C2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4D919" w14:textId="04262E8F" w:rsidR="0017517A" w:rsidRDefault="0017517A">
    <w:pPr>
      <w:pStyle w:val="Kopfzeile"/>
      <w:framePr w:wrap="auto" w:vAnchor="text" w:hAnchor="margin" w:xAlign="right" w:y="1"/>
      <w:rPr>
        <w:rStyle w:val="Seitenzahl"/>
        <w:sz w:val="20"/>
        <w:szCs w:val="20"/>
      </w:rPr>
    </w:pPr>
  </w:p>
  <w:p w14:paraId="0C598B39" w14:textId="77777777" w:rsidR="0017517A" w:rsidRDefault="0017517A">
    <w:pPr>
      <w:pStyle w:val="Kopfzeile"/>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972B2B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795523"/>
    <w:multiLevelType w:val="hybridMultilevel"/>
    <w:tmpl w:val="8A36AD2E"/>
    <w:lvl w:ilvl="0" w:tplc="B472F474">
      <w:start w:val="1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6F45502"/>
    <w:multiLevelType w:val="hybridMultilevel"/>
    <w:tmpl w:val="A146A31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DCD50BA"/>
    <w:multiLevelType w:val="hybridMultilevel"/>
    <w:tmpl w:val="3ECC97F4"/>
    <w:lvl w:ilvl="0" w:tplc="CF0EC2AC">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9704690"/>
    <w:multiLevelType w:val="multilevel"/>
    <w:tmpl w:val="E750A18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09"/>
    <w:rsid w:val="000561D6"/>
    <w:rsid w:val="000567EC"/>
    <w:rsid w:val="00064149"/>
    <w:rsid w:val="00072C2A"/>
    <w:rsid w:val="00084180"/>
    <w:rsid w:val="000929EF"/>
    <w:rsid w:val="000B51BC"/>
    <w:rsid w:val="000B5A65"/>
    <w:rsid w:val="000D263D"/>
    <w:rsid w:val="00130EEB"/>
    <w:rsid w:val="00141B1D"/>
    <w:rsid w:val="0015093A"/>
    <w:rsid w:val="0017517A"/>
    <w:rsid w:val="001D437E"/>
    <w:rsid w:val="002004EE"/>
    <w:rsid w:val="002506FB"/>
    <w:rsid w:val="00295F43"/>
    <w:rsid w:val="002A4F90"/>
    <w:rsid w:val="002A518E"/>
    <w:rsid w:val="002C15ED"/>
    <w:rsid w:val="002E4287"/>
    <w:rsid w:val="00313562"/>
    <w:rsid w:val="003600C3"/>
    <w:rsid w:val="003628B4"/>
    <w:rsid w:val="003726CA"/>
    <w:rsid w:val="003A61C1"/>
    <w:rsid w:val="003D4726"/>
    <w:rsid w:val="004002D3"/>
    <w:rsid w:val="004344A4"/>
    <w:rsid w:val="004639CD"/>
    <w:rsid w:val="004A1F1D"/>
    <w:rsid w:val="004C2511"/>
    <w:rsid w:val="004D74DE"/>
    <w:rsid w:val="004F1F58"/>
    <w:rsid w:val="004F20A6"/>
    <w:rsid w:val="004F3309"/>
    <w:rsid w:val="005234DB"/>
    <w:rsid w:val="005335F9"/>
    <w:rsid w:val="00583CFC"/>
    <w:rsid w:val="005977B6"/>
    <w:rsid w:val="005B3DE4"/>
    <w:rsid w:val="005D2F72"/>
    <w:rsid w:val="005D4A85"/>
    <w:rsid w:val="005F3F3F"/>
    <w:rsid w:val="006126C4"/>
    <w:rsid w:val="00627BCC"/>
    <w:rsid w:val="00643014"/>
    <w:rsid w:val="006462C5"/>
    <w:rsid w:val="006A69FA"/>
    <w:rsid w:val="006B376A"/>
    <w:rsid w:val="006B497A"/>
    <w:rsid w:val="006C0A36"/>
    <w:rsid w:val="006E784E"/>
    <w:rsid w:val="00701396"/>
    <w:rsid w:val="007026A5"/>
    <w:rsid w:val="00706CE6"/>
    <w:rsid w:val="0075195D"/>
    <w:rsid w:val="00752AD9"/>
    <w:rsid w:val="00774307"/>
    <w:rsid w:val="00785FD7"/>
    <w:rsid w:val="007C7B83"/>
    <w:rsid w:val="007F1139"/>
    <w:rsid w:val="00803282"/>
    <w:rsid w:val="008113BA"/>
    <w:rsid w:val="0081204C"/>
    <w:rsid w:val="008156A6"/>
    <w:rsid w:val="008626CC"/>
    <w:rsid w:val="00867559"/>
    <w:rsid w:val="0087226F"/>
    <w:rsid w:val="00880260"/>
    <w:rsid w:val="00894122"/>
    <w:rsid w:val="008A1A2B"/>
    <w:rsid w:val="008B1530"/>
    <w:rsid w:val="008B60F3"/>
    <w:rsid w:val="008D5D51"/>
    <w:rsid w:val="008F1A23"/>
    <w:rsid w:val="009160FC"/>
    <w:rsid w:val="0094311E"/>
    <w:rsid w:val="00947C85"/>
    <w:rsid w:val="0095127C"/>
    <w:rsid w:val="0096257E"/>
    <w:rsid w:val="00982C6A"/>
    <w:rsid w:val="009A5164"/>
    <w:rsid w:val="009A6507"/>
    <w:rsid w:val="009F2DEF"/>
    <w:rsid w:val="00A21848"/>
    <w:rsid w:val="00AB45E3"/>
    <w:rsid w:val="00AB63EA"/>
    <w:rsid w:val="00AC27BA"/>
    <w:rsid w:val="00AC456F"/>
    <w:rsid w:val="00AE251C"/>
    <w:rsid w:val="00AE732E"/>
    <w:rsid w:val="00B001AC"/>
    <w:rsid w:val="00B04768"/>
    <w:rsid w:val="00B1701B"/>
    <w:rsid w:val="00B41F0F"/>
    <w:rsid w:val="00B809D4"/>
    <w:rsid w:val="00BB1693"/>
    <w:rsid w:val="00BE2CA6"/>
    <w:rsid w:val="00BF0BAD"/>
    <w:rsid w:val="00C02D44"/>
    <w:rsid w:val="00C11C3D"/>
    <w:rsid w:val="00C169EA"/>
    <w:rsid w:val="00C213E7"/>
    <w:rsid w:val="00C46F53"/>
    <w:rsid w:val="00C5558D"/>
    <w:rsid w:val="00CE215F"/>
    <w:rsid w:val="00D05F4A"/>
    <w:rsid w:val="00D14DE3"/>
    <w:rsid w:val="00D37207"/>
    <w:rsid w:val="00D43B7C"/>
    <w:rsid w:val="00D450A0"/>
    <w:rsid w:val="00D574FD"/>
    <w:rsid w:val="00D73B1A"/>
    <w:rsid w:val="00D85550"/>
    <w:rsid w:val="00DA649C"/>
    <w:rsid w:val="00DB5DA7"/>
    <w:rsid w:val="00DD573A"/>
    <w:rsid w:val="00E15E56"/>
    <w:rsid w:val="00E4210C"/>
    <w:rsid w:val="00E4450E"/>
    <w:rsid w:val="00E7153E"/>
    <w:rsid w:val="00E73368"/>
    <w:rsid w:val="00E9409F"/>
    <w:rsid w:val="00EE7FF9"/>
    <w:rsid w:val="00EF10C2"/>
    <w:rsid w:val="00EF790F"/>
    <w:rsid w:val="00F035F0"/>
    <w:rsid w:val="00F65AC0"/>
    <w:rsid w:val="00F8335A"/>
    <w:rsid w:val="00FA47AB"/>
    <w:rsid w:val="00FE46C0"/>
    <w:rsid w:val="00FE4DD5"/>
    <w:rsid w:val="00FF2F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44D13"/>
  <w14:defaultImageDpi w14:val="0"/>
  <w15:docId w15:val="{967964CF-59F3-4FE1-8E6F-FED357F4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spacing w:after="0" w:line="240" w:lineRule="auto"/>
    </w:pPr>
    <w:rPr>
      <w:rFonts w:ascii="Times New Roman" w:hAnsi="Times New Roman"/>
      <w:sz w:val="24"/>
      <w:szCs w:val="24"/>
      <w:lang w:val="de-DE"/>
    </w:rPr>
  </w:style>
  <w:style w:type="paragraph" w:styleId="berschrift1">
    <w:name w:val="heading 1"/>
    <w:basedOn w:val="Standard"/>
    <w:next w:val="Standard"/>
    <w:link w:val="berschrift1Zchn"/>
    <w:uiPriority w:val="99"/>
    <w:qFormat/>
    <w:pPr>
      <w:keepNext/>
      <w:outlineLvl w:val="0"/>
    </w:pPr>
    <w:rPr>
      <w:rFonts w:ascii="Arial" w:hAnsi="Arial" w:cs="Arial"/>
      <w:b/>
      <w:bCs/>
      <w:lang w:val="de-AT"/>
    </w:rPr>
  </w:style>
  <w:style w:type="paragraph" w:styleId="berschrift2">
    <w:name w:val="heading 2"/>
    <w:basedOn w:val="Standard"/>
    <w:next w:val="Standard"/>
    <w:link w:val="berschrift2Zchn"/>
    <w:uiPriority w:val="99"/>
    <w:qFormat/>
    <w:pPr>
      <w:keepNext/>
      <w:outlineLvl w:val="1"/>
    </w:pPr>
    <w:rPr>
      <w:rFonts w:ascii="Arial" w:hAnsi="Arial" w:cs="Arial"/>
      <w:lang w:val="de-AT"/>
    </w:rPr>
  </w:style>
  <w:style w:type="paragraph" w:styleId="berschrift3">
    <w:name w:val="heading 3"/>
    <w:basedOn w:val="Standard"/>
    <w:next w:val="Standard"/>
    <w:link w:val="berschrift3Zchn"/>
    <w:uiPriority w:val="99"/>
    <w:qFormat/>
    <w:pPr>
      <w:keepNext/>
      <w:jc w:val="center"/>
      <w:outlineLvl w:val="2"/>
    </w:pPr>
    <w:rPr>
      <w:rFonts w:ascii="Arial" w:hAnsi="Arial" w:cs="Arial"/>
      <w:b/>
      <w:bCs/>
      <w:smallCaps/>
      <w:lang w:val="de-AT"/>
    </w:rPr>
  </w:style>
  <w:style w:type="paragraph" w:styleId="berschrift4">
    <w:name w:val="heading 4"/>
    <w:basedOn w:val="Standard"/>
    <w:next w:val="Standard"/>
    <w:link w:val="berschrift4Zchn"/>
    <w:uiPriority w:val="99"/>
    <w:qFormat/>
    <w:pPr>
      <w:keepNext/>
      <w:jc w:val="both"/>
      <w:outlineLvl w:val="3"/>
    </w:pPr>
    <w:rPr>
      <w:rFonts w:ascii="Arial" w:hAnsi="Arial" w:cs="Arial"/>
      <w:b/>
      <w:bCs/>
      <w:smallCaps/>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lang w:val="de-DE" w:eastAsia="x-none"/>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DE"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DE" w:eastAsia="x-none"/>
    </w:rPr>
  </w:style>
  <w:style w:type="character" w:customStyle="1" w:styleId="berschrift4Zchn">
    <w:name w:val="Überschrift 4 Zchn"/>
    <w:basedOn w:val="Absatz-Standardschriftart"/>
    <w:link w:val="berschrift4"/>
    <w:uiPriority w:val="9"/>
    <w:semiHidden/>
    <w:locked/>
    <w:rPr>
      <w:rFonts w:cs="Times New Roman"/>
      <w:b/>
      <w:bCs/>
      <w:sz w:val="28"/>
      <w:szCs w:val="28"/>
      <w:lang w:val="de-DE" w:eastAsia="x-none"/>
    </w:rPr>
  </w:style>
  <w:style w:type="paragraph" w:styleId="Funotentext">
    <w:name w:val="footnote text"/>
    <w:basedOn w:val="Standard"/>
    <w:link w:val="FunotentextZchn"/>
    <w:uiPriority w:val="99"/>
    <w:rPr>
      <w:sz w:val="20"/>
      <w:szCs w:val="20"/>
    </w:rPr>
  </w:style>
  <w:style w:type="character" w:customStyle="1" w:styleId="FunotentextZchn">
    <w:name w:val="Fußnotentext Zchn"/>
    <w:basedOn w:val="Absatz-Standardschriftart"/>
    <w:link w:val="Funotentext"/>
    <w:uiPriority w:val="99"/>
    <w:semiHidden/>
    <w:locked/>
    <w:rPr>
      <w:rFonts w:ascii="Times New Roman" w:hAnsi="Times New Roman" w:cs="Times New Roman"/>
      <w:sz w:val="20"/>
      <w:szCs w:val="20"/>
      <w:lang w:val="de-DE" w:eastAsia="x-none"/>
    </w:rPr>
  </w:style>
  <w:style w:type="character" w:styleId="Funotenzeichen">
    <w:name w:val="footnote reference"/>
    <w:basedOn w:val="Absatz-Standardschriftart"/>
    <w:uiPriority w:val="99"/>
    <w:rPr>
      <w:rFonts w:cs="Times New Roman"/>
      <w:vertAlign w:val="superscript"/>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Times New Roman" w:hAnsi="Times New Roman" w:cs="Times New Roman"/>
      <w:sz w:val="24"/>
      <w:szCs w:val="24"/>
      <w:lang w:val="de-DE"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Times New Roman" w:hAnsi="Times New Roman" w:cs="Times New Roman"/>
      <w:sz w:val="24"/>
      <w:szCs w:val="24"/>
      <w:lang w:val="de-DE" w:eastAsia="x-none"/>
    </w:rPr>
  </w:style>
  <w:style w:type="character" w:styleId="Seitenzahl">
    <w:name w:val="page number"/>
    <w:basedOn w:val="Absatz-Standardschriftart"/>
    <w:uiPriority w:val="99"/>
    <w:rPr>
      <w:rFonts w:cs="Times New Roman"/>
    </w:rPr>
  </w:style>
  <w:style w:type="character" w:styleId="Hyperlink">
    <w:name w:val="Hyperlink"/>
    <w:basedOn w:val="Absatz-Standardschriftart"/>
    <w:uiPriority w:val="99"/>
    <w:rPr>
      <w:rFonts w:cs="Times New Roman"/>
      <w:color w:val="0000FF"/>
      <w:u w:val="single"/>
    </w:rPr>
  </w:style>
  <w:style w:type="paragraph" w:styleId="Textkrper">
    <w:name w:val="Body Text"/>
    <w:basedOn w:val="Standard"/>
    <w:link w:val="TextkrperZchn"/>
    <w:uiPriority w:val="99"/>
    <w:pPr>
      <w:jc w:val="both"/>
    </w:pPr>
    <w:rPr>
      <w:rFonts w:ascii="Arial" w:hAnsi="Arial" w:cs="Arial"/>
      <w:lang w:val="de-AT"/>
    </w:rPr>
  </w:style>
  <w:style w:type="character" w:customStyle="1" w:styleId="TextkrperZchn">
    <w:name w:val="Textkörper Zchn"/>
    <w:basedOn w:val="Absatz-Standardschriftart"/>
    <w:link w:val="Textkrper"/>
    <w:uiPriority w:val="99"/>
    <w:semiHidden/>
    <w:locked/>
    <w:rPr>
      <w:rFonts w:ascii="Times New Roman" w:hAnsi="Times New Roman" w:cs="Times New Roman"/>
      <w:sz w:val="24"/>
      <w:szCs w:val="24"/>
      <w:lang w:val="de-DE" w:eastAsia="x-none"/>
    </w:rPr>
  </w:style>
  <w:style w:type="paragraph" w:styleId="NurText">
    <w:name w:val="Plain Text"/>
    <w:basedOn w:val="Standard"/>
    <w:link w:val="NurTextZchn"/>
    <w:rPr>
      <w:rFonts w:ascii="Courier New" w:hAnsi="Courier New" w:cs="Courier New"/>
      <w:sz w:val="20"/>
      <w:szCs w:val="20"/>
    </w:rPr>
  </w:style>
  <w:style w:type="character" w:customStyle="1" w:styleId="NurTextZchn">
    <w:name w:val="Nur Text Zchn"/>
    <w:basedOn w:val="Absatz-Standardschriftart"/>
    <w:link w:val="NurText"/>
    <w:uiPriority w:val="99"/>
    <w:semiHidden/>
    <w:locked/>
    <w:rPr>
      <w:rFonts w:ascii="Courier New" w:hAnsi="Courier New" w:cs="Courier New"/>
      <w:sz w:val="20"/>
      <w:szCs w:val="20"/>
      <w:lang w:val="de-DE" w:eastAsia="x-none"/>
    </w:rPr>
  </w:style>
  <w:style w:type="character" w:styleId="BesuchterHyperlink">
    <w:name w:val="FollowedHyperlink"/>
    <w:basedOn w:val="Absatz-Standardschriftart"/>
    <w:uiPriority w:val="99"/>
    <w:rPr>
      <w:rFonts w:cs="Times New Roman"/>
      <w:color w:val="800080"/>
      <w:u w:val="single"/>
    </w:rPr>
  </w:style>
  <w:style w:type="paragraph" w:styleId="Sprechblasentext">
    <w:name w:val="Balloon Text"/>
    <w:basedOn w:val="Standard"/>
    <w:link w:val="SprechblasentextZchn"/>
    <w:uiPriority w:val="99"/>
    <w:semiHidden/>
    <w:unhideWhenUsed/>
    <w:rsid w:val="003726C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26CA"/>
    <w:rPr>
      <w:rFonts w:ascii="Segoe UI" w:hAnsi="Segoe UI" w:cs="Segoe UI"/>
      <w:sz w:val="18"/>
      <w:szCs w:val="18"/>
      <w:lang w:val="de-DE"/>
    </w:rPr>
  </w:style>
  <w:style w:type="character" w:customStyle="1" w:styleId="italic">
    <w:name w:val="italic"/>
    <w:basedOn w:val="Absatz-Standardschriftart"/>
    <w:rsid w:val="005B3DE4"/>
  </w:style>
  <w:style w:type="paragraph" w:styleId="Aufzhlungszeichen">
    <w:name w:val="List Bullet"/>
    <w:basedOn w:val="Standard"/>
    <w:uiPriority w:val="99"/>
    <w:unhideWhenUsed/>
    <w:rsid w:val="005B3DE4"/>
    <w:pPr>
      <w:numPr>
        <w:numId w:val="3"/>
      </w:numPr>
      <w:contextualSpacing/>
    </w:pPr>
  </w:style>
  <w:style w:type="paragraph" w:styleId="Listenabsatz">
    <w:name w:val="List Paragraph"/>
    <w:basedOn w:val="Standard"/>
    <w:uiPriority w:val="34"/>
    <w:qFormat/>
    <w:rsid w:val="00E73368"/>
    <w:pPr>
      <w:ind w:left="720"/>
      <w:contextualSpacing/>
    </w:pPr>
  </w:style>
  <w:style w:type="paragraph" w:customStyle="1" w:styleId="Kommentar">
    <w:name w:val="Kommentar"/>
    <w:basedOn w:val="Standard"/>
    <w:qFormat/>
    <w:rsid w:val="00803282"/>
    <w:pPr>
      <w:autoSpaceDE/>
      <w:autoSpaceDN/>
      <w:jc w:val="both"/>
    </w:pPr>
    <w:rPr>
      <w:rFonts w:eastAsiaTheme="minorHAnsi"/>
      <w:i/>
      <w:color w:val="C00000"/>
      <w:lang w:eastAsia="en-US"/>
    </w:rPr>
  </w:style>
  <w:style w:type="character" w:styleId="Hervorhebung">
    <w:name w:val="Emphasis"/>
    <w:basedOn w:val="Absatz-Standardschriftart"/>
    <w:uiPriority w:val="20"/>
    <w:qFormat/>
    <w:rsid w:val="008D5D51"/>
    <w:rPr>
      <w:i/>
      <w:iCs/>
    </w:rPr>
  </w:style>
  <w:style w:type="character" w:customStyle="1" w:styleId="main-heading">
    <w:name w:val="main-heading"/>
    <w:basedOn w:val="Absatz-Standardschriftart"/>
    <w:rsid w:val="008A1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910453">
      <w:bodyDiv w:val="1"/>
      <w:marLeft w:val="0"/>
      <w:marRight w:val="0"/>
      <w:marTop w:val="0"/>
      <w:marBottom w:val="0"/>
      <w:divBdr>
        <w:top w:val="none" w:sz="0" w:space="0" w:color="auto"/>
        <w:left w:val="none" w:sz="0" w:space="0" w:color="auto"/>
        <w:bottom w:val="none" w:sz="0" w:space="0" w:color="auto"/>
        <w:right w:val="none" w:sz="0" w:space="0" w:color="auto"/>
      </w:divBdr>
    </w:div>
    <w:div w:id="1437024243">
      <w:bodyDiv w:val="1"/>
      <w:marLeft w:val="0"/>
      <w:marRight w:val="0"/>
      <w:marTop w:val="0"/>
      <w:marBottom w:val="0"/>
      <w:divBdr>
        <w:top w:val="none" w:sz="0" w:space="0" w:color="auto"/>
        <w:left w:val="none" w:sz="0" w:space="0" w:color="auto"/>
        <w:bottom w:val="none" w:sz="0" w:space="0" w:color="auto"/>
        <w:right w:val="none" w:sz="0" w:space="0" w:color="auto"/>
      </w:divBdr>
    </w:div>
    <w:div w:id="1573810013">
      <w:bodyDiv w:val="1"/>
      <w:marLeft w:val="0"/>
      <w:marRight w:val="0"/>
      <w:marTop w:val="0"/>
      <w:marBottom w:val="0"/>
      <w:divBdr>
        <w:top w:val="none" w:sz="0" w:space="0" w:color="auto"/>
        <w:left w:val="none" w:sz="0" w:space="0" w:color="auto"/>
        <w:bottom w:val="none" w:sz="0" w:space="0" w:color="auto"/>
        <w:right w:val="none" w:sz="0" w:space="0" w:color="auto"/>
      </w:divBdr>
    </w:div>
    <w:div w:id="17481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lafer@sbg.ac.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7F08A-C8B7-419A-9CAE-C3ED6EBC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1264</Words>
  <Characters>7968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Christopher F</vt:lpstr>
    </vt:vector>
  </TitlesOfParts>
  <Company>Studentenlizenz; TU Wien</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F</dc:title>
  <dc:subject/>
  <dc:creator>Lt.T</dc:creator>
  <cp:keywords/>
  <dc:description/>
  <cp:lastModifiedBy>Christopher F. Laferl</cp:lastModifiedBy>
  <cp:revision>6</cp:revision>
  <cp:lastPrinted>2018-11-09T16:59:00Z</cp:lastPrinted>
  <dcterms:created xsi:type="dcterms:W3CDTF">2020-02-14T20:55:00Z</dcterms:created>
  <dcterms:modified xsi:type="dcterms:W3CDTF">2020-02-15T22:37:00Z</dcterms:modified>
</cp:coreProperties>
</file>