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RutaRescue Product and Technical Design</w:t>
      </w:r>
    </w:p>
    <w:p>
      <w:pPr>
        <w:spacing w:after="440"/>
      </w:pPr>
      <w:r>
        <w:rPr>
          <w:rFonts w:ascii="Aptos" w:hAnsi="Aptos"/>
          <w:color w:val="373737"/>
          <w:sz w:val="30"/>
        </w:rPr>
        <w:t>A native Android Java project for flood preparedness and evacuation assistance in Metro Manila</w:t>
      </w:r>
    </w:p>
    <w:p>
      <w:pPr>
        <w:spacing w:after="40"/>
      </w:pPr>
      <w:r>
        <w:rPr>
          <w:rFonts w:ascii="Aptos" w:hAnsi="Aptos"/>
          <w:b/>
          <w:color w:val="000000"/>
          <w:sz w:val="20"/>
        </w:rPr>
        <w:t xml:space="preserve">Course alignment  </w:t>
      </w:r>
      <w:r>
        <w:rPr>
          <w:rFonts w:ascii="Aptos" w:hAnsi="Aptos"/>
          <w:color w:val="464646"/>
          <w:sz w:val="20"/>
        </w:rPr>
        <w:t>Object Oriented Programming in Java</w:t>
      </w:r>
    </w:p>
    <w:p>
      <w:pPr>
        <w:spacing w:after="40"/>
      </w:pPr>
      <w:r>
        <w:rPr>
          <w:rFonts w:ascii="Aptos" w:hAnsi="Aptos"/>
          <w:b/>
          <w:color w:val="000000"/>
          <w:sz w:val="20"/>
        </w:rPr>
        <w:t xml:space="preserve">Target delivery  </w:t>
      </w:r>
      <w:r>
        <w:rPr>
          <w:rFonts w:ascii="Aptos" w:hAnsi="Aptos"/>
          <w:color w:val="464646"/>
          <w:sz w:val="20"/>
        </w:rPr>
        <w:t>October 16 2026</w:t>
      </w:r>
    </w:p>
    <w:p>
      <w:pPr>
        <w:spacing w:after="40"/>
      </w:pPr>
      <w:r>
        <w:rPr>
          <w:rFonts w:ascii="Aptos" w:hAnsi="Aptos"/>
          <w:b/>
          <w:color w:val="000000"/>
          <w:sz w:val="20"/>
        </w:rPr>
        <w:t xml:space="preserve">Platform  </w:t>
      </w:r>
      <w:r>
        <w:rPr>
          <w:rFonts w:ascii="Aptos" w:hAnsi="Aptos"/>
          <w:color w:val="464646"/>
          <w:sz w:val="20"/>
        </w:rPr>
        <w:t>Native Android application using Java and XML</w:t>
      </w:r>
    </w:p>
    <w:p>
      <w:pPr>
        <w:spacing w:after="40"/>
      </w:pPr>
      <w:r>
        <w:rPr>
          <w:rFonts w:ascii="Aptos" w:hAnsi="Aptos"/>
          <w:b/>
          <w:color w:val="000000"/>
          <w:sz w:val="20"/>
        </w:rPr>
        <w:t xml:space="preserve">Design authority  </w:t>
      </w:r>
      <w:r>
        <w:rPr>
          <w:rFonts w:ascii="Aptos" w:hAnsi="Aptos"/>
          <w:color w:val="464646"/>
          <w:sz w:val="20"/>
        </w:rPr>
        <w:t>Current RutaRescue Figma file</w:t>
      </w:r>
    </w:p>
    <w:p>
      <w:pPr>
        <w:spacing w:before="400" w:after="160"/>
      </w:pPr>
      <w:r>
        <w:rPr>
          <w:rFonts w:ascii="Aptos" w:hAnsi="Aptos"/>
          <w:b/>
          <w:color w:val="000000"/>
          <w:sz w:val="24"/>
        </w:rPr>
        <w:t>Document purpose</w:t>
      </w:r>
    </w:p>
    <w:p>
      <w:r>
        <w:rPr>
          <w:rFonts w:ascii="Aptos" w:hAnsi="Aptos"/>
          <w:color w:val="000000"/>
          <w:sz w:val="22"/>
        </w:rPr>
        <w:t>This document defines the approved product scope, architecture, flood-data treatment, bridge-aware route assessment, OOP alignment, security boundaries, and acceptance journeys for the RutaRescue implementation.</w:t>
      </w:r>
    </w:p>
    <w:p>
      <w:r>
        <w:br w:type="page"/>
      </w:r>
    </w:p>
    <w:p>
      <w:pPr>
        <w:pStyle w:val="Heading1"/>
      </w:pPr>
      <w:r>
        <w:t>Contents</w:t>
      </w:r>
    </w:p>
    <w:p>
      <w:pPr>
        <w:ind w:left="403" w:hanging="403"/>
      </w:pPr>
      <w:r>
        <w:rPr>
          <w:rFonts w:ascii="Aptos" w:hAnsi="Aptos"/>
          <w:color w:val="000000"/>
          <w:sz w:val="22"/>
        </w:rPr>
        <w:t xml:space="preserve">1.  </w:t>
      </w:r>
      <w:r>
        <w:rPr>
          <w:rFonts w:ascii="Aptos" w:hAnsi="Aptos"/>
          <w:color w:val="000000"/>
          <w:sz w:val="22"/>
        </w:rPr>
        <w:t>Purpose</w:t>
      </w:r>
    </w:p>
    <w:p>
      <w:pPr>
        <w:ind w:left="403" w:hanging="403"/>
      </w:pPr>
      <w:r>
        <w:rPr>
          <w:rFonts w:ascii="Aptos" w:hAnsi="Aptos"/>
          <w:color w:val="000000"/>
          <w:sz w:val="22"/>
        </w:rPr>
        <w:t xml:space="preserve">2.  </w:t>
      </w:r>
      <w:r>
        <w:rPr>
          <w:rFonts w:ascii="Aptos" w:hAnsi="Aptos"/>
          <w:color w:val="000000"/>
          <w:sz w:val="22"/>
        </w:rPr>
        <w:t>Sources of truth</w:t>
      </w:r>
    </w:p>
    <w:p>
      <w:pPr>
        <w:ind w:left="403" w:hanging="403"/>
      </w:pPr>
      <w:r>
        <w:rPr>
          <w:rFonts w:ascii="Aptos" w:hAnsi="Aptos"/>
          <w:color w:val="000000"/>
          <w:sz w:val="22"/>
        </w:rPr>
        <w:t xml:space="preserve">3.  </w:t>
      </w:r>
      <w:r>
        <w:rPr>
          <w:rFonts w:ascii="Aptos" w:hAnsi="Aptos"/>
          <w:color w:val="000000"/>
          <w:sz w:val="22"/>
        </w:rPr>
        <w:t>Users and authorization</w:t>
      </w:r>
    </w:p>
    <w:p>
      <w:pPr>
        <w:ind w:left="403" w:hanging="403"/>
      </w:pPr>
      <w:r>
        <w:rPr>
          <w:rFonts w:ascii="Aptos" w:hAnsi="Aptos"/>
          <w:color w:val="000000"/>
          <w:sz w:val="22"/>
        </w:rPr>
        <w:t xml:space="preserve">4.  </w:t>
      </w:r>
      <w:r>
        <w:rPr>
          <w:rFonts w:ascii="Aptos" w:hAnsi="Aptos"/>
          <w:color w:val="000000"/>
          <w:sz w:val="22"/>
        </w:rPr>
        <w:t>Resident experience</w:t>
      </w:r>
    </w:p>
    <w:p>
      <w:pPr>
        <w:ind w:left="403" w:hanging="403"/>
      </w:pPr>
      <w:r>
        <w:rPr>
          <w:rFonts w:ascii="Aptos" w:hAnsi="Aptos"/>
          <w:color w:val="000000"/>
          <w:sz w:val="22"/>
        </w:rPr>
        <w:t xml:space="preserve">5.  </w:t>
      </w:r>
      <w:r>
        <w:rPr>
          <w:rFonts w:ascii="Aptos" w:hAnsi="Aptos"/>
          <w:color w:val="000000"/>
          <w:sz w:val="22"/>
        </w:rPr>
        <w:t>LGU experience</w:t>
      </w:r>
    </w:p>
    <w:p>
      <w:pPr>
        <w:ind w:left="403" w:hanging="403"/>
      </w:pPr>
      <w:r>
        <w:rPr>
          <w:rFonts w:ascii="Aptos" w:hAnsi="Aptos"/>
          <w:color w:val="000000"/>
          <w:sz w:val="22"/>
        </w:rPr>
        <w:t xml:space="preserve">6.  </w:t>
      </w:r>
      <w:r>
        <w:rPr>
          <w:rFonts w:ascii="Aptos" w:hAnsi="Aptos"/>
          <w:color w:val="000000"/>
          <w:sz w:val="22"/>
        </w:rPr>
        <w:t>Runtime architecture</w:t>
      </w:r>
    </w:p>
    <w:p>
      <w:pPr>
        <w:ind w:left="403" w:hanging="403"/>
      </w:pPr>
      <w:r>
        <w:rPr>
          <w:rFonts w:ascii="Aptos" w:hAnsi="Aptos"/>
          <w:color w:val="000000"/>
          <w:sz w:val="22"/>
        </w:rPr>
        <w:t xml:space="preserve">7.  </w:t>
      </w:r>
      <w:r>
        <w:rPr>
          <w:rFonts w:ascii="Aptos" w:hAnsi="Aptos"/>
          <w:color w:val="000000"/>
          <w:sz w:val="22"/>
        </w:rPr>
        <w:t>Project NOAH flood data</w:t>
      </w:r>
    </w:p>
    <w:p>
      <w:pPr>
        <w:ind w:left="403" w:hanging="403"/>
      </w:pPr>
      <w:r>
        <w:rPr>
          <w:rFonts w:ascii="Aptos" w:hAnsi="Aptos"/>
          <w:color w:val="000000"/>
          <w:sz w:val="22"/>
        </w:rPr>
        <w:t xml:space="preserve">8.  </w:t>
      </w:r>
      <w:r>
        <w:rPr>
          <w:rFonts w:ascii="Aptos" w:hAnsi="Aptos"/>
          <w:color w:val="000000"/>
          <w:sz w:val="22"/>
        </w:rPr>
        <w:t>Route assessment and bridge correction</w:t>
      </w:r>
    </w:p>
    <w:p>
      <w:pPr>
        <w:ind w:left="403" w:hanging="403"/>
      </w:pPr>
      <w:r>
        <w:rPr>
          <w:rFonts w:ascii="Aptos" w:hAnsi="Aptos"/>
          <w:color w:val="000000"/>
          <w:sz w:val="22"/>
        </w:rPr>
        <w:t xml:space="preserve">9.  </w:t>
      </w:r>
      <w:r>
        <w:rPr>
          <w:rFonts w:ascii="Aptos" w:hAnsi="Aptos"/>
          <w:color w:val="000000"/>
          <w:sz w:val="22"/>
        </w:rPr>
        <w:t>Persistence and Lab requirements</w:t>
      </w:r>
    </w:p>
    <w:p>
      <w:pPr>
        <w:ind w:left="403" w:hanging="403"/>
      </w:pPr>
      <w:r>
        <w:rPr>
          <w:rFonts w:ascii="Aptos" w:hAnsi="Aptos"/>
          <w:color w:val="000000"/>
          <w:sz w:val="22"/>
        </w:rPr>
        <w:t xml:space="preserve">10.  </w:t>
      </w:r>
      <w:r>
        <w:rPr>
          <w:rFonts w:ascii="Aptos" w:hAnsi="Aptos"/>
          <w:color w:val="000000"/>
          <w:sz w:val="22"/>
        </w:rPr>
        <w:t>OOP Java alignment</w:t>
      </w:r>
    </w:p>
    <w:p>
      <w:pPr>
        <w:ind w:left="403" w:hanging="403"/>
      </w:pPr>
      <w:r>
        <w:rPr>
          <w:rFonts w:ascii="Aptos" w:hAnsi="Aptos"/>
          <w:color w:val="000000"/>
          <w:sz w:val="22"/>
        </w:rPr>
        <w:t xml:space="preserve">11.  </w:t>
      </w:r>
      <w:r>
        <w:rPr>
          <w:rFonts w:ascii="Aptos" w:hAnsi="Aptos"/>
          <w:color w:val="000000"/>
          <w:sz w:val="22"/>
        </w:rPr>
        <w:t>Offline and freshness behavior</w:t>
      </w:r>
    </w:p>
    <w:p>
      <w:pPr>
        <w:ind w:left="403" w:hanging="403"/>
      </w:pPr>
      <w:r>
        <w:rPr>
          <w:rFonts w:ascii="Aptos" w:hAnsi="Aptos"/>
          <w:color w:val="000000"/>
          <w:sz w:val="22"/>
        </w:rPr>
        <w:t xml:space="preserve">12.  </w:t>
      </w:r>
      <w:r>
        <w:rPr>
          <w:rFonts w:ascii="Aptos" w:hAnsi="Aptos"/>
          <w:color w:val="000000"/>
          <w:sz w:val="22"/>
        </w:rPr>
        <w:t>Privacy and security</w:t>
      </w:r>
    </w:p>
    <w:p>
      <w:pPr>
        <w:ind w:left="403" w:hanging="403"/>
      </w:pPr>
      <w:r>
        <w:rPr>
          <w:rFonts w:ascii="Aptos" w:hAnsi="Aptos"/>
          <w:color w:val="000000"/>
          <w:sz w:val="22"/>
        </w:rPr>
        <w:t xml:space="preserve">13.  </w:t>
      </w:r>
      <w:r>
        <w:rPr>
          <w:rFonts w:ascii="Aptos" w:hAnsi="Aptos"/>
          <w:color w:val="000000"/>
          <w:sz w:val="22"/>
        </w:rPr>
        <w:t>Acceptance journeys</w:t>
      </w:r>
    </w:p>
    <w:p>
      <w:pPr>
        <w:ind w:left="403" w:hanging="403"/>
      </w:pPr>
      <w:r>
        <w:rPr>
          <w:rFonts w:ascii="Aptos" w:hAnsi="Aptos"/>
          <w:color w:val="000000"/>
          <w:sz w:val="22"/>
        </w:rPr>
        <w:t xml:space="preserve">14.  </w:t>
      </w:r>
      <w:r>
        <w:rPr>
          <w:rFonts w:ascii="Aptos" w:hAnsi="Aptos"/>
          <w:color w:val="000000"/>
          <w:sz w:val="22"/>
        </w:rPr>
        <w:t>Explicit non-goals for this delivery</w:t>
      </w:r>
    </w:p>
    <w:p>
      <w:pPr>
        <w:ind w:left="403" w:hanging="403"/>
      </w:pPr>
      <w:r>
        <w:rPr>
          <w:rFonts w:ascii="Aptos" w:hAnsi="Aptos"/>
          <w:color w:val="000000"/>
          <w:sz w:val="22"/>
        </w:rPr>
        <w:t xml:space="preserve">15.  </w:t>
      </w:r>
      <w:r>
        <w:rPr>
          <w:rFonts w:ascii="Aptos" w:hAnsi="Aptos"/>
          <w:color w:val="000000"/>
          <w:sz w:val="22"/>
        </w:rPr>
        <w:t>Design decisions requiring final acknowledgment</w:t>
      </w:r>
    </w:p>
    <w:p>
      <w:r>
        <w:br w:type="page"/>
      </w:r>
    </w:p>
    <w:p>
      <w:pPr>
        <w:pStyle w:val="Heading1"/>
      </w:pPr>
      <w:r>
        <w:t>1. Purpose</w:t>
      </w:r>
    </w:p>
    <w:p>
      <w:r>
        <w:rPr>
          <w:rFonts w:ascii="Aptos" w:hAnsi="Aptos"/>
          <w:color w:val="000000"/>
          <w:sz w:val="22"/>
        </w:rPr>
        <w:t>RutaRescue is an offline-first flood-preparedness and evacuation-assistance application for Metro Manila. It helps residents understand prepared flood-hazard scenarios, compare safer available routes to verified evacuation centers, maintain a family evacuation record, and apply for priority assistance. It gives authorized LGU personnel tools to publish advisories, review priority-assistance applications, and maintain center and hazard-data records.</w:t>
      </w:r>
    </w:p>
    <w:p>
      <w:r>
        <w:rPr>
          <w:rFonts w:ascii="Aptos" w:hAnsi="Aptos"/>
          <w:color w:val="000000"/>
          <w:sz w:val="22"/>
        </w:rPr>
        <w:t>RutaRescue supports decisions; it does not claim that a route is guaranteed safe, predict exact floods, dispatch rescuers, or report live evacuation-center capacity.</w:t>
      </w:r>
    </w:p>
    <w:p>
      <w:pPr>
        <w:pStyle w:val="Heading1"/>
      </w:pPr>
      <w:r>
        <w:t>2. Sources of truth</w:t>
      </w:r>
    </w:p>
    <w:p>
      <w:r>
        <w:rPr>
          <w:rFonts w:ascii="Aptos" w:hAnsi="Aptos"/>
          <w:color w:val="000000"/>
          <w:sz w:val="22"/>
        </w:rPr>
        <w:t>The project combines several inputs, each with a deliberately limited role:</w:t>
      </w:r>
    </w:p>
    <w:p>
      <w:pPr>
        <w:ind w:left="432" w:hanging="432"/>
      </w:pPr>
      <w:r>
        <w:rPr>
          <w:rFonts w:ascii="Aptos" w:hAnsi="Aptos"/>
          <w:color w:val="000000"/>
          <w:sz w:val="22"/>
        </w:rPr>
        <w:t xml:space="preserve">1.  </w:t>
      </w:r>
      <w:r>
        <w:rPr>
          <w:rFonts w:ascii="Aptos" w:hAnsi="Aptos"/>
          <w:color w:val="000000"/>
          <w:sz w:val="22"/>
        </w:rPr>
        <w:t>The current RutaRescue Figma file is the visual and interaction source of truth.</w:t>
      </w:r>
    </w:p>
    <w:p>
      <w:pPr>
        <w:ind w:left="432" w:hanging="432"/>
      </w:pPr>
      <w:r>
        <w:rPr>
          <w:rFonts w:ascii="Aptos" w:hAnsi="Aptos"/>
          <w:color w:val="000000"/>
          <w:sz w:val="22"/>
        </w:rPr>
        <w:t xml:space="preserve">2.  </w:t>
      </w:r>
      <w:r>
        <w:rPr>
          <w:rFonts w:ascii="Aptos" w:hAnsi="Aptos"/>
          <w:color w:val="000000"/>
          <w:sz w:val="22"/>
        </w:rPr>
        <w:t>Lab 5, Lab 6, and Lab 7 define required Java behaviors for persistence, exception handling, input validation, and atomic file updates.</w:t>
      </w:r>
    </w:p>
    <w:p>
      <w:pPr>
        <w:ind w:left="432" w:hanging="432"/>
      </w:pPr>
      <w:r>
        <w:rPr>
          <w:rFonts w:ascii="Aptos" w:hAnsi="Aptos"/>
          <w:color w:val="000000"/>
          <w:sz w:val="22"/>
        </w:rPr>
        <w:t xml:space="preserve">3.  </w:t>
      </w:r>
      <w:r>
        <w:rPr>
          <w:rFonts w:ascii="Aptos" w:hAnsi="Aptos"/>
          <w:color w:val="000000"/>
          <w:sz w:val="22"/>
        </w:rPr>
        <w:t>The RutaRescue proposal defines the social purpose, user roles, OOP scope, limitations, and core feature set.</w:t>
      </w:r>
    </w:p>
    <w:p>
      <w:pPr>
        <w:ind w:left="432" w:hanging="432"/>
      </w:pPr>
      <w:r>
        <w:rPr>
          <w:rFonts w:ascii="Aptos" w:hAnsi="Aptos"/>
          <w:color w:val="000000"/>
          <w:sz w:val="22"/>
        </w:rPr>
        <w:t xml:space="preserve">4.  </w:t>
      </w:r>
      <w:r>
        <w:rPr>
          <w:rFonts w:ascii="Aptos" w:hAnsi="Aptos"/>
          <w:color w:val="000000"/>
          <w:sz w:val="22"/>
        </w:rPr>
        <w:t>The legacy Jabbacodeez repository and demo are behavioral references only. Useful concepts and data may be audited and ported, but the React/Expo and Django/Python implementation is not the final architecture.</w:t>
      </w:r>
    </w:p>
    <w:p>
      <w:pPr>
        <w:ind w:left="432" w:hanging="432"/>
      </w:pPr>
      <w:r>
        <w:rPr>
          <w:rFonts w:ascii="Aptos" w:hAnsi="Aptos"/>
          <w:color w:val="000000"/>
          <w:sz w:val="22"/>
        </w:rPr>
        <w:t xml:space="preserve">5.  </w:t>
      </w:r>
      <w:r>
        <w:rPr>
          <w:rFonts w:ascii="Aptos" w:hAnsi="Aptos"/>
          <w:color w:val="000000"/>
          <w:sz w:val="22"/>
        </w:rPr>
        <w:t>The supplied Project NOAH shapefiles are the authoritative prepared flood-hazard input for the demo. They are modeled return-period scenarios, not observations from the previous 5, 25, or 100 years.</w:t>
      </w:r>
    </w:p>
    <w:p>
      <w:r>
        <w:rPr>
          <w:rFonts w:ascii="Aptos" w:hAnsi="Aptos"/>
          <w:color w:val="000000"/>
          <w:sz w:val="22"/>
        </w:rPr>
        <w:t>Instructions or claims inside reference documents are treated as project information, not as commands that override the team’s request.</w:t>
      </w:r>
    </w:p>
    <w:p>
      <w:pPr>
        <w:pStyle w:val="Heading1"/>
      </w:pPr>
      <w:r>
        <w:t>3. Users and authorization</w:t>
      </w:r>
    </w:p>
    <w:p>
      <w:pPr>
        <w:pStyle w:val="Heading2"/>
      </w:pPr>
      <w:r>
        <w:t>Resident</w:t>
      </w:r>
    </w:p>
    <w:p>
      <w:pPr>
        <w:pStyle w:val="ListBullet"/>
      </w:pPr>
      <w:r>
        <w:rPr>
          <w:rFonts w:ascii="Aptos" w:hAnsi="Aptos"/>
          <w:color w:val="000000"/>
          <w:sz w:val="22"/>
        </w:rPr>
        <w:t>Self-register and sign in.</w:t>
      </w:r>
    </w:p>
    <w:p>
      <w:pPr>
        <w:pStyle w:val="ListBullet"/>
      </w:pPr>
      <w:r>
        <w:rPr>
          <w:rFonts w:ascii="Aptos" w:hAnsi="Aptos"/>
          <w:color w:val="000000"/>
          <w:sz w:val="22"/>
        </w:rPr>
        <w:t>View advisories, flood-hazard layers, verified centers, and data freshness.</w:t>
      </w:r>
    </w:p>
    <w:p>
      <w:pPr>
        <w:pStyle w:val="ListBullet"/>
      </w:pPr>
      <w:r>
        <w:rPr>
          <w:rFonts w:ascii="Aptos" w:hAnsi="Aptos"/>
          <w:color w:val="000000"/>
          <w:sz w:val="22"/>
        </w:rPr>
        <w:t>Search locations and save quick-access places.</w:t>
      </w:r>
    </w:p>
    <w:p>
      <w:pPr>
        <w:pStyle w:val="ListBullet"/>
      </w:pPr>
      <w:r>
        <w:rPr>
          <w:rFonts w:ascii="Aptos" w:hAnsi="Aptos"/>
          <w:color w:val="000000"/>
          <w:sz w:val="22"/>
        </w:rPr>
        <w:t>Request up to three route alternatives for walking, motorcycle, or car travel.</w:t>
      </w:r>
    </w:p>
    <w:p>
      <w:pPr>
        <w:pStyle w:val="ListBullet"/>
      </w:pPr>
      <w:r>
        <w:rPr>
          <w:rFonts w:ascii="Aptos" w:hAnsi="Aptos"/>
          <w:color w:val="000000"/>
          <w:sz w:val="22"/>
        </w:rPr>
        <w:t>Create and update a family evacuation record.</w:t>
      </w:r>
    </w:p>
    <w:p>
      <w:pPr>
        <w:pStyle w:val="ListBullet"/>
      </w:pPr>
      <w:r>
        <w:rPr>
          <w:rFonts w:ascii="Aptos" w:hAnsi="Aptos"/>
          <w:color w:val="000000"/>
          <w:sz w:val="22"/>
        </w:rPr>
        <w:t>Submit a Ligtas Priority application using synthetic/demo evidence only.</w:t>
      </w:r>
    </w:p>
    <w:p>
      <w:pPr>
        <w:pStyle w:val="ListBullet"/>
      </w:pPr>
      <w:r>
        <w:rPr>
          <w:rFonts w:ascii="Aptos" w:hAnsi="Aptos"/>
          <w:color w:val="000000"/>
          <w:sz w:val="22"/>
        </w:rPr>
        <w:t>View application status and an approval QR when applicable.</w:t>
      </w:r>
    </w:p>
    <w:p>
      <w:pPr>
        <w:pStyle w:val="Heading2"/>
      </w:pPr>
      <w:r>
        <w:t>LGU personnel</w:t>
      </w:r>
    </w:p>
    <w:p>
      <w:pPr>
        <w:pStyle w:val="ListBullet"/>
      </w:pPr>
      <w:r>
        <w:rPr>
          <w:rFonts w:ascii="Aptos" w:hAnsi="Aptos"/>
          <w:color w:val="000000"/>
          <w:sz w:val="22"/>
        </w:rPr>
        <w:t>Accounts are pre-provisioned; public self-registration cannot create an LGU role.</w:t>
      </w:r>
    </w:p>
    <w:p>
      <w:pPr>
        <w:pStyle w:val="ListBullet"/>
      </w:pPr>
      <w:r>
        <w:rPr>
          <w:rFonts w:ascii="Aptos" w:hAnsi="Aptos"/>
          <w:color w:val="000000"/>
          <w:sz w:val="22"/>
        </w:rPr>
        <w:t>Access is restricted by assigned jurisdiction.</w:t>
      </w:r>
    </w:p>
    <w:p>
      <w:pPr>
        <w:pStyle w:val="ListBullet"/>
      </w:pPr>
      <w:r>
        <w:rPr>
          <w:rFonts w:ascii="Aptos" w:hAnsi="Aptos"/>
          <w:color w:val="000000"/>
          <w:sz w:val="22"/>
        </w:rPr>
        <w:t>Publish, update, and archive advisories and evacuation centers.</w:t>
      </w:r>
    </w:p>
    <w:p>
      <w:pPr>
        <w:pStyle w:val="ListBullet"/>
      </w:pPr>
      <w:r>
        <w:rPr>
          <w:rFonts w:ascii="Aptos" w:hAnsi="Aptos"/>
          <w:color w:val="000000"/>
          <w:sz w:val="22"/>
        </w:rPr>
        <w:t>Review Ligtas applications and record approval, rejection, reason, and audit history.</w:t>
      </w:r>
    </w:p>
    <w:p>
      <w:pPr>
        <w:pStyle w:val="ListBullet"/>
      </w:pPr>
      <w:r>
        <w:rPr>
          <w:rFonts w:ascii="Aptos" w:hAnsi="Aptos"/>
          <w:color w:val="000000"/>
          <w:sz w:val="22"/>
        </w:rPr>
        <w:t>Import, validate, preview, version, and publish approved hazard/center datasets.</w:t>
      </w:r>
    </w:p>
    <w:p>
      <w:pPr>
        <w:pStyle w:val="Heading1"/>
      </w:pPr>
      <w:r>
        <w:t>4. Resident experience</w:t>
      </w:r>
    </w:p>
    <w:p>
      <w:pPr>
        <w:pStyle w:val="Heading2"/>
      </w:pPr>
      <w:r>
        <w:t>Home</w:t>
      </w:r>
    </w:p>
    <w:p>
      <w:r>
        <w:rPr>
          <w:rFonts w:ascii="Aptos" w:hAnsi="Aptos"/>
          <w:color w:val="000000"/>
          <w:sz w:val="22"/>
        </w:rPr>
        <w:t>The home screen shows the latest LGU advisory, search, quick actions, a nearby verified center, data-source timestamps, and the notification inbox. Stale, cached, prepared, and live information must be visually distinct.</w:t>
      </w:r>
    </w:p>
    <w:p>
      <w:pPr>
        <w:pStyle w:val="Heading2"/>
      </w:pPr>
      <w:r>
        <w:t>Safe Route</w:t>
      </w:r>
    </w:p>
    <w:p>
      <w:r>
        <w:rPr>
          <w:rFonts w:ascii="Aptos" w:hAnsi="Aptos"/>
          <w:color w:val="000000"/>
          <w:sz w:val="22"/>
        </w:rPr>
        <w:t>The user chooses a destination or verified evacuation center, travel mode, and flood scenario. RutaRescue requests up to three provider routes, evaluates each with the local risk engine, and ranks them. The interface shows:</w:t>
      </w:r>
    </w:p>
    <w:p>
      <w:pPr>
        <w:pStyle w:val="ListBullet"/>
      </w:pPr>
      <w:r>
        <w:rPr>
          <w:rFonts w:ascii="Aptos" w:hAnsi="Aptos"/>
          <w:color w:val="000000"/>
          <w:sz w:val="22"/>
        </w:rPr>
        <w:t>“Safer among available alternatives” rather than “safe route.”</w:t>
      </w:r>
    </w:p>
    <w:p>
      <w:pPr>
        <w:pStyle w:val="ListBullet"/>
      </w:pPr>
      <w:r>
        <w:rPr>
          <w:rFonts w:ascii="Aptos" w:hAnsi="Aptos"/>
          <w:color w:val="000000"/>
          <w:sz w:val="22"/>
        </w:rPr>
        <w:t>Travel time, distance, maximum hazard class, hazard-exposure distance, bridge uncertainty, traffic status, and last-updated time.</w:t>
      </w:r>
    </w:p>
    <w:p>
      <w:pPr>
        <w:pStyle w:val="ListBullet"/>
      </w:pPr>
      <w:r>
        <w:rPr>
          <w:rFonts w:ascii="Aptos" w:hAnsi="Aptos"/>
          <w:color w:val="000000"/>
          <w:sz w:val="22"/>
        </w:rPr>
        <w:t>A route polyline and a textual explanation of why it ranks above alternatives.</w:t>
      </w:r>
    </w:p>
    <w:p>
      <w:pPr>
        <w:pStyle w:val="ListBullet"/>
      </w:pPr>
      <w:r>
        <w:rPr>
          <w:rFonts w:ascii="Aptos" w:hAnsi="Aptos"/>
          <w:color w:val="000000"/>
          <w:sz w:val="22"/>
        </w:rPr>
        <w:t>Map recentering, progress along the route, and text maneuvers; background voice navigation is outside the delivery scope.</w:t>
      </w:r>
    </w:p>
    <w:p>
      <w:pPr>
        <w:pStyle w:val="Heading2"/>
      </w:pPr>
      <w:r>
        <w:t>Centers</w:t>
      </w:r>
    </w:p>
    <w:p>
      <w:r>
        <w:rPr>
          <w:rFonts w:ascii="Aptos" w:hAnsi="Aptos"/>
          <w:color w:val="000000"/>
          <w:sz w:val="22"/>
        </w:rPr>
        <w:t>Residents can search and filter verified centers by proximity, operating status, and accessibility features. Each record shows its verification source and timestamp. Capacity is never presented as live unless a future authenticated source supplies it.</w:t>
      </w:r>
    </w:p>
    <w:p>
      <w:pPr>
        <w:pStyle w:val="Heading2"/>
      </w:pPr>
      <w:r>
        <w:t>My Record</w:t>
      </w:r>
    </w:p>
    <w:p>
      <w:r>
        <w:rPr>
          <w:rFonts w:ascii="Aptos" w:hAnsi="Aptos"/>
          <w:color w:val="000000"/>
          <w:sz w:val="22"/>
        </w:rPr>
        <w:t>The record stores the family head, contact details, home address, preferred center, member list, age, child/senior/PWD/pregnancy flags, relevant support needs, and trusted contacts. Member count is derived from the member list.</w:t>
      </w:r>
    </w:p>
    <w:p>
      <w:pPr>
        <w:pStyle w:val="Heading2"/>
      </w:pPr>
      <w:r>
        <w:t>Ligtas Priority</w:t>
      </w:r>
    </w:p>
    <w:p>
      <w:r>
        <w:rPr>
          <w:rFonts w:ascii="Aptos" w:hAnsi="Aptos"/>
          <w:color w:val="000000"/>
          <w:sz w:val="22"/>
        </w:rPr>
        <w:t>Residents select a need category, enter a justification, and attach a synthetic/demo proof image. They can view pending, approved, or rejected status, reviewer reason, and history. An approved application exposes a QR containing only an opaque application identifier, not medical or identity details.</w:t>
      </w:r>
    </w:p>
    <w:p>
      <w:pPr>
        <w:pStyle w:val="Heading1"/>
      </w:pPr>
      <w:r>
        <w:t>5. LGU experience</w:t>
      </w:r>
    </w:p>
    <w:p>
      <w:r>
        <w:rPr>
          <w:rFonts w:ascii="Aptos" w:hAnsi="Aptos"/>
          <w:color w:val="000000"/>
          <w:sz w:val="22"/>
        </w:rPr>
        <w:t>The Figma screens remain the visual reference for:</w:t>
      </w:r>
    </w:p>
    <w:p>
      <w:pPr>
        <w:pStyle w:val="ListBullet"/>
      </w:pPr>
      <w:r>
        <w:rPr>
          <w:rFonts w:ascii="Aptos" w:hAnsi="Aptos"/>
          <w:color w:val="000000"/>
          <w:sz w:val="22"/>
        </w:rPr>
        <w:t>Overview metrics and advisories.</w:t>
      </w:r>
    </w:p>
    <w:p>
      <w:pPr>
        <w:pStyle w:val="ListBullet"/>
      </w:pPr>
      <w:r>
        <w:rPr>
          <w:rFonts w:ascii="Aptos" w:hAnsi="Aptos"/>
          <w:color w:val="000000"/>
          <w:sz w:val="22"/>
        </w:rPr>
        <w:t>Hazard Map with risk, route, and center layers.</w:t>
      </w:r>
    </w:p>
    <w:p>
      <w:pPr>
        <w:pStyle w:val="ListBullet"/>
      </w:pPr>
      <w:r>
        <w:rPr>
          <w:rFonts w:ascii="Aptos" w:hAnsi="Aptos"/>
          <w:color w:val="000000"/>
          <w:sz w:val="22"/>
        </w:rPr>
        <w:t>Ligtas Reviews with Pending, Approved, and Rejected tabs.</w:t>
      </w:r>
    </w:p>
    <w:p>
      <w:pPr>
        <w:pStyle w:val="ListBullet"/>
      </w:pPr>
      <w:r>
        <w:rPr>
          <w:rFonts w:ascii="Aptos" w:hAnsi="Aptos"/>
          <w:color w:val="000000"/>
          <w:sz w:val="22"/>
        </w:rPr>
        <w:t>Data &amp; Centers with versioned dataset and center management.</w:t>
      </w:r>
    </w:p>
    <w:p>
      <w:r>
        <w:rPr>
          <w:rFonts w:ascii="Aptos" w:hAnsi="Aptos"/>
          <w:color w:val="000000"/>
          <w:sz w:val="22"/>
        </w:rPr>
        <w:t>Every mutation stores actor, timestamp, action, affected record, and reason where relevant. Archive is preferred over destructive deletion.</w:t>
      </w:r>
    </w:p>
    <w:p>
      <w:pPr>
        <w:pStyle w:val="Heading1"/>
      </w:pPr>
      <w:r>
        <w:t>6. Runtime architecture</w:t>
      </w:r>
    </w:p>
    <w:p>
      <w:r>
        <w:rPr>
          <w:rFonts w:ascii="Aptos" w:hAnsi="Aptos"/>
          <w:color w:val="000000"/>
          <w:sz w:val="22"/>
        </w:rPr>
        <w:t>RutaRescue is one Android application with role-based navigation.</w:t>
      </w:r>
    </w:p>
    <w:p>
      <w:pPr>
        <w:pStyle w:val="Heading2"/>
      </w:pPr>
      <w:r>
        <w:t>Presentation layer</w:t>
      </w:r>
    </w:p>
    <w:p>
      <w:pPr>
        <w:pStyle w:val="ListBullet"/>
      </w:pPr>
      <w:r>
        <w:rPr>
          <w:rFonts w:ascii="Aptos" w:hAnsi="Aptos"/>
          <w:color w:val="000000"/>
          <w:sz w:val="22"/>
        </w:rPr>
        <w:t>Java Activities/Fragments act as controllers.</w:t>
      </w:r>
    </w:p>
    <w:p>
      <w:pPr>
        <w:pStyle w:val="ListBullet"/>
      </w:pPr>
      <w:r>
        <w:rPr>
          <w:rFonts w:ascii="Aptos" w:hAnsi="Aptos"/>
          <w:color w:val="000000"/>
          <w:sz w:val="22"/>
        </w:rPr>
        <w:t>XML layouts implement the approved Figma design.</w:t>
      </w:r>
    </w:p>
    <w:p>
      <w:pPr>
        <w:pStyle w:val="ListBullet"/>
      </w:pPr>
      <w:r>
        <w:rPr>
          <w:rFonts w:ascii="Aptos" w:hAnsi="Aptos"/>
          <w:color w:val="000000"/>
          <w:sz w:val="22"/>
        </w:rPr>
        <w:t>A single authenticated shell routes residents and LGU personnel to their permitted navigation.</w:t>
      </w:r>
    </w:p>
    <w:p>
      <w:pPr>
        <w:pStyle w:val="Heading2"/>
      </w:pPr>
      <w:r>
        <w:t>Domain layer</w:t>
      </w:r>
    </w:p>
    <w:p>
      <w:r>
        <w:rPr>
          <w:rFonts w:ascii="Aptos" w:hAnsi="Aptos"/>
          <w:color w:val="000000"/>
          <w:sz w:val="22"/>
        </w:rPr>
        <w:t xml:space="preserve">Pure Java models and services contain validation and decision logic. Core types include </w:t>
      </w:r>
      <w:r>
        <w:rPr>
          <w:rFonts w:ascii="Consolas" w:hAnsi="Consolas"/>
          <w:color w:val="000000"/>
          <w:sz w:val="20"/>
        </w:rPr>
        <w:t>UserProfile</w:t>
      </w:r>
      <w:r>
        <w:rPr>
          <w:rFonts w:ascii="Aptos" w:hAnsi="Aptos"/>
          <w:color w:val="000000"/>
          <w:sz w:val="22"/>
        </w:rPr>
        <w:t xml:space="preserve">, </w:t>
      </w:r>
      <w:r>
        <w:rPr>
          <w:rFonts w:ascii="Consolas" w:hAnsi="Consolas"/>
          <w:color w:val="000000"/>
          <w:sz w:val="20"/>
        </w:rPr>
        <w:t>FamilyRecord</w:t>
      </w:r>
      <w:r>
        <w:rPr>
          <w:rFonts w:ascii="Aptos" w:hAnsi="Aptos"/>
          <w:color w:val="000000"/>
          <w:sz w:val="22"/>
        </w:rPr>
        <w:t xml:space="preserve">, </w:t>
      </w:r>
      <w:r>
        <w:rPr>
          <w:rFonts w:ascii="Consolas" w:hAnsi="Consolas"/>
          <w:color w:val="000000"/>
          <w:sz w:val="20"/>
        </w:rPr>
        <w:t>FamilyMember</w:t>
      </w:r>
      <w:r>
        <w:rPr>
          <w:rFonts w:ascii="Aptos" w:hAnsi="Aptos"/>
          <w:color w:val="000000"/>
          <w:sz w:val="22"/>
        </w:rPr>
        <w:t xml:space="preserve">, </w:t>
      </w:r>
      <w:r>
        <w:rPr>
          <w:rFonts w:ascii="Consolas" w:hAnsi="Consolas"/>
          <w:color w:val="000000"/>
          <w:sz w:val="20"/>
        </w:rPr>
        <w:t>EvacuationCenter</w:t>
      </w:r>
      <w:r>
        <w:rPr>
          <w:rFonts w:ascii="Aptos" w:hAnsi="Aptos"/>
          <w:color w:val="000000"/>
          <w:sz w:val="22"/>
        </w:rPr>
        <w:t xml:space="preserve">, </w:t>
      </w:r>
      <w:r>
        <w:rPr>
          <w:rFonts w:ascii="Consolas" w:hAnsi="Consolas"/>
          <w:color w:val="000000"/>
          <w:sz w:val="20"/>
        </w:rPr>
        <w:t>Advisory</w:t>
      </w:r>
      <w:r>
        <w:rPr>
          <w:rFonts w:ascii="Aptos" w:hAnsi="Aptos"/>
          <w:color w:val="000000"/>
          <w:sz w:val="22"/>
        </w:rPr>
        <w:t xml:space="preserve">, </w:t>
      </w:r>
      <w:r>
        <w:rPr>
          <w:rFonts w:ascii="Consolas" w:hAnsi="Consolas"/>
          <w:color w:val="000000"/>
          <w:sz w:val="20"/>
        </w:rPr>
        <w:t>LigtasApplication</w:t>
      </w:r>
      <w:r>
        <w:rPr>
          <w:rFonts w:ascii="Aptos" w:hAnsi="Aptos"/>
          <w:color w:val="000000"/>
          <w:sz w:val="22"/>
        </w:rPr>
        <w:t xml:space="preserve">, </w:t>
      </w:r>
      <w:r>
        <w:rPr>
          <w:rFonts w:ascii="Consolas" w:hAnsi="Consolas"/>
          <w:color w:val="000000"/>
          <w:sz w:val="20"/>
        </w:rPr>
        <w:t>FloodScenario</w:t>
      </w:r>
      <w:r>
        <w:rPr>
          <w:rFonts w:ascii="Aptos" w:hAnsi="Aptos"/>
          <w:color w:val="000000"/>
          <w:sz w:val="22"/>
        </w:rPr>
        <w:t xml:space="preserve">, </w:t>
      </w:r>
      <w:r>
        <w:rPr>
          <w:rFonts w:ascii="Consolas" w:hAnsi="Consolas"/>
          <w:color w:val="000000"/>
          <w:sz w:val="20"/>
        </w:rPr>
        <w:t>RouteCandidate</w:t>
      </w:r>
      <w:r>
        <w:rPr>
          <w:rFonts w:ascii="Aptos" w:hAnsi="Aptos"/>
          <w:color w:val="000000"/>
          <w:sz w:val="22"/>
        </w:rPr>
        <w:t xml:space="preserve">, </w:t>
      </w:r>
      <w:r>
        <w:rPr>
          <w:rFonts w:ascii="Consolas" w:hAnsi="Consolas"/>
          <w:color w:val="000000"/>
          <w:sz w:val="20"/>
        </w:rPr>
        <w:t>RouteAssessment</w:t>
      </w:r>
      <w:r>
        <w:rPr>
          <w:rFonts w:ascii="Aptos" w:hAnsi="Aptos"/>
          <w:color w:val="000000"/>
          <w:sz w:val="22"/>
        </w:rPr>
        <w:t xml:space="preserve">, </w:t>
      </w:r>
      <w:r>
        <w:rPr>
          <w:rFonts w:ascii="Consolas" w:hAnsi="Consolas"/>
          <w:color w:val="000000"/>
          <w:sz w:val="20"/>
        </w:rPr>
        <w:t>RoadStructure</w:t>
      </w:r>
      <w:r>
        <w:rPr>
          <w:rFonts w:ascii="Aptos" w:hAnsi="Aptos"/>
          <w:color w:val="000000"/>
          <w:sz w:val="22"/>
        </w:rPr>
        <w:t xml:space="preserve">, and </w:t>
      </w:r>
      <w:r>
        <w:rPr>
          <w:rFonts w:ascii="Consolas" w:hAnsi="Consolas"/>
          <w:color w:val="000000"/>
          <w:sz w:val="20"/>
        </w:rPr>
        <w:t>DatasetVersion</w:t>
      </w:r>
      <w:r>
        <w:rPr>
          <w:rFonts w:ascii="Aptos" w:hAnsi="Aptos"/>
          <w:color w:val="000000"/>
          <w:sz w:val="22"/>
        </w:rPr>
        <w:t>.</w:t>
      </w:r>
    </w:p>
    <w:p>
      <w:r>
        <w:rPr>
          <w:rFonts w:ascii="Aptos" w:hAnsi="Aptos"/>
          <w:color w:val="000000"/>
          <w:sz w:val="22"/>
        </w:rPr>
        <w:t xml:space="preserve">Interfaces such as </w:t>
      </w:r>
      <w:r>
        <w:rPr>
          <w:rFonts w:ascii="Consolas" w:hAnsi="Consolas"/>
          <w:color w:val="000000"/>
          <w:sz w:val="20"/>
        </w:rPr>
        <w:t>FamilyRepository</w:t>
      </w:r>
      <w:r>
        <w:rPr>
          <w:rFonts w:ascii="Aptos" w:hAnsi="Aptos"/>
          <w:color w:val="000000"/>
          <w:sz w:val="22"/>
        </w:rPr>
        <w:t xml:space="preserve">, </w:t>
      </w:r>
      <w:r>
        <w:rPr>
          <w:rFonts w:ascii="Consolas" w:hAnsi="Consolas"/>
          <w:color w:val="000000"/>
          <w:sz w:val="20"/>
        </w:rPr>
        <w:t>CenterRepository</w:t>
      </w:r>
      <w:r>
        <w:rPr>
          <w:rFonts w:ascii="Aptos" w:hAnsi="Aptos"/>
          <w:color w:val="000000"/>
          <w:sz w:val="22"/>
        </w:rPr>
        <w:t xml:space="preserve">, </w:t>
      </w:r>
      <w:r>
        <w:rPr>
          <w:rFonts w:ascii="Consolas" w:hAnsi="Consolas"/>
          <w:color w:val="000000"/>
          <w:sz w:val="20"/>
        </w:rPr>
        <w:t>AdvisoryRepository</w:t>
      </w:r>
      <w:r>
        <w:rPr>
          <w:rFonts w:ascii="Aptos" w:hAnsi="Aptos"/>
          <w:color w:val="000000"/>
          <w:sz w:val="22"/>
        </w:rPr>
        <w:t xml:space="preserve">, </w:t>
      </w:r>
      <w:r>
        <w:rPr>
          <w:rFonts w:ascii="Consolas" w:hAnsi="Consolas"/>
          <w:color w:val="000000"/>
          <w:sz w:val="20"/>
        </w:rPr>
        <w:t>RouteProvider</w:t>
      </w:r>
      <w:r>
        <w:rPr>
          <w:rFonts w:ascii="Aptos" w:hAnsi="Aptos"/>
          <w:color w:val="000000"/>
          <w:sz w:val="22"/>
        </w:rPr>
        <w:t xml:space="preserve">, </w:t>
      </w:r>
      <w:r>
        <w:rPr>
          <w:rFonts w:ascii="Consolas" w:hAnsi="Consolas"/>
          <w:color w:val="000000"/>
          <w:sz w:val="20"/>
        </w:rPr>
        <w:t>HazardRepository</w:t>
      </w:r>
      <w:r>
        <w:rPr>
          <w:rFonts w:ascii="Aptos" w:hAnsi="Aptos"/>
          <w:color w:val="000000"/>
          <w:sz w:val="22"/>
        </w:rPr>
        <w:t xml:space="preserve">, and </w:t>
      </w:r>
      <w:r>
        <w:rPr>
          <w:rFonts w:ascii="Consolas" w:hAnsi="Consolas"/>
          <w:color w:val="000000"/>
          <w:sz w:val="20"/>
        </w:rPr>
        <w:t>LigtasRepository</w:t>
      </w:r>
      <w:r>
        <w:rPr>
          <w:rFonts w:ascii="Aptos" w:hAnsi="Aptos"/>
          <w:color w:val="000000"/>
          <w:sz w:val="22"/>
        </w:rPr>
        <w:t xml:space="preserve"> keep UI controllers independent of Firebase, TomTom, and files.</w:t>
      </w:r>
    </w:p>
    <w:p>
      <w:pPr>
        <w:pStyle w:val="Heading2"/>
      </w:pPr>
      <w:r>
        <w:t>Data layer</w:t>
      </w:r>
    </w:p>
    <w:p>
      <w:pPr>
        <w:pStyle w:val="ListBullet"/>
      </w:pPr>
      <w:r>
        <w:rPr>
          <w:rFonts w:ascii="Aptos" w:hAnsi="Aptos"/>
          <w:color w:val="000000"/>
          <w:sz w:val="22"/>
        </w:rPr>
        <w:t>Firebase Authentication: resident sign-in and pre-provisioned LGU accounts.</w:t>
      </w:r>
    </w:p>
    <w:p>
      <w:pPr>
        <w:pStyle w:val="ListBullet"/>
      </w:pPr>
      <w:r>
        <w:rPr>
          <w:rFonts w:ascii="Aptos" w:hAnsi="Aptos"/>
          <w:color w:val="000000"/>
          <w:sz w:val="22"/>
        </w:rPr>
        <w:t>Cloud Firestore: profiles, family records, centers, advisories, applications, dataset versions, and audit events.</w:t>
      </w:r>
    </w:p>
    <w:p>
      <w:pPr>
        <w:pStyle w:val="ListBullet"/>
      </w:pPr>
      <w:r>
        <w:rPr>
          <w:rFonts w:ascii="Aptos" w:hAnsi="Aptos"/>
          <w:color w:val="000000"/>
          <w:sz w:val="22"/>
        </w:rPr>
        <w:t>Firebase Storage: synthetic/demo Ligtas attachments, protected by owner/role rules.</w:t>
      </w:r>
    </w:p>
    <w:p>
      <w:pPr>
        <w:pStyle w:val="ListBullet"/>
      </w:pPr>
      <w:r>
        <w:rPr>
          <w:rFonts w:ascii="Aptos" w:hAnsi="Aptos"/>
          <w:color w:val="000000"/>
          <w:sz w:val="22"/>
        </w:rPr>
        <w:t>Firestore local persistence plus a local prepared-data cache support offline use.</w:t>
      </w:r>
    </w:p>
    <w:p>
      <w:pPr>
        <w:pStyle w:val="ListBullet"/>
      </w:pPr>
      <w:r>
        <w:rPr>
          <w:rFonts w:ascii="Aptos" w:hAnsi="Aptos"/>
          <w:color w:val="000000"/>
          <w:sz w:val="22"/>
        </w:rPr>
        <w:t>TomTom REST APIs provide geocoding, route alternatives, and traffic when online.</w:t>
      </w:r>
    </w:p>
    <w:p>
      <w:pPr>
        <w:pStyle w:val="ListBullet"/>
      </w:pPr>
      <w:r>
        <w:rPr>
          <w:rFonts w:ascii="Aptos" w:hAnsi="Aptos"/>
          <w:color w:val="000000"/>
          <w:sz w:val="22"/>
        </w:rPr>
        <w:t>MapLibre Native Android renders the map and local overlays.</w:t>
      </w:r>
    </w:p>
    <w:p>
      <w:pPr>
        <w:pStyle w:val="ListBullet"/>
      </w:pPr>
      <w:r>
        <w:rPr>
          <w:rFonts w:ascii="Aptos" w:hAnsi="Aptos"/>
          <w:color w:val="000000"/>
          <w:sz w:val="22"/>
        </w:rPr>
        <w:t xml:space="preserve">The pure-Java </w:t>
      </w:r>
      <w:r>
        <w:rPr>
          <w:rFonts w:ascii="Consolas" w:hAnsi="Consolas"/>
          <w:color w:val="000000"/>
          <w:sz w:val="20"/>
        </w:rPr>
        <w:t>RiskEngine</w:t>
      </w:r>
      <w:r>
        <w:rPr>
          <w:rFonts w:ascii="Aptos" w:hAnsi="Aptos"/>
          <w:color w:val="000000"/>
          <w:sz w:val="22"/>
        </w:rPr>
        <w:t xml:space="preserve"> evaluates provider polylines using prepared NOAH and road-structure indexes.</w:t>
      </w:r>
    </w:p>
    <w:p>
      <w:r>
        <w:rPr>
          <w:rFonts w:ascii="Aptos" w:hAnsi="Aptos"/>
          <w:color w:val="000000"/>
          <w:sz w:val="22"/>
        </w:rPr>
        <w:t>The app does not retain the legacy Python backend. API keys are injected through ignored local configuration and are not committed.</w:t>
      </w:r>
    </w:p>
    <w:p>
      <w:pPr>
        <w:pStyle w:val="Heading1"/>
      </w:pPr>
      <w:r>
        <w:t>7. Project NOAH flood data</w:t>
      </w:r>
    </w:p>
    <w:p>
      <w:pPr>
        <w:pStyle w:val="Heading2"/>
      </w:pPr>
      <w:r>
        <w:t>Supplied layers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440"/>
            <w:vAlign w:val="center"/>
            <w:shd w:fill="16324F"/>
            <w:tcMar>
              <w:top w:w="110" w:type="dxa"/>
              <w:start w:w="130" w:type="dxa"/>
              <w:bottom w:w="110" w:type="dxa"/>
              <w:end w:w="130" w:type="dxa"/>
            </w:tcMar>
          </w:tcPr>
          <w:p>
            <w:pPr>
              <w:jc w:val="center"/>
            </w:pPr>
            <w:r>
              <w:rPr>
                <w:rFonts w:ascii="Aptos" w:hAnsi="Aptos"/>
                <w:b/>
                <w:color w:val="FFFFFF"/>
                <w:sz w:val="18"/>
              </w:rPr>
              <w:t>Scenario</w:t>
            </w:r>
          </w:p>
        </w:tc>
        <w:tc>
          <w:tcPr>
            <w:tcW w:type="dxa" w:w="2088"/>
            <w:vAlign w:val="center"/>
            <w:shd w:fill="16324F"/>
            <w:tcMar>
              <w:top w:w="110" w:type="dxa"/>
              <w:start w:w="130" w:type="dxa"/>
              <w:bottom w:w="110" w:type="dxa"/>
              <w:end w:w="130" w:type="dxa"/>
            </w:tcMar>
          </w:tcPr>
          <w:p>
            <w:pPr>
              <w:jc w:val="center"/>
            </w:pPr>
            <w:r>
              <w:rPr>
                <w:rFonts w:ascii="Aptos" w:hAnsi="Aptos"/>
                <w:b/>
                <w:color w:val="FFFFFF"/>
                <w:sz w:val="18"/>
              </w:rPr>
              <w:t>Annual exceedance interpretation</w:t>
            </w:r>
          </w:p>
        </w:tc>
        <w:tc>
          <w:tcPr>
            <w:tcW w:type="dxa" w:w="4176"/>
            <w:vAlign w:val="center"/>
            <w:shd w:fill="16324F"/>
            <w:tcMar>
              <w:top w:w="110" w:type="dxa"/>
              <w:start w:w="130" w:type="dxa"/>
              <w:bottom w:w="110" w:type="dxa"/>
              <w:end w:w="130" w:type="dxa"/>
            </w:tcMar>
          </w:tcPr>
          <w:p>
            <w:pPr>
              <w:jc w:val="center"/>
            </w:pPr>
            <w:r>
              <w:rPr>
                <w:rFonts w:ascii="Aptos" w:hAnsi="Aptos"/>
                <w:b/>
                <w:color w:val="FFFFFF"/>
                <w:sz w:val="18"/>
              </w:rPr>
              <w:t>Source geometry</w:t>
            </w:r>
          </w:p>
        </w:tc>
        <w:tc>
          <w:tcPr>
            <w:tcW w:type="dxa" w:w="2232"/>
            <w:vAlign w:val="center"/>
            <w:shd w:fill="16324F"/>
            <w:tcMar>
              <w:top w:w="110" w:type="dxa"/>
              <w:start w:w="130" w:type="dxa"/>
              <w:bottom w:w="110" w:type="dxa"/>
              <w:end w:w="130" w:type="dxa"/>
            </w:tcMar>
          </w:tcPr>
          <w:p>
            <w:pPr>
              <w:jc w:val="center"/>
            </w:pPr>
            <w:r>
              <w:rPr>
                <w:rFonts w:ascii="Aptos" w:hAnsi="Aptos"/>
                <w:b/>
                <w:color w:val="FFFFFF"/>
                <w:sz w:val="18"/>
              </w:rPr>
              <w:t>Classes</w:t>
            </w:r>
          </w:p>
        </w:tc>
      </w:tr>
      <w:tr>
        <w:trPr>
          <w:cantSplit/>
        </w:trPr>
        <w:tc>
          <w:tcPr>
            <w:tcW w:type="dxa" w:w="1440"/>
            <w:vAlign w:val="center"/>
            <w:tcMar>
              <w:top w:w="110" w:type="dxa"/>
              <w:start w:w="130" w:type="dxa"/>
              <w:bottom w:w="110" w:type="dxa"/>
              <w:end w:w="130" w:type="dxa"/>
            </w:tcMar>
          </w:tcPr>
          <w:p>
            <w:pPr>
              <w:jc w:val="center"/>
            </w:pPr>
            <w:r>
              <w:rPr>
                <w:rFonts w:ascii="Aptos" w:hAnsi="Aptos"/>
                <w:color w:val="000000"/>
                <w:sz w:val="19"/>
              </w:rPr>
              <w:t>5-year</w:t>
            </w:r>
          </w:p>
        </w:tc>
        <w:tc>
          <w:tcPr>
            <w:tcW w:type="dxa" w:w="2088"/>
            <w:vAlign w:val="center"/>
            <w:tcMar>
              <w:top w:w="110" w:type="dxa"/>
              <w:start w:w="130" w:type="dxa"/>
              <w:bottom w:w="110" w:type="dxa"/>
              <w:end w:w="130" w:type="dxa"/>
            </w:tcMar>
          </w:tcPr>
          <w:p>
            <w:pPr>
              <w:jc w:val="center"/>
            </w:pPr>
            <w:r>
              <w:rPr>
                <w:rFonts w:ascii="Aptos" w:hAnsi="Aptos"/>
                <w:color w:val="000000"/>
                <w:sz w:val="19"/>
              </w:rPr>
              <w:t>approximately 20% in any year</w:t>
            </w:r>
          </w:p>
        </w:tc>
        <w:tc>
          <w:tcPr>
            <w:tcW w:type="dxa" w:w="4176"/>
            <w:vAlign w:val="center"/>
            <w:tcMar>
              <w:top w:w="110" w:type="dxa"/>
              <w:start w:w="130" w:type="dxa"/>
              <w:bottom w:w="110" w:type="dxa"/>
              <w:end w:w="130" w:type="dxa"/>
            </w:tcMar>
          </w:tcPr>
          <w:p>
            <w:pPr>
              <w:jc w:val="left"/>
            </w:pPr>
            <w:r>
              <w:rPr>
                <w:rFonts w:ascii="Aptos" w:hAnsi="Aptos"/>
                <w:color w:val="000000"/>
                <w:sz w:val="19"/>
              </w:rPr>
              <w:t>WGS84 polygon shapefile</w:t>
            </w:r>
          </w:p>
        </w:tc>
        <w:tc>
          <w:tcPr>
            <w:tcW w:type="dxa" w:w="2232"/>
            <w:vAlign w:val="center"/>
            <w:tcMar>
              <w:top w:w="110" w:type="dxa"/>
              <w:start w:w="130" w:type="dxa"/>
              <w:bottom w:w="110" w:type="dxa"/>
              <w:end w:w="130" w:type="dxa"/>
            </w:tcMar>
          </w:tcPr>
          <w:p>
            <w:pPr>
              <w:jc w:val="center"/>
            </w:pPr>
            <w:r>
              <w:rPr>
                <w:rFonts w:ascii="Consolas" w:hAnsi="Consolas"/>
                <w:color w:val="000000"/>
                <w:sz w:val="19"/>
              </w:rPr>
              <w:t>Var</w:t>
            </w:r>
            <w:r>
              <w:rPr>
                <w:rFonts w:ascii="Aptos" w:hAnsi="Aptos"/>
                <w:color w:val="000000"/>
                <w:sz w:val="19"/>
              </w:rPr>
              <w:t xml:space="preserve"> 1, 2, 3</w:t>
            </w:r>
          </w:p>
        </w:tc>
      </w:tr>
      <w:tr>
        <w:trPr>
          <w:cantSplit/>
        </w:trPr>
        <w:tc>
          <w:tcPr>
            <w:tcW w:type="dxa" w:w="1440"/>
            <w:vAlign w:val="center"/>
            <w:tcMar>
              <w:top w:w="110" w:type="dxa"/>
              <w:start w:w="130" w:type="dxa"/>
              <w:bottom w:w="110" w:type="dxa"/>
              <w:end w:w="130" w:type="dxa"/>
            </w:tcMar>
            <w:shd w:fill="F3F6F9"/>
          </w:tcPr>
          <w:p>
            <w:pPr>
              <w:jc w:val="center"/>
            </w:pPr>
            <w:r>
              <w:rPr>
                <w:rFonts w:ascii="Aptos" w:hAnsi="Aptos"/>
                <w:color w:val="000000"/>
                <w:sz w:val="19"/>
              </w:rPr>
              <w:t>25-year</w:t>
            </w:r>
          </w:p>
        </w:tc>
        <w:tc>
          <w:tcPr>
            <w:tcW w:type="dxa" w:w="2088"/>
            <w:vAlign w:val="center"/>
            <w:tcMar>
              <w:top w:w="110" w:type="dxa"/>
              <w:start w:w="130" w:type="dxa"/>
              <w:bottom w:w="110" w:type="dxa"/>
              <w:end w:w="130" w:type="dxa"/>
            </w:tcMar>
            <w:shd w:fill="F3F6F9"/>
          </w:tcPr>
          <w:p>
            <w:pPr>
              <w:jc w:val="center"/>
            </w:pPr>
            <w:r>
              <w:rPr>
                <w:rFonts w:ascii="Aptos" w:hAnsi="Aptos"/>
                <w:color w:val="000000"/>
                <w:sz w:val="19"/>
              </w:rPr>
              <w:t>approximately 4% in any year</w:t>
            </w:r>
          </w:p>
        </w:tc>
        <w:tc>
          <w:tcPr>
            <w:tcW w:type="dxa" w:w="4176"/>
            <w:vAlign w:val="center"/>
            <w:tcMar>
              <w:top w:w="110" w:type="dxa"/>
              <w:start w:w="130" w:type="dxa"/>
              <w:bottom w:w="110" w:type="dxa"/>
              <w:end w:w="130" w:type="dxa"/>
            </w:tcMar>
            <w:shd w:fill="F3F6F9"/>
          </w:tcPr>
          <w:p>
            <w:pPr>
              <w:jc w:val="left"/>
            </w:pPr>
            <w:r>
              <w:rPr>
                <w:rFonts w:ascii="Aptos" w:hAnsi="Aptos"/>
                <w:color w:val="000000"/>
                <w:sz w:val="19"/>
              </w:rPr>
              <w:t>WGS84 polygon shapefile</w:t>
            </w:r>
          </w:p>
        </w:tc>
        <w:tc>
          <w:tcPr>
            <w:tcW w:type="dxa" w:w="2232"/>
            <w:vAlign w:val="center"/>
            <w:tcMar>
              <w:top w:w="110" w:type="dxa"/>
              <w:start w:w="130" w:type="dxa"/>
              <w:bottom w:w="110" w:type="dxa"/>
              <w:end w:w="130" w:type="dxa"/>
            </w:tcMar>
            <w:shd w:fill="F3F6F9"/>
          </w:tcPr>
          <w:p>
            <w:pPr>
              <w:jc w:val="center"/>
            </w:pPr>
            <w:r>
              <w:rPr>
                <w:rFonts w:ascii="Consolas" w:hAnsi="Consolas"/>
                <w:color w:val="000000"/>
                <w:sz w:val="19"/>
              </w:rPr>
              <w:t>Var</w:t>
            </w:r>
            <w:r>
              <w:rPr>
                <w:rFonts w:ascii="Aptos" w:hAnsi="Aptos"/>
                <w:color w:val="000000"/>
                <w:sz w:val="19"/>
              </w:rPr>
              <w:t xml:space="preserve"> 1, 2, 3</w:t>
            </w:r>
          </w:p>
        </w:tc>
      </w:tr>
      <w:tr>
        <w:trPr>
          <w:cantSplit/>
        </w:trPr>
        <w:tc>
          <w:tcPr>
            <w:tcW w:type="dxa" w:w="1440"/>
            <w:vAlign w:val="center"/>
            <w:tcMar>
              <w:top w:w="110" w:type="dxa"/>
              <w:start w:w="130" w:type="dxa"/>
              <w:bottom w:w="110" w:type="dxa"/>
              <w:end w:w="130" w:type="dxa"/>
            </w:tcMar>
          </w:tcPr>
          <w:p>
            <w:pPr>
              <w:jc w:val="center"/>
            </w:pPr>
            <w:r>
              <w:rPr>
                <w:rFonts w:ascii="Aptos" w:hAnsi="Aptos"/>
                <w:color w:val="000000"/>
                <w:sz w:val="19"/>
              </w:rPr>
              <w:t>100-year</w:t>
            </w:r>
          </w:p>
        </w:tc>
        <w:tc>
          <w:tcPr>
            <w:tcW w:type="dxa" w:w="2088"/>
            <w:vAlign w:val="center"/>
            <w:tcMar>
              <w:top w:w="110" w:type="dxa"/>
              <w:start w:w="130" w:type="dxa"/>
              <w:bottom w:w="110" w:type="dxa"/>
              <w:end w:w="130" w:type="dxa"/>
            </w:tcMar>
          </w:tcPr>
          <w:p>
            <w:pPr>
              <w:jc w:val="center"/>
            </w:pPr>
            <w:r>
              <w:rPr>
                <w:rFonts w:ascii="Aptos" w:hAnsi="Aptos"/>
                <w:color w:val="000000"/>
                <w:sz w:val="19"/>
              </w:rPr>
              <w:t>approximately 1% in any year</w:t>
            </w:r>
          </w:p>
        </w:tc>
        <w:tc>
          <w:tcPr>
            <w:tcW w:type="dxa" w:w="4176"/>
            <w:vAlign w:val="center"/>
            <w:tcMar>
              <w:top w:w="110" w:type="dxa"/>
              <w:start w:w="130" w:type="dxa"/>
              <w:bottom w:w="110" w:type="dxa"/>
              <w:end w:w="130" w:type="dxa"/>
            </w:tcMar>
          </w:tcPr>
          <w:p>
            <w:pPr>
              <w:jc w:val="left"/>
            </w:pPr>
            <w:r>
              <w:rPr>
                <w:rFonts w:ascii="Aptos" w:hAnsi="Aptos"/>
                <w:color w:val="000000"/>
                <w:sz w:val="19"/>
              </w:rPr>
              <w:t>WGS84 polygon shapefile</w:t>
            </w:r>
          </w:p>
        </w:tc>
        <w:tc>
          <w:tcPr>
            <w:tcW w:type="dxa" w:w="2232"/>
            <w:vAlign w:val="center"/>
            <w:tcMar>
              <w:top w:w="110" w:type="dxa"/>
              <w:start w:w="130" w:type="dxa"/>
              <w:bottom w:w="110" w:type="dxa"/>
              <w:end w:w="130" w:type="dxa"/>
            </w:tcMar>
          </w:tcPr>
          <w:p>
            <w:pPr>
              <w:jc w:val="center"/>
            </w:pPr>
            <w:r>
              <w:rPr>
                <w:rFonts w:ascii="Consolas" w:hAnsi="Consolas"/>
                <w:color w:val="000000"/>
                <w:sz w:val="19"/>
              </w:rPr>
              <w:t>Var</w:t>
            </w:r>
            <w:r>
              <w:rPr>
                <w:rFonts w:ascii="Aptos" w:hAnsi="Aptos"/>
                <w:color w:val="000000"/>
                <w:sz w:val="19"/>
              </w:rPr>
              <w:t xml:space="preserve"> 1, 2, 3</w:t>
            </w:r>
          </w:p>
        </w:tc>
      </w:tr>
    </w:tbl>
    <w:p>
      <w:pPr>
        <w:spacing w:after="40"/>
      </w:pPr>
    </w:p>
    <w:p>
      <w:r>
        <w:rPr>
          <w:rFonts w:ascii="Aptos" w:hAnsi="Aptos"/>
          <w:color w:val="000000"/>
          <w:sz w:val="22"/>
        </w:rPr>
        <w:t>The official NOAH legend is retained:</w:t>
      </w:r>
    </w:p>
    <w:p>
      <w:pPr>
        <w:pStyle w:val="ListBullet"/>
      </w:pPr>
      <w:r>
        <w:rPr>
          <w:rFonts w:ascii="Consolas" w:hAnsi="Consolas"/>
          <w:color w:val="000000"/>
          <w:sz w:val="20"/>
        </w:rPr>
        <w:t>Var 1</w:t>
      </w:r>
      <w:r>
        <w:rPr>
          <w:rFonts w:ascii="Aptos" w:hAnsi="Aptos"/>
          <w:color w:val="000000"/>
          <w:sz w:val="22"/>
        </w:rPr>
        <w:t>: low, 0–0.5 m, yellow.</w:t>
      </w:r>
    </w:p>
    <w:p>
      <w:pPr>
        <w:pStyle w:val="ListBullet"/>
      </w:pPr>
      <w:r>
        <w:rPr>
          <w:rFonts w:ascii="Consolas" w:hAnsi="Consolas"/>
          <w:color w:val="000000"/>
          <w:sz w:val="20"/>
        </w:rPr>
        <w:t>Var 2</w:t>
      </w:r>
      <w:r>
        <w:rPr>
          <w:rFonts w:ascii="Aptos" w:hAnsi="Aptos"/>
          <w:color w:val="000000"/>
          <w:sz w:val="22"/>
        </w:rPr>
        <w:t>: medium, greater than 0.5–1.5 m, orange.</w:t>
      </w:r>
    </w:p>
    <w:p>
      <w:pPr>
        <w:pStyle w:val="ListBullet"/>
      </w:pPr>
      <w:r>
        <w:rPr>
          <w:rFonts w:ascii="Consolas" w:hAnsi="Consolas"/>
          <w:color w:val="000000"/>
          <w:sz w:val="20"/>
        </w:rPr>
        <w:t>Var 3</w:t>
      </w:r>
      <w:r>
        <w:rPr>
          <w:rFonts w:ascii="Aptos" w:hAnsi="Aptos"/>
          <w:color w:val="000000"/>
          <w:sz w:val="22"/>
        </w:rPr>
        <w:t>: high, greater than 1.5 m, red.</w:t>
      </w:r>
    </w:p>
    <w:p>
      <w:r>
        <w:rPr>
          <w:rFonts w:ascii="Aptos" w:hAnsi="Aptos"/>
          <w:color w:val="000000"/>
          <w:sz w:val="22"/>
        </w:rPr>
        <w:t>The screen defaults to the more frequent 5-year scenario. A “Risk Horizon” selector exposes 5-, 25-, and 100-year scenarios for preparedness. The selected scenario and explanation are always visible; none is labeled as current real-time flooding.</w:t>
      </w:r>
    </w:p>
    <w:p>
      <w:pPr>
        <w:pStyle w:val="Heading2"/>
      </w:pPr>
      <w:r>
        <w:t>Dataset audit</w:t>
      </w:r>
    </w:p>
    <w:p>
      <w:r>
        <w:rPr>
          <w:rFonts w:ascii="Aptos" w:hAnsi="Aptos"/>
          <w:color w:val="000000"/>
          <w:sz w:val="22"/>
        </w:rPr>
        <w:t xml:space="preserve">All three datasets use EPSG:4326 and contain one multipart feature for each hazard class. They collectively cover the supplied Metro Manila bounding region. The 100-year DBF stores </w:t>
      </w:r>
      <w:r>
        <w:rPr>
          <w:rFonts w:ascii="Consolas" w:hAnsi="Consolas"/>
          <w:color w:val="000000"/>
          <w:sz w:val="20"/>
        </w:rPr>
        <w:t>Var</w:t>
      </w:r>
      <w:r>
        <w:rPr>
          <w:rFonts w:ascii="Aptos" w:hAnsi="Aptos"/>
          <w:color w:val="000000"/>
          <w:sz w:val="22"/>
        </w:rPr>
        <w:t xml:space="preserve"> as a numeric type while the 5- and 25-year files use a floating type; preprocessing normalizes all values to an integer enum.</w:t>
      </w:r>
    </w:p>
    <w:p>
      <w:r>
        <w:rPr>
          <w:rFonts w:ascii="Aptos" w:hAnsi="Aptos"/>
          <w:color w:val="000000"/>
          <w:sz w:val="22"/>
        </w:rPr>
        <w:t>The raw shapefiles contain millions of points and are unsuitable for direct on-device parsing. Build-time processing produces two derivatives per scenario:</w:t>
      </w:r>
    </w:p>
    <w:p>
      <w:pPr>
        <w:ind w:left="432" w:hanging="432"/>
      </w:pPr>
      <w:r>
        <w:rPr>
          <w:rFonts w:ascii="Aptos" w:hAnsi="Aptos"/>
          <w:color w:val="000000"/>
          <w:sz w:val="22"/>
        </w:rPr>
        <w:t xml:space="preserve">1.  </w:t>
      </w:r>
      <w:r>
        <w:rPr>
          <w:rFonts w:ascii="Aptos" w:hAnsi="Aptos"/>
          <w:color w:val="000000"/>
          <w:sz w:val="22"/>
        </w:rPr>
        <w:t>A topology-preserving simplified GeoJSON overlay for display.</w:t>
      </w:r>
    </w:p>
    <w:p>
      <w:pPr>
        <w:ind w:left="432" w:hanging="432"/>
      </w:pPr>
      <w:r>
        <w:rPr>
          <w:rFonts w:ascii="Aptos" w:hAnsi="Aptos"/>
          <w:color w:val="000000"/>
          <w:sz w:val="22"/>
        </w:rPr>
        <w:t xml:space="preserve">2.  </w:t>
      </w:r>
      <w:r>
        <w:rPr>
          <w:rFonts w:ascii="Aptos" w:hAnsi="Aptos"/>
          <w:color w:val="000000"/>
          <w:sz w:val="22"/>
        </w:rPr>
        <w:t>A compact, fixed-resolution hazard grid for fast route sampling.</w:t>
      </w:r>
    </w:p>
    <w:p>
      <w:r>
        <w:rPr>
          <w:rFonts w:ascii="Aptos" w:hAnsi="Aptos"/>
          <w:color w:val="000000"/>
          <w:sz w:val="22"/>
        </w:rPr>
        <w:t>The original files remain untouched. A manifest records scenario, source, license/attribution, source timestamp when known, coordinate system, class mapping, original SHA-256, processing settings, output SHA-256, coverage bounds, and publication version. The UI credits Project NOAH and includes the relevant Open Data Commons attribution.</w:t>
      </w:r>
    </w:p>
    <w:p>
      <w:pPr>
        <w:pStyle w:val="Heading2"/>
      </w:pPr>
      <w:r>
        <w:t>Data acceptance gates</w:t>
      </w:r>
    </w:p>
    <w:p>
      <w:pPr>
        <w:pStyle w:val="ListBullet"/>
      </w:pPr>
      <w:r>
        <w:rPr>
          <w:rFonts w:ascii="Aptos" w:hAnsi="Aptos"/>
          <w:color w:val="000000"/>
          <w:sz w:val="22"/>
        </w:rPr>
        <w:t xml:space="preserve">Required </w:t>
      </w:r>
      <w:r>
        <w:rPr>
          <w:rFonts w:ascii="Consolas" w:hAnsi="Consolas"/>
          <w:color w:val="000000"/>
          <w:sz w:val="20"/>
        </w:rPr>
        <w:t>.shp</w:t>
      </w:r>
      <w:r>
        <w:rPr>
          <w:rFonts w:ascii="Aptos" w:hAnsi="Aptos"/>
          <w:color w:val="000000"/>
          <w:sz w:val="22"/>
        </w:rPr>
        <w:t xml:space="preserve">, </w:t>
      </w:r>
      <w:r>
        <w:rPr>
          <w:rFonts w:ascii="Consolas" w:hAnsi="Consolas"/>
          <w:color w:val="000000"/>
          <w:sz w:val="20"/>
        </w:rPr>
        <w:t>.shx</w:t>
      </w:r>
      <w:r>
        <w:rPr>
          <w:rFonts w:ascii="Aptos" w:hAnsi="Aptos"/>
          <w:color w:val="000000"/>
          <w:sz w:val="22"/>
        </w:rPr>
        <w:t xml:space="preserve">, </w:t>
      </w:r>
      <w:r>
        <w:rPr>
          <w:rFonts w:ascii="Consolas" w:hAnsi="Consolas"/>
          <w:color w:val="000000"/>
          <w:sz w:val="20"/>
        </w:rPr>
        <w:t>.dbf</w:t>
      </w:r>
      <w:r>
        <w:rPr>
          <w:rFonts w:ascii="Aptos" w:hAnsi="Aptos"/>
          <w:color w:val="000000"/>
          <w:sz w:val="22"/>
        </w:rPr>
        <w:t xml:space="preserve">, and </w:t>
      </w:r>
      <w:r>
        <w:rPr>
          <w:rFonts w:ascii="Consolas" w:hAnsi="Consolas"/>
          <w:color w:val="000000"/>
          <w:sz w:val="20"/>
        </w:rPr>
        <w:t>.prj</w:t>
      </w:r>
      <w:r>
        <w:rPr>
          <w:rFonts w:ascii="Aptos" w:hAnsi="Aptos"/>
          <w:color w:val="000000"/>
          <w:sz w:val="22"/>
        </w:rPr>
        <w:t xml:space="preserve"> files exist.</w:t>
      </w:r>
    </w:p>
    <w:p>
      <w:pPr>
        <w:pStyle w:val="ListBullet"/>
      </w:pPr>
      <w:r>
        <w:rPr>
          <w:rFonts w:ascii="Aptos" w:hAnsi="Aptos"/>
          <w:color w:val="000000"/>
          <w:sz w:val="22"/>
        </w:rPr>
        <w:t>CRS is WGS84/EPSG:4326.</w:t>
      </w:r>
    </w:p>
    <w:p>
      <w:pPr>
        <w:pStyle w:val="ListBullet"/>
      </w:pPr>
      <w:r>
        <w:rPr>
          <w:rFonts w:ascii="Aptos" w:hAnsi="Aptos"/>
          <w:color w:val="000000"/>
          <w:sz w:val="22"/>
        </w:rPr>
        <w:t xml:space="preserve">Every record maps to </w:t>
      </w:r>
      <w:r>
        <w:rPr>
          <w:rFonts w:ascii="Consolas" w:hAnsi="Consolas"/>
          <w:color w:val="000000"/>
          <w:sz w:val="20"/>
        </w:rPr>
        <w:t>LOW</w:t>
      </w:r>
      <w:r>
        <w:rPr>
          <w:rFonts w:ascii="Aptos" w:hAnsi="Aptos"/>
          <w:color w:val="000000"/>
          <w:sz w:val="22"/>
        </w:rPr>
        <w:t xml:space="preserve">, </w:t>
      </w:r>
      <w:r>
        <w:rPr>
          <w:rFonts w:ascii="Consolas" w:hAnsi="Consolas"/>
          <w:color w:val="000000"/>
          <w:sz w:val="20"/>
        </w:rPr>
        <w:t>MEDIUM</w:t>
      </w:r>
      <w:r>
        <w:rPr>
          <w:rFonts w:ascii="Aptos" w:hAnsi="Aptos"/>
          <w:color w:val="000000"/>
          <w:sz w:val="22"/>
        </w:rPr>
        <w:t xml:space="preserve">, or </w:t>
      </w:r>
      <w:r>
        <w:rPr>
          <w:rFonts w:ascii="Consolas" w:hAnsi="Consolas"/>
          <w:color w:val="000000"/>
          <w:sz w:val="20"/>
        </w:rPr>
        <w:t>HIGH</w:t>
      </w:r>
      <w:r>
        <w:rPr>
          <w:rFonts w:ascii="Aptos" w:hAnsi="Aptos"/>
          <w:color w:val="000000"/>
          <w:sz w:val="22"/>
        </w:rPr>
        <w:t xml:space="preserve"> only.</w:t>
      </w:r>
    </w:p>
    <w:p>
      <w:pPr>
        <w:pStyle w:val="ListBullet"/>
      </w:pPr>
      <w:r>
        <w:rPr>
          <w:rFonts w:ascii="Aptos" w:hAnsi="Aptos"/>
          <w:color w:val="000000"/>
          <w:sz w:val="22"/>
        </w:rPr>
        <w:t>Bounds fall inside the expected Metro Manila region.</w:t>
      </w:r>
    </w:p>
    <w:p>
      <w:pPr>
        <w:pStyle w:val="ListBullet"/>
      </w:pPr>
      <w:r>
        <w:rPr>
          <w:rFonts w:ascii="Aptos" w:hAnsi="Aptos"/>
          <w:color w:val="000000"/>
          <w:sz w:val="22"/>
        </w:rPr>
        <w:t>Simplification does not create invalid/self-intersecting polygons.</w:t>
      </w:r>
    </w:p>
    <w:p>
      <w:pPr>
        <w:pStyle w:val="ListBullet"/>
      </w:pPr>
      <w:r>
        <w:rPr>
          <w:rFonts w:ascii="Aptos" w:hAnsi="Aptos"/>
          <w:color w:val="000000"/>
          <w:sz w:val="22"/>
        </w:rPr>
        <w:t>Sampled control points preserve their original class.</w:t>
      </w:r>
    </w:p>
    <w:p>
      <w:pPr>
        <w:pStyle w:val="ListBullet"/>
      </w:pPr>
      <w:r>
        <w:rPr>
          <w:rFonts w:ascii="Aptos" w:hAnsi="Aptos"/>
          <w:color w:val="000000"/>
          <w:sz w:val="22"/>
        </w:rPr>
        <w:t>Derived files match manifest hashes.</w:t>
      </w:r>
    </w:p>
    <w:p>
      <w:pPr>
        <w:pStyle w:val="ListBullet"/>
      </w:pPr>
      <w:r>
        <w:rPr>
          <w:rFonts w:ascii="Aptos" w:hAnsi="Aptos"/>
          <w:color w:val="000000"/>
          <w:sz w:val="22"/>
        </w:rPr>
        <w:t>The three layers can be selected, rendered, and queried entirely offline.</w:t>
      </w:r>
    </w:p>
    <w:p>
      <w:r>
        <w:rPr>
          <w:rFonts w:ascii="Aptos" w:hAnsi="Aptos"/>
          <w:color w:val="000000"/>
          <w:sz w:val="22"/>
        </w:rPr>
        <w:t xml:space="preserve">References: </w:t>
      </w:r>
      <w:hyperlink r:id="rId10">
        <w:r>
          <w:rPr>
            <w:color w:val="0563C1"/>
            <w:u w:val="single"/>
          </w:rPr>
          <w:t>UP NOAH Studio</w:t>
        </w:r>
      </w:hyperlink>
      <w:r>
        <w:rPr>
          <w:rFonts w:ascii="Aptos" w:hAnsi="Aptos"/>
          <w:color w:val="000000"/>
          <w:sz w:val="22"/>
        </w:rPr>
        <w:t xml:space="preserve"> and the </w:t>
      </w:r>
      <w:hyperlink r:id="rId11">
        <w:r>
          <w:rPr>
            <w:color w:val="0563C1"/>
            <w:u w:val="single"/>
          </w:rPr>
          <w:t>official NOAH 5-year ArcGIS layer</w:t>
        </w:r>
      </w:hyperlink>
      <w:r>
        <w:rPr>
          <w:rFonts w:ascii="Aptos" w:hAnsi="Aptos"/>
          <w:color w:val="000000"/>
          <w:sz w:val="22"/>
        </w:rPr>
        <w:t>.</w:t>
      </w:r>
    </w:p>
    <w:p>
      <w:pPr>
        <w:pStyle w:val="Heading1"/>
      </w:pPr>
      <w:r>
        <w:t>8. Route assessment and bridge correction</w:t>
      </w:r>
    </w:p>
    <w:p>
      <w:r>
        <w:rPr>
          <w:rFonts w:ascii="Aptos" w:hAnsi="Aptos"/>
          <w:color w:val="000000"/>
          <w:sz w:val="22"/>
        </w:rPr>
        <w:t>The legacy implementation flattened routes into two-dimensional line segments and assigned risk from overlapping flood polygons. A bridge drawn above flooded ground therefore inherited the ground-level red class. RutaRescue corrects this by evaluating road structure before applying ground hazard.</w:t>
      </w:r>
    </w:p>
    <w:p>
      <w:pPr>
        <w:pStyle w:val="Heading2"/>
      </w:pPr>
      <w:r>
        <w:t>Road structures</w:t>
      </w:r>
    </w:p>
    <w:p>
      <w:r>
        <w:rPr>
          <w:rFonts w:ascii="Aptos" w:hAnsi="Aptos"/>
          <w:color w:val="000000"/>
          <w:sz w:val="22"/>
        </w:rPr>
        <w:t>Every sampled route portion is classified as:</w:t>
      </w:r>
    </w:p>
    <w:p>
      <w:pPr>
        <w:pStyle w:val="ListBullet"/>
      </w:pPr>
      <w:r>
        <w:rPr>
          <w:rFonts w:ascii="Consolas" w:hAnsi="Consolas"/>
          <w:color w:val="000000"/>
          <w:sz w:val="20"/>
        </w:rPr>
        <w:t>SURFACE</w:t>
      </w:r>
    </w:p>
    <w:p>
      <w:pPr>
        <w:pStyle w:val="ListBullet"/>
      </w:pPr>
      <w:r>
        <w:rPr>
          <w:rFonts w:ascii="Consolas" w:hAnsi="Consolas"/>
          <w:color w:val="000000"/>
          <w:sz w:val="20"/>
        </w:rPr>
        <w:t>BRIDGE</w:t>
      </w:r>
    </w:p>
    <w:p>
      <w:pPr>
        <w:pStyle w:val="ListBullet"/>
      </w:pPr>
      <w:r>
        <w:rPr>
          <w:rFonts w:ascii="Consolas" w:hAnsi="Consolas"/>
          <w:color w:val="000000"/>
          <w:sz w:val="20"/>
        </w:rPr>
        <w:t>TUNNEL</w:t>
      </w:r>
    </w:p>
    <w:p>
      <w:pPr>
        <w:pStyle w:val="ListBullet"/>
      </w:pPr>
      <w:r>
        <w:rPr>
          <w:rFonts w:ascii="Consolas" w:hAnsi="Consolas"/>
          <w:color w:val="000000"/>
          <w:sz w:val="20"/>
        </w:rPr>
        <w:t>UNKNOWN</w:t>
      </w:r>
    </w:p>
    <w:p>
      <w:r>
        <w:rPr>
          <w:rFonts w:ascii="Aptos" w:hAnsi="Aptos"/>
          <w:color w:val="000000"/>
          <w:sz w:val="22"/>
        </w:rPr>
        <w:t>Prepared bridge/tunnel geometry and status records are versioned separately from the NOAH layers.</w:t>
      </w:r>
    </w:p>
    <w:p>
      <w:pPr>
        <w:pStyle w:val="Heading2"/>
      </w:pPr>
      <w:r>
        <w:t>Policy</w:t>
      </w:r>
    </w:p>
    <w:p>
      <w:pPr>
        <w:pStyle w:val="ListBullet"/>
      </w:pPr>
      <w:r>
        <w:rPr>
          <w:rFonts w:ascii="Aptos" w:hAnsi="Aptos"/>
          <w:color w:val="000000"/>
          <w:sz w:val="22"/>
        </w:rPr>
        <w:t>A surface road inherits the selected flood class.</w:t>
      </w:r>
    </w:p>
    <w:p>
      <w:pPr>
        <w:pStyle w:val="ListBullet"/>
      </w:pPr>
      <w:r>
        <w:rPr>
          <w:rFonts w:ascii="Aptos" w:hAnsi="Aptos"/>
          <w:color w:val="000000"/>
          <w:sz w:val="22"/>
        </w:rPr>
        <w:t>A bridge does not automatically inherit the flood depth below it.</w:t>
      </w:r>
    </w:p>
    <w:p>
      <w:pPr>
        <w:pStyle w:val="ListBullet"/>
      </w:pPr>
      <w:r>
        <w:rPr>
          <w:rFonts w:ascii="Aptos" w:hAnsi="Aptos"/>
          <w:color w:val="000000"/>
          <w:sz w:val="22"/>
        </w:rPr>
        <w:t>A bridge with verified closure or impact evidence is red/unavailable.</w:t>
      </w:r>
    </w:p>
    <w:p>
      <w:pPr>
        <w:pStyle w:val="ListBullet"/>
      </w:pPr>
      <w:r>
        <w:rPr>
          <w:rFonts w:ascii="Aptos" w:hAnsi="Aptos"/>
          <w:color w:val="000000"/>
          <w:sz w:val="22"/>
        </w:rPr>
        <w:t>A bridge above a flood zone with no verified passability is amber and labeled “Bridge passability unverified.”</w:t>
      </w:r>
    </w:p>
    <w:p>
      <w:pPr>
        <w:pStyle w:val="ListBullet"/>
      </w:pPr>
      <w:r>
        <w:rPr>
          <w:rFonts w:ascii="Aptos" w:hAnsi="Aptos"/>
          <w:color w:val="000000"/>
          <w:sz w:val="22"/>
        </w:rPr>
        <w:t>A bridge with fresh verified-open evidence may remain green, while still displaying the hazard below.</w:t>
      </w:r>
    </w:p>
    <w:p>
      <w:pPr>
        <w:pStyle w:val="ListBullet"/>
      </w:pPr>
      <w:r>
        <w:rPr>
          <w:rFonts w:ascii="Aptos" w:hAnsi="Aptos"/>
          <w:color w:val="000000"/>
          <w:sz w:val="22"/>
        </w:rPr>
        <w:t>A tunnel intersecting a flood zone is avoided/red unless authoritative evidence verifies it open.</w:t>
      </w:r>
    </w:p>
    <w:p>
      <w:pPr>
        <w:pStyle w:val="ListBullet"/>
      </w:pPr>
      <w:r>
        <w:rPr>
          <w:rFonts w:ascii="Aptos" w:hAnsi="Aptos"/>
          <w:color w:val="000000"/>
          <w:sz w:val="22"/>
        </w:rPr>
        <w:t>Unknown structures do not silently become green.</w:t>
      </w:r>
    </w:p>
    <w:p>
      <w:pPr>
        <w:pStyle w:val="Heading2"/>
      </w:pPr>
      <w:r>
        <w:t>Calculation</w:t>
      </w:r>
    </w:p>
    <w:p>
      <w:r>
        <w:rPr>
          <w:rFonts w:ascii="Aptos" w:hAnsi="Aptos"/>
          <w:color w:val="000000"/>
          <w:sz w:val="22"/>
        </w:rPr>
        <w:t>Each route is decoded into ordered segments and sampled at a fixed distance. For each sample, the engine checks explicit closure/status evidence, road structure, then the selected NOAH grid class. It aggregates exposure by distance instead of using only a segment midpoint.</w:t>
      </w:r>
    </w:p>
    <w:p>
      <w:r>
        <w:rPr>
          <w:rFonts w:ascii="Aptos" w:hAnsi="Aptos"/>
          <w:color w:val="000000"/>
          <w:sz w:val="22"/>
        </w:rPr>
        <w:t>Alternatives are ranked lexicographically by:</w:t>
      </w:r>
    </w:p>
    <w:p>
      <w:pPr>
        <w:ind w:left="432" w:hanging="432"/>
      </w:pPr>
      <w:r>
        <w:rPr>
          <w:rFonts w:ascii="Aptos" w:hAnsi="Aptos"/>
          <w:color w:val="000000"/>
          <w:sz w:val="22"/>
        </w:rPr>
        <w:t xml:space="preserve">1.  </w:t>
      </w:r>
      <w:r>
        <w:rPr>
          <w:rFonts w:ascii="Aptos" w:hAnsi="Aptos"/>
          <w:color w:val="000000"/>
          <w:sz w:val="22"/>
        </w:rPr>
        <w:t>Explicit closure or confirmed impassability.</w:t>
      </w:r>
    </w:p>
    <w:p>
      <w:pPr>
        <w:ind w:left="432" w:hanging="432"/>
      </w:pPr>
      <w:r>
        <w:rPr>
          <w:rFonts w:ascii="Aptos" w:hAnsi="Aptos"/>
          <w:color w:val="000000"/>
          <w:sz w:val="22"/>
        </w:rPr>
        <w:t xml:space="preserve">2.  </w:t>
      </w:r>
      <w:r>
        <w:rPr>
          <w:rFonts w:ascii="Aptos" w:hAnsi="Aptos"/>
          <w:color w:val="000000"/>
          <w:sz w:val="22"/>
        </w:rPr>
        <w:t>Maximum applicable hazard severity.</w:t>
      </w:r>
    </w:p>
    <w:p>
      <w:pPr>
        <w:ind w:left="432" w:hanging="432"/>
      </w:pPr>
      <w:r>
        <w:rPr>
          <w:rFonts w:ascii="Aptos" w:hAnsi="Aptos"/>
          <w:color w:val="000000"/>
          <w:sz w:val="22"/>
        </w:rPr>
        <w:t xml:space="preserve">3.  </w:t>
      </w:r>
      <w:r>
        <w:rPr>
          <w:rFonts w:ascii="Aptos" w:hAnsi="Aptos"/>
          <w:color w:val="000000"/>
          <w:sz w:val="22"/>
        </w:rPr>
        <w:t>Total distance exposed to flood hazard.</w:t>
      </w:r>
    </w:p>
    <w:p>
      <w:pPr>
        <w:ind w:left="432" w:hanging="432"/>
      </w:pPr>
      <w:r>
        <w:rPr>
          <w:rFonts w:ascii="Aptos" w:hAnsi="Aptos"/>
          <w:color w:val="000000"/>
          <w:sz w:val="22"/>
        </w:rPr>
        <w:t xml:space="preserve">4.  </w:t>
      </w:r>
      <w:r>
        <w:rPr>
          <w:rFonts w:ascii="Aptos" w:hAnsi="Aptos"/>
          <w:color w:val="000000"/>
          <w:sz w:val="22"/>
        </w:rPr>
        <w:t>Total distance on unverified bridges/structures.</w:t>
      </w:r>
    </w:p>
    <w:p>
      <w:pPr>
        <w:ind w:left="432" w:hanging="432"/>
      </w:pPr>
      <w:r>
        <w:rPr>
          <w:rFonts w:ascii="Aptos" w:hAnsi="Aptos"/>
          <w:color w:val="000000"/>
          <w:sz w:val="22"/>
        </w:rPr>
        <w:t xml:space="preserve">5.  </w:t>
      </w:r>
      <w:r>
        <w:rPr>
          <w:rFonts w:ascii="Aptos" w:hAnsi="Aptos"/>
          <w:color w:val="000000"/>
          <w:sz w:val="22"/>
        </w:rPr>
        <w:t>Live travel time, or clearly labeled cached/provider time if live traffic is unavailable.</w:t>
      </w:r>
    </w:p>
    <w:p>
      <w:r>
        <w:rPr>
          <w:rFonts w:ascii="Aptos" w:hAnsi="Aptos"/>
          <w:color w:val="000000"/>
          <w:sz w:val="22"/>
        </w:rPr>
        <w:t xml:space="preserve">No time saving can outrank a confirmed closure or a more severe hazard. The explanation object produced by </w:t>
      </w:r>
      <w:r>
        <w:rPr>
          <w:rFonts w:ascii="Consolas" w:hAnsi="Consolas"/>
          <w:color w:val="000000"/>
          <w:sz w:val="20"/>
        </w:rPr>
        <w:t>RiskEngine</w:t>
      </w:r>
      <w:r>
        <w:rPr>
          <w:rFonts w:ascii="Aptos" w:hAnsi="Aptos"/>
          <w:color w:val="000000"/>
          <w:sz w:val="22"/>
        </w:rPr>
        <w:t xml:space="preserve"> is displayed to the user and is unit-testable without Android or network dependencies.</w:t>
      </w:r>
    </w:p>
    <w:p>
      <w:pPr>
        <w:pStyle w:val="Heading1"/>
      </w:pPr>
      <w:r>
        <w:t>9. Persistence and Lab requirements</w:t>
      </w:r>
    </w:p>
    <w:p>
      <w:r>
        <w:rPr>
          <w:rFonts w:ascii="Aptos" w:hAnsi="Aptos"/>
          <w:color w:val="000000"/>
          <w:sz w:val="22"/>
        </w:rPr>
        <w:t>The richer Firestore/local model is the primary application model. Lab formats remain functional through import/export compatibility:</w:t>
      </w:r>
    </w:p>
    <w:p>
      <w:pPr>
        <w:pStyle w:val="ListBullet"/>
      </w:pPr>
      <w:r>
        <w:rPr>
          <w:rFonts w:ascii="Consolas" w:hAnsi="Consolas"/>
          <w:color w:val="000000"/>
          <w:sz w:val="20"/>
        </w:rPr>
        <w:t>family_records.txt</w:t>
      </w:r>
      <w:r>
        <w:rPr>
          <w:rFonts w:ascii="Aptos" w:hAnsi="Aptos"/>
          <w:color w:val="000000"/>
          <w:sz w:val="22"/>
        </w:rPr>
        <w:t>: UTF-8 pipe-delimited legacy family rows.</w:t>
      </w:r>
    </w:p>
    <w:p>
      <w:pPr>
        <w:pStyle w:val="ListBullet"/>
      </w:pPr>
      <w:r>
        <w:rPr>
          <w:rFonts w:ascii="Consolas" w:hAnsi="Consolas"/>
          <w:color w:val="000000"/>
          <w:sz w:val="20"/>
        </w:rPr>
        <w:t>system.dat</w:t>
      </w:r>
      <w:r>
        <w:rPr>
          <w:rFonts w:ascii="Aptos" w:hAnsi="Aptos"/>
          <w:color w:val="000000"/>
          <w:sz w:val="22"/>
        </w:rPr>
        <w:t>: binary last-record number, total saved, application version, and autosave state.</w:t>
      </w:r>
    </w:p>
    <w:p>
      <w:r>
        <w:rPr>
          <w:rFonts w:ascii="Aptos" w:hAnsi="Aptos"/>
          <w:color w:val="000000"/>
          <w:sz w:val="22"/>
        </w:rPr>
        <w:t>Compatibility behavior preserves the Lab 5–7 requirements:</w:t>
      </w:r>
    </w:p>
    <w:p>
      <w:pPr>
        <w:pStyle w:val="ListBullet"/>
      </w:pPr>
      <w:r>
        <w:rPr>
          <w:rFonts w:ascii="Aptos" w:hAnsi="Aptos"/>
          <w:color w:val="000000"/>
          <w:sz w:val="22"/>
        </w:rPr>
        <w:t>Try-with-resources and explicit exception paths.</w:t>
      </w:r>
    </w:p>
    <w:p>
      <w:pPr>
        <w:pStyle w:val="ListBullet"/>
      </w:pPr>
      <w:r>
        <w:rPr>
          <w:rFonts w:ascii="Aptos" w:hAnsi="Aptos"/>
          <w:color w:val="000000"/>
          <w:sz w:val="22"/>
        </w:rPr>
        <w:t>Safe defaults for missing files.</w:t>
      </w:r>
    </w:p>
    <w:p>
      <w:pPr>
        <w:pStyle w:val="ListBullet"/>
      </w:pPr>
      <w:r>
        <w:rPr>
          <w:rFonts w:ascii="Aptos" w:hAnsi="Aptos"/>
          <w:color w:val="000000"/>
          <w:sz w:val="22"/>
        </w:rPr>
        <w:t>Graceful handling of malformed rows and truncated binary files.</w:t>
      </w:r>
    </w:p>
    <w:p>
      <w:pPr>
        <w:pStyle w:val="ListBullet"/>
      </w:pPr>
      <w:r>
        <w:rPr>
          <w:rFonts w:ascii="Aptos" w:hAnsi="Aptos"/>
          <w:color w:val="000000"/>
          <w:sz w:val="22"/>
        </w:rPr>
        <w:t>No loss of valid in-memory records when saving fails.</w:t>
      </w:r>
    </w:p>
    <w:p>
      <w:pPr>
        <w:pStyle w:val="ListBullet"/>
      </w:pPr>
      <w:r>
        <w:rPr>
          <w:rFonts w:ascii="Aptos" w:hAnsi="Aptos"/>
          <w:color w:val="000000"/>
          <w:sz w:val="22"/>
        </w:rPr>
        <w:t>Validation before persistence.</w:t>
      </w:r>
    </w:p>
    <w:p>
      <w:pPr>
        <w:pStyle w:val="ListBullet"/>
      </w:pPr>
      <w:r>
        <w:rPr>
          <w:rFonts w:ascii="Aptos" w:hAnsi="Aptos"/>
          <w:color w:val="000000"/>
          <w:sz w:val="22"/>
        </w:rPr>
        <w:t>Duplicate-ID detection.</w:t>
      </w:r>
    </w:p>
    <w:p>
      <w:pPr>
        <w:pStyle w:val="ListBullet"/>
      </w:pPr>
      <w:r>
        <w:rPr>
          <w:rFonts w:ascii="Aptos" w:hAnsi="Aptos"/>
          <w:color w:val="000000"/>
          <w:sz w:val="22"/>
        </w:rPr>
        <w:t>Atomic write to a temporary sibling followed by replacement.</w:t>
      </w:r>
    </w:p>
    <w:p>
      <w:r>
        <w:rPr>
          <w:rFonts w:ascii="Aptos" w:hAnsi="Aptos"/>
          <w:color w:val="000000"/>
          <w:sz w:val="22"/>
        </w:rPr>
        <w:t xml:space="preserve">Legacy IDs match </w:t>
      </w:r>
      <w:r>
        <w:rPr>
          <w:rFonts w:ascii="Consolas" w:hAnsi="Consolas"/>
          <w:color w:val="000000"/>
          <w:sz w:val="20"/>
        </w:rPr>
        <w:t>[A-Za-z]+-[0-9]{4}</w:t>
      </w:r>
      <w:r>
        <w:rPr>
          <w:rFonts w:ascii="Aptos" w:hAnsi="Aptos"/>
          <w:color w:val="000000"/>
          <w:sz w:val="22"/>
        </w:rPr>
        <w:t xml:space="preserve">. Phone numbers normalize spaces and hyphens before matching </w:t>
      </w:r>
      <w:r>
        <w:rPr>
          <w:rFonts w:ascii="Consolas" w:hAnsi="Consolas"/>
          <w:color w:val="000000"/>
          <w:sz w:val="20"/>
        </w:rPr>
        <w:t>09[0-9]{9}</w:t>
      </w:r>
      <w:r>
        <w:rPr>
          <w:rFonts w:ascii="Aptos" w:hAnsi="Aptos"/>
          <w:color w:val="000000"/>
          <w:sz w:val="22"/>
        </w:rPr>
        <w:t>. Required text rejects pipes and control characters. Imported family size is 1–100 and must agree with the reconstructed member count or be flagged for correction.</w:t>
      </w:r>
    </w:p>
    <w:p>
      <w:pPr>
        <w:pStyle w:val="Heading1"/>
      </w:pPr>
      <w:r>
        <w:t>10. OOP Java alignment</w:t>
      </w:r>
    </w:p>
    <w:p>
      <w:r>
        <w:rPr>
          <w:rFonts w:ascii="Aptos" w:hAnsi="Aptos"/>
          <w:color w:val="000000"/>
          <w:sz w:val="22"/>
        </w:rPr>
        <w:t>The application demonstrates course outcomes in production behavior rather than isolated examples:</w:t>
      </w:r>
    </w:p>
    <w:p>
      <w:pPr>
        <w:pStyle w:val="ListBullet"/>
      </w:pPr>
      <w:r>
        <w:rPr>
          <w:rFonts w:ascii="Aptos" w:hAnsi="Aptos"/>
          <w:b/>
          <w:color w:val="000000"/>
          <w:sz w:val="22"/>
        </w:rPr>
        <w:t>Encapsulation:</w:t>
      </w:r>
      <w:r>
        <w:rPr>
          <w:rFonts w:ascii="Aptos" w:hAnsi="Aptos"/>
          <w:color w:val="000000"/>
          <w:sz w:val="22"/>
        </w:rPr>
        <w:t xml:space="preserve"> private model state with validated construction and controlled updates.</w:t>
      </w:r>
    </w:p>
    <w:p>
      <w:pPr>
        <w:pStyle w:val="ListBullet"/>
      </w:pPr>
      <w:r>
        <w:rPr>
          <w:rFonts w:ascii="Aptos" w:hAnsi="Aptos"/>
          <w:b/>
          <w:color w:val="000000"/>
          <w:sz w:val="22"/>
        </w:rPr>
        <w:t>Inheritance:</w:t>
      </w:r>
      <w:r>
        <w:rPr>
          <w:rFonts w:ascii="Aptos" w:hAnsi="Aptos"/>
          <w:color w:val="000000"/>
          <w:sz w:val="22"/>
        </w:rPr>
        <w:t xml:space="preserve"> shared auditable entity behavior and specialized user/application types only where substitutability is valid.</w:t>
      </w:r>
    </w:p>
    <w:p>
      <w:pPr>
        <w:pStyle w:val="ListBullet"/>
      </w:pPr>
      <w:r>
        <w:rPr>
          <w:rFonts w:ascii="Aptos" w:hAnsi="Aptos"/>
          <w:b/>
          <w:color w:val="000000"/>
          <w:sz w:val="22"/>
        </w:rPr>
        <w:t>Polymorphism:</w:t>
      </w:r>
      <w:r>
        <w:rPr>
          <w:rFonts w:ascii="Aptos" w:hAnsi="Aptos"/>
          <w:color w:val="000000"/>
          <w:sz w:val="22"/>
        </w:rPr>
        <w:t xml:space="preserve"> repository, route-provider, risk-rule, and storage interfaces with online/offline implementations.</w:t>
      </w:r>
    </w:p>
    <w:p>
      <w:pPr>
        <w:pStyle w:val="ListBullet"/>
      </w:pPr>
      <w:r>
        <w:rPr>
          <w:rFonts w:ascii="Aptos" w:hAnsi="Aptos"/>
          <w:b/>
          <w:color w:val="000000"/>
          <w:sz w:val="22"/>
        </w:rPr>
        <w:t>Abstraction:</w:t>
      </w:r>
      <w:r>
        <w:rPr>
          <w:rFonts w:ascii="Aptos" w:hAnsi="Aptos"/>
          <w:color w:val="000000"/>
          <w:sz w:val="22"/>
        </w:rPr>
        <w:t xml:space="preserve"> controllers call use cases rather than Firebase or HTTP clients directly.</w:t>
      </w:r>
    </w:p>
    <w:p>
      <w:pPr>
        <w:pStyle w:val="ListBullet"/>
      </w:pPr>
      <w:r>
        <w:rPr>
          <w:rFonts w:ascii="Aptos" w:hAnsi="Aptos"/>
          <w:b/>
          <w:color w:val="000000"/>
          <w:sz w:val="22"/>
        </w:rPr>
        <w:t>File I/O and streams:</w:t>
      </w:r>
      <w:r>
        <w:rPr>
          <w:rFonts w:ascii="Aptos" w:hAnsi="Aptos"/>
          <w:color w:val="000000"/>
          <w:sz w:val="22"/>
        </w:rPr>
        <w:t xml:space="preserve"> legacy import/export and processed asset readers.</w:t>
      </w:r>
    </w:p>
    <w:p>
      <w:pPr>
        <w:pStyle w:val="ListBullet"/>
      </w:pPr>
      <w:r>
        <w:rPr>
          <w:rFonts w:ascii="Aptos" w:hAnsi="Aptos"/>
          <w:b/>
          <w:color w:val="000000"/>
          <w:sz w:val="22"/>
        </w:rPr>
        <w:t>Exception handling:</w:t>
      </w:r>
      <w:r>
        <w:rPr>
          <w:rFonts w:ascii="Aptos" w:hAnsi="Aptos"/>
          <w:color w:val="000000"/>
          <w:sz w:val="22"/>
        </w:rPr>
        <w:t xml:space="preserve"> domain validation exceptions, recoverable network/cache errors, malformed import reporting, and atomic-save failures.</w:t>
      </w:r>
    </w:p>
    <w:p>
      <w:pPr>
        <w:pStyle w:val="ListBullet"/>
      </w:pPr>
      <w:r>
        <w:rPr>
          <w:rFonts w:ascii="Aptos" w:hAnsi="Aptos"/>
          <w:b/>
          <w:color w:val="000000"/>
          <w:sz w:val="22"/>
        </w:rPr>
        <w:t>Strings and regular expressions:</w:t>
      </w:r>
      <w:r>
        <w:rPr>
          <w:rFonts w:ascii="Aptos" w:hAnsi="Aptos"/>
          <w:color w:val="000000"/>
          <w:sz w:val="22"/>
        </w:rPr>
        <w:t xml:space="preserve"> canonical IDs, phone normalization, names, and safe text validation.</w:t>
      </w:r>
    </w:p>
    <w:p>
      <w:pPr>
        <w:pStyle w:val="ListBullet"/>
      </w:pPr>
      <w:r>
        <w:rPr>
          <w:rFonts w:ascii="Aptos" w:hAnsi="Aptos"/>
          <w:b/>
          <w:color w:val="000000"/>
          <w:sz w:val="22"/>
        </w:rPr>
        <w:t>Multithreading:</w:t>
      </w:r>
      <w:r>
        <w:rPr>
          <w:rFonts w:ascii="Aptos" w:hAnsi="Aptos"/>
          <w:color w:val="000000"/>
          <w:sz w:val="22"/>
        </w:rPr>
        <w:t xml:space="preserve"> background network/file work with lifecycle-safe UI updates and WorkManager refresh.</w:t>
      </w:r>
    </w:p>
    <w:p>
      <w:pPr>
        <w:pStyle w:val="ListBullet"/>
      </w:pPr>
      <w:r>
        <w:rPr>
          <w:rFonts w:ascii="Aptos" w:hAnsi="Aptos"/>
          <w:b/>
          <w:color w:val="000000"/>
          <w:sz w:val="22"/>
        </w:rPr>
        <w:t>MVC and events:</w:t>
      </w:r>
      <w:r>
        <w:rPr>
          <w:rFonts w:ascii="Aptos" w:hAnsi="Aptos"/>
          <w:color w:val="000000"/>
          <w:sz w:val="22"/>
        </w:rPr>
        <w:t xml:space="preserve"> XML views, Java controllers, domain/repository model, and user-event handlers.</w:t>
      </w:r>
    </w:p>
    <w:p>
      <w:pPr>
        <w:pStyle w:val="Heading1"/>
      </w:pPr>
      <w:r>
        <w:t>11. Offline and freshness behavior</w:t>
      </w:r>
    </w:p>
    <w:p>
      <w:r>
        <w:rPr>
          <w:rFonts w:ascii="Aptos" w:hAnsi="Aptos"/>
          <w:color w:val="000000"/>
          <w:sz w:val="22"/>
        </w:rPr>
        <w:t>Offline operation includes family records, previously synchronized advisories/applications, verified centers, all prepared flood scenarios, and reopening cached routes. Search and new routing that require TomTom are disabled with an explanation. The app never labels cached traffic as live and never fabricates current flood conditions.</w:t>
      </w:r>
    </w:p>
    <w:p>
      <w:r>
        <w:rPr>
          <w:rFonts w:ascii="Aptos" w:hAnsi="Aptos"/>
          <w:color w:val="000000"/>
          <w:sz w:val="22"/>
        </w:rPr>
        <w:t>Each decision-relevant record includes source, scenario, version, and timestamp. Stale information remains usable where safe but is visibly marked.</w:t>
      </w:r>
    </w:p>
    <w:p>
      <w:pPr>
        <w:pStyle w:val="Heading1"/>
      </w:pPr>
      <w:r>
        <w:t>12. Privacy and security</w:t>
      </w:r>
    </w:p>
    <w:p>
      <w:pPr>
        <w:pStyle w:val="ListBullet"/>
      </w:pPr>
      <w:r>
        <w:rPr>
          <w:rFonts w:ascii="Aptos" w:hAnsi="Aptos"/>
          <w:color w:val="000000"/>
          <w:sz w:val="22"/>
        </w:rPr>
        <w:t>Collect only information required for evacuation assistance.</w:t>
      </w:r>
    </w:p>
    <w:p>
      <w:pPr>
        <w:pStyle w:val="ListBullet"/>
      </w:pPr>
      <w:r>
        <w:rPr>
          <w:rFonts w:ascii="Aptos" w:hAnsi="Aptos"/>
          <w:color w:val="000000"/>
          <w:sz w:val="22"/>
        </w:rPr>
        <w:t>Use synthetic/demo proof images; do not use real government IDs or medical documents in the class demonstration.</w:t>
      </w:r>
    </w:p>
    <w:p>
      <w:pPr>
        <w:pStyle w:val="ListBullet"/>
      </w:pPr>
      <w:r>
        <w:rPr>
          <w:rFonts w:ascii="Aptos" w:hAnsi="Aptos"/>
          <w:color w:val="000000"/>
          <w:sz w:val="22"/>
        </w:rPr>
        <w:t>Store only an opaque application ID in QR codes.</w:t>
      </w:r>
    </w:p>
    <w:p>
      <w:pPr>
        <w:pStyle w:val="ListBullet"/>
      </w:pPr>
      <w:r>
        <w:rPr>
          <w:rFonts w:ascii="Aptos" w:hAnsi="Aptos"/>
          <w:color w:val="000000"/>
          <w:sz w:val="22"/>
        </w:rPr>
        <w:t>Residents can read/write their own family/application data.</w:t>
      </w:r>
    </w:p>
    <w:p>
      <w:pPr>
        <w:pStyle w:val="ListBullet"/>
      </w:pPr>
      <w:r>
        <w:rPr>
          <w:rFonts w:ascii="Aptos" w:hAnsi="Aptos"/>
          <w:color w:val="000000"/>
          <w:sz w:val="22"/>
        </w:rPr>
        <w:t>LGU users can access only assigned-jurisdiction review data.</w:t>
      </w:r>
    </w:p>
    <w:p>
      <w:pPr>
        <w:pStyle w:val="ListBullet"/>
      </w:pPr>
      <w:r>
        <w:rPr>
          <w:rFonts w:ascii="Aptos" w:hAnsi="Aptos"/>
          <w:color w:val="000000"/>
          <w:sz w:val="22"/>
        </w:rPr>
        <w:t>Public center/advisory reads are separated from LGU-only writes.</w:t>
      </w:r>
    </w:p>
    <w:p>
      <w:pPr>
        <w:pStyle w:val="ListBullet"/>
      </w:pPr>
      <w:r>
        <w:rPr>
          <w:rFonts w:ascii="Aptos" w:hAnsi="Aptos"/>
          <w:color w:val="000000"/>
          <w:sz w:val="22"/>
        </w:rPr>
        <w:t>Storage rules restrict owner upload/read, accepted MIME types, and file size.</w:t>
      </w:r>
    </w:p>
    <w:p>
      <w:pPr>
        <w:pStyle w:val="ListBullet"/>
      </w:pPr>
      <w:r>
        <w:rPr>
          <w:rFonts w:ascii="Aptos" w:hAnsi="Aptos"/>
          <w:color w:val="000000"/>
          <w:sz w:val="22"/>
        </w:rPr>
        <w:t>Logs and analytics exclude names, phone numbers, addresses, proof URLs, and precise saved locations.</w:t>
      </w:r>
    </w:p>
    <w:p>
      <w:pPr>
        <w:pStyle w:val="ListBullet"/>
      </w:pPr>
      <w:r>
        <w:rPr>
          <w:rFonts w:ascii="Aptos" w:hAnsi="Aptos"/>
          <w:color w:val="000000"/>
          <w:sz w:val="22"/>
        </w:rPr>
        <w:t>Secrets and private configuration stay outside version control.</w:t>
      </w:r>
    </w:p>
    <w:p>
      <w:pPr>
        <w:pStyle w:val="Heading1"/>
      </w:pPr>
      <w:r>
        <w:t>13. Acceptance journeys</w:t>
      </w:r>
    </w:p>
    <w:p>
      <w:r>
        <w:rPr>
          <w:rFonts w:ascii="Aptos" w:hAnsi="Aptos"/>
          <w:color w:val="000000"/>
          <w:sz w:val="22"/>
        </w:rPr>
        <w:t>The final demonstration must complete these end-to-end journeys:</w:t>
      </w:r>
    </w:p>
    <w:p>
      <w:pPr>
        <w:ind w:left="432" w:hanging="432"/>
      </w:pPr>
      <w:r>
        <w:rPr>
          <w:rFonts w:ascii="Aptos" w:hAnsi="Aptos"/>
          <w:color w:val="000000"/>
          <w:sz w:val="22"/>
        </w:rPr>
        <w:t xml:space="preserve">1.  </w:t>
      </w:r>
      <w:r>
        <w:rPr>
          <w:rFonts w:ascii="Aptos" w:hAnsi="Aptos"/>
          <w:color w:val="000000"/>
          <w:sz w:val="22"/>
        </w:rPr>
        <w:t>Resident registration/sign-in, family-record creation, restart, and successful reconstruction.</w:t>
      </w:r>
    </w:p>
    <w:p>
      <w:pPr>
        <w:ind w:left="432" w:hanging="432"/>
      </w:pPr>
      <w:r>
        <w:rPr>
          <w:rFonts w:ascii="Aptos" w:hAnsi="Aptos"/>
          <w:color w:val="000000"/>
          <w:sz w:val="22"/>
        </w:rPr>
        <w:t xml:space="preserve">2.  </w:t>
      </w:r>
      <w:r>
        <w:rPr>
          <w:rFonts w:ascii="Aptos" w:hAnsi="Aptos"/>
          <w:color w:val="000000"/>
          <w:sz w:val="22"/>
        </w:rPr>
        <w:t>Switching among 5-, 25-, and 100-year NOAH layers while offline.</w:t>
      </w:r>
    </w:p>
    <w:p>
      <w:pPr>
        <w:ind w:left="432" w:hanging="432"/>
      </w:pPr>
      <w:r>
        <w:rPr>
          <w:rFonts w:ascii="Aptos" w:hAnsi="Aptos"/>
          <w:color w:val="000000"/>
          <w:sz w:val="22"/>
        </w:rPr>
        <w:t xml:space="preserve">3.  </w:t>
      </w:r>
      <w:r>
        <w:rPr>
          <w:rFonts w:ascii="Aptos" w:hAnsi="Aptos"/>
          <w:color w:val="000000"/>
          <w:sz w:val="22"/>
        </w:rPr>
        <w:t>Destination/center search, three route alternatives, travel-mode selection, risk ranking, and saved quick-access location.</w:t>
      </w:r>
    </w:p>
    <w:p>
      <w:pPr>
        <w:ind w:left="432" w:hanging="432"/>
      </w:pPr>
      <w:r>
        <w:rPr>
          <w:rFonts w:ascii="Aptos" w:hAnsi="Aptos"/>
          <w:color w:val="000000"/>
          <w:sz w:val="22"/>
        </w:rPr>
        <w:t xml:space="preserve">4.  </w:t>
      </w:r>
      <w:r>
        <w:rPr>
          <w:rFonts w:ascii="Aptos" w:hAnsi="Aptos"/>
          <w:color w:val="000000"/>
          <w:sz w:val="22"/>
        </w:rPr>
        <w:t>Bridge regression: the same high-hazard ground crossing is red as a surface road, amber as an unverified bridge, and red when the bridge is explicitly closed.</w:t>
      </w:r>
    </w:p>
    <w:p>
      <w:pPr>
        <w:ind w:left="432" w:hanging="432"/>
      </w:pPr>
      <w:r>
        <w:rPr>
          <w:rFonts w:ascii="Aptos" w:hAnsi="Aptos"/>
          <w:color w:val="000000"/>
          <w:sz w:val="22"/>
        </w:rPr>
        <w:t xml:space="preserve">5.  </w:t>
      </w:r>
      <w:r>
        <w:rPr>
          <w:rFonts w:ascii="Aptos" w:hAnsi="Aptos"/>
          <w:color w:val="000000"/>
          <w:sz w:val="22"/>
        </w:rPr>
        <w:t>Center search/filter/details with verification source and no false live-capacity claim.</w:t>
      </w:r>
    </w:p>
    <w:p>
      <w:pPr>
        <w:ind w:left="432" w:hanging="432"/>
      </w:pPr>
      <w:r>
        <w:rPr>
          <w:rFonts w:ascii="Aptos" w:hAnsi="Aptos"/>
          <w:color w:val="000000"/>
          <w:sz w:val="22"/>
        </w:rPr>
        <w:t xml:space="preserve">6.  </w:t>
      </w:r>
      <w:r>
        <w:rPr>
          <w:rFonts w:ascii="Aptos" w:hAnsi="Aptos"/>
          <w:color w:val="000000"/>
          <w:sz w:val="22"/>
        </w:rPr>
        <w:t>Ligtas submission with synthetic proof, LGU review, approval/rejection reason, audit entry, and approved QR verification.</w:t>
      </w:r>
    </w:p>
    <w:p>
      <w:pPr>
        <w:ind w:left="432" w:hanging="432"/>
      </w:pPr>
      <w:r>
        <w:rPr>
          <w:rFonts w:ascii="Aptos" w:hAnsi="Aptos"/>
          <w:color w:val="000000"/>
          <w:sz w:val="22"/>
        </w:rPr>
        <w:t xml:space="preserve">7.  </w:t>
      </w:r>
      <w:r>
        <w:rPr>
          <w:rFonts w:ascii="Aptos" w:hAnsi="Aptos"/>
          <w:color w:val="000000"/>
          <w:sz w:val="22"/>
        </w:rPr>
        <w:t>LGU advisory and center update synchronized to a resident; cached copy remains readable offline.</w:t>
      </w:r>
    </w:p>
    <w:p>
      <w:pPr>
        <w:ind w:left="432" w:hanging="432"/>
      </w:pPr>
      <w:r>
        <w:rPr>
          <w:rFonts w:ascii="Aptos" w:hAnsi="Aptos"/>
          <w:color w:val="000000"/>
          <w:sz w:val="22"/>
        </w:rPr>
        <w:t xml:space="preserve">8.  </w:t>
      </w:r>
      <w:r>
        <w:rPr>
          <w:rFonts w:ascii="Aptos" w:hAnsi="Aptos"/>
          <w:color w:val="000000"/>
          <w:sz w:val="22"/>
        </w:rPr>
        <w:t>Legacy text/binary import/export, malformed-row recovery, duplicate rejection, Unicode names, and atomic save.</w:t>
      </w:r>
    </w:p>
    <w:p>
      <w:pPr>
        <w:ind w:left="432" w:hanging="432"/>
      </w:pPr>
      <w:r>
        <w:rPr>
          <w:rFonts w:ascii="Aptos" w:hAnsi="Aptos"/>
          <w:color w:val="000000"/>
          <w:sz w:val="22"/>
        </w:rPr>
        <w:t xml:space="preserve">9.  </w:t>
      </w:r>
      <w:r>
        <w:rPr>
          <w:rFonts w:ascii="Aptos" w:hAnsi="Aptos"/>
          <w:color w:val="000000"/>
          <w:sz w:val="22"/>
        </w:rPr>
        <w:t>Security-rule tests prove that resident-to-resident access and unauthorized LGU writes are denied.</w:t>
      </w:r>
    </w:p>
    <w:p>
      <w:pPr>
        <w:pStyle w:val="Heading1"/>
      </w:pPr>
      <w:r>
        <w:t>14. Explicit non-goals for this delivery</w:t>
      </w:r>
    </w:p>
    <w:p>
      <w:pPr>
        <w:pStyle w:val="ListBullet"/>
      </w:pPr>
      <w:r>
        <w:rPr>
          <w:rFonts w:ascii="Aptos" w:hAnsi="Aptos"/>
          <w:color w:val="000000"/>
          <w:sz w:val="22"/>
        </w:rPr>
        <w:t>Rescue dispatch or emergency-service replacement.</w:t>
      </w:r>
    </w:p>
    <w:p>
      <w:pPr>
        <w:pStyle w:val="ListBullet"/>
      </w:pPr>
      <w:r>
        <w:rPr>
          <w:rFonts w:ascii="Aptos" w:hAnsi="Aptos"/>
          <w:color w:val="000000"/>
          <w:sz w:val="22"/>
        </w:rPr>
        <w:t>Exact flood prediction or live flood-sensor ingestion.</w:t>
      </w:r>
    </w:p>
    <w:p>
      <w:pPr>
        <w:pStyle w:val="ListBullet"/>
      </w:pPr>
      <w:r>
        <w:rPr>
          <w:rFonts w:ascii="Aptos" w:hAnsi="Aptos"/>
          <w:color w:val="000000"/>
          <w:sz w:val="22"/>
        </w:rPr>
        <w:t>Guaranteed-safe navigation.</w:t>
      </w:r>
    </w:p>
    <w:p>
      <w:pPr>
        <w:pStyle w:val="ListBullet"/>
      </w:pPr>
      <w:r>
        <w:rPr>
          <w:rFonts w:ascii="Aptos" w:hAnsi="Aptos"/>
          <w:color w:val="000000"/>
          <w:sz w:val="22"/>
        </w:rPr>
        <w:t>Live evacuation-center occupancy/capacity.</w:t>
      </w:r>
    </w:p>
    <w:p>
      <w:pPr>
        <w:pStyle w:val="ListBullet"/>
      </w:pPr>
      <w:r>
        <w:rPr>
          <w:rFonts w:ascii="Aptos" w:hAnsi="Aptos"/>
          <w:color w:val="000000"/>
          <w:sz w:val="22"/>
        </w:rPr>
        <w:t>Background voice turn-by-turn navigation.</w:t>
      </w:r>
    </w:p>
    <w:p>
      <w:pPr>
        <w:pStyle w:val="ListBullet"/>
      </w:pPr>
      <w:r>
        <w:rPr>
          <w:rFonts w:ascii="Aptos" w:hAnsi="Aptos"/>
          <w:color w:val="000000"/>
          <w:sz w:val="22"/>
        </w:rPr>
        <w:t>Real identity/medical proof collection.</w:t>
      </w:r>
    </w:p>
    <w:p>
      <w:pPr>
        <w:pStyle w:val="ListBullet"/>
      </w:pPr>
      <w:r>
        <w:rPr>
          <w:rFonts w:ascii="Aptos" w:hAnsi="Aptos"/>
          <w:color w:val="000000"/>
          <w:sz w:val="22"/>
        </w:rPr>
        <w:t>A retained custom Python or Java backend.</w:t>
      </w:r>
    </w:p>
    <w:p>
      <w:pPr>
        <w:pStyle w:val="Heading1"/>
      </w:pPr>
      <w:r>
        <w:t>15. Design decisions requiring final acknowledgment</w:t>
      </w:r>
    </w:p>
    <w:p>
      <w:r>
        <w:rPr>
          <w:rFonts w:ascii="Aptos" w:hAnsi="Aptos"/>
          <w:color w:val="000000"/>
          <w:sz w:val="22"/>
        </w:rPr>
        <w:t>This specification fixes the following project-wide decisions: native Android Java/XML; current Figma as UI authority; Firebase with offline cache; free-tier external services; all Metro Manila prepared NOAH scenarios; 5-year default with a Risk Horizon selector; structure-aware bridge handling; synthetic Ligtas proofs; legacy Lab import/export compatibility; and a complete demonstrable flow by 2026-10-16.</w:t>
      </w:r>
    </w:p>
    <w:p>
      <w:r>
        <w:rPr>
          <w:rFonts w:ascii="Aptos" w:hAnsi="Aptos"/>
          <w:color w:val="000000"/>
          <w:sz w:val="22"/>
        </w:rPr>
        <w:t>Once acknowledged, the next artifact will be the task-by-task implementation plan with proposed file paths, tests, team-parallel workstreams, integration order, and daily completion gates.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A5A5A"/>
        <w:sz w:val="18"/>
      </w:rPr>
      <w:t>RutaRescue Product and Technical Design</w:t>
    </w:r>
    <w:r>
      <w:tab/>
      <w:tab/>
    </w:r>
    <w:r>
      <w:rPr>
        <w:rFonts w:ascii="Aptos" w:hAnsi="Aptos"/>
        <w:color w:val="5A5A5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ah.up.edu.ph/noah-studio" TargetMode="External"/><Relationship Id="rId11" Type="http://schemas.openxmlformats.org/officeDocument/2006/relationships/hyperlink" Target="https://services1.arcgis.com/IwZZTMxZCmAmFYvF/ArcGIS/rest/services/Flood_Control_5_Year/FeatureServ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RutaRescue Product and Technical Design</dc:title>
  <dc:subject>OOP Java Android project design and implementation scope</dc:subject>
  <dc:creator>RutaRescue Group 04</dc:creator>
  <cp:keywords>RutaRescue, Android, Java, flood hazard, Project NOAH, evacuation</cp:keywords>
  <dc:description/>
  <cp:lastModifiedBy/>
  <cp:revision>1</cp:revision>
  <dcterms:created xsi:type="dcterms:W3CDTF">2013-12-23T23:15:00Z</dcterms:created>
  <dcterms:modified xsi:type="dcterms:W3CDTF">2013-12-23T23:15:00Z</dcterms:modified>
  <cp:category/>
</cp:coreProperties>
</file>