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5A0808"/>
          <w:sz w:val="40"/>
        </w:rPr>
        <w:t>✠  KNIGHT SCHOOL PROGRAM  ✠</w:t>
      </w:r>
    </w:p>
    <w:p>
      <w:pPr>
        <w:spacing w:after="40"/>
        <w:jc w:val="center"/>
      </w:pPr>
      <w:r>
        <w:rPr>
          <w:b/>
          <w:color w:val="8B6A10"/>
          <w:sz w:val="26"/>
        </w:rPr>
        <w:t>COMPLETE EXAM ANSWER KEY</w:t>
      </w:r>
    </w:p>
    <w:p>
      <w:pPr>
        <w:spacing w:after="280"/>
        <w:jc w:val="center"/>
      </w:pPr>
      <w:r>
        <w:rPr>
          <w:i/>
          <w:color w:val="7A2020"/>
          <w:sz w:val="18"/>
        </w:rPr>
        <w:t>Knights Templar of Knighthood &amp; Christian Knighthood</w:t>
      </w:r>
    </w:p>
    <w:p>
      <w:pPr>
        <w:spacing w:after="80"/>
      </w:pPr>
      <w:r>
        <w:rPr>
          <w:b/>
          <w:color w:val="5A0808"/>
          <w:sz w:val="20"/>
        </w:rPr>
        <w:t>QUICK REFERENCE — ALL CORRECT ANSWERS</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1008"/>
            <w:shd w:val="clear" w:color="auto" w:fill="5A0808"/>
          </w:tcPr>
          <w:p>
            <w:pPr>
              <w:jc w:val="center"/>
            </w:pPr>
            <w:r>
              <w:rPr>
                <w:b/>
                <w:color w:val="FFF0C8"/>
                <w:sz w:val="18"/>
              </w:rPr>
              <w:t>Week</w:t>
            </w:r>
          </w:p>
        </w:tc>
        <w:tc>
          <w:tcPr>
            <w:tcW w:type="dxa" w:w="648"/>
            <w:shd w:val="clear" w:color="auto" w:fill="5A0808"/>
          </w:tcPr>
          <w:p>
            <w:pPr>
              <w:jc w:val="center"/>
            </w:pPr>
            <w:r>
              <w:rPr>
                <w:b/>
                <w:color w:val="FFF0C8"/>
                <w:sz w:val="18"/>
              </w:rPr>
              <w:t>Q1</w:t>
            </w:r>
          </w:p>
        </w:tc>
        <w:tc>
          <w:tcPr>
            <w:tcW w:type="dxa" w:w="648"/>
            <w:shd w:val="clear" w:color="auto" w:fill="5A0808"/>
          </w:tcPr>
          <w:p>
            <w:pPr>
              <w:jc w:val="center"/>
            </w:pPr>
            <w:r>
              <w:rPr>
                <w:b/>
                <w:color w:val="FFF0C8"/>
                <w:sz w:val="18"/>
              </w:rPr>
              <w:t>Q2</w:t>
            </w:r>
          </w:p>
        </w:tc>
        <w:tc>
          <w:tcPr>
            <w:tcW w:type="dxa" w:w="648"/>
            <w:shd w:val="clear" w:color="auto" w:fill="5A0808"/>
          </w:tcPr>
          <w:p>
            <w:pPr>
              <w:jc w:val="center"/>
            </w:pPr>
            <w:r>
              <w:rPr>
                <w:b/>
                <w:color w:val="FFF0C8"/>
                <w:sz w:val="18"/>
              </w:rPr>
              <w:t>Q3</w:t>
            </w:r>
          </w:p>
        </w:tc>
        <w:tc>
          <w:tcPr>
            <w:tcW w:type="dxa" w:w="648"/>
            <w:shd w:val="clear" w:color="auto" w:fill="5A0808"/>
          </w:tcPr>
          <w:p>
            <w:pPr>
              <w:jc w:val="center"/>
            </w:pPr>
            <w:r>
              <w:rPr>
                <w:b/>
                <w:color w:val="FFF0C8"/>
                <w:sz w:val="18"/>
              </w:rPr>
              <w:t>Q4</w:t>
            </w:r>
          </w:p>
        </w:tc>
        <w:tc>
          <w:tcPr>
            <w:tcW w:type="dxa" w:w="648"/>
            <w:shd w:val="clear" w:color="auto" w:fill="5A0808"/>
          </w:tcPr>
          <w:p>
            <w:pPr>
              <w:jc w:val="center"/>
            </w:pPr>
            <w:r>
              <w:rPr>
                <w:b/>
                <w:color w:val="FFF0C8"/>
                <w:sz w:val="18"/>
              </w:rPr>
              <w:t>Q5</w:t>
            </w:r>
          </w:p>
        </w:tc>
        <w:tc>
          <w:tcPr>
            <w:tcW w:type="dxa" w:w="648"/>
            <w:shd w:val="clear" w:color="auto" w:fill="5A0808"/>
          </w:tcPr>
          <w:p>
            <w:pPr>
              <w:jc w:val="center"/>
            </w:pPr>
            <w:r>
              <w:rPr>
                <w:b/>
                <w:color w:val="FFF0C8"/>
                <w:sz w:val="18"/>
              </w:rPr>
              <w:t>Q6</w:t>
            </w:r>
          </w:p>
        </w:tc>
        <w:tc>
          <w:tcPr>
            <w:tcW w:type="dxa" w:w="648"/>
            <w:shd w:val="clear" w:color="auto" w:fill="5A0808"/>
          </w:tcPr>
          <w:p>
            <w:pPr>
              <w:jc w:val="center"/>
            </w:pPr>
            <w:r>
              <w:rPr>
                <w:b/>
                <w:color w:val="FFF0C8"/>
                <w:sz w:val="18"/>
              </w:rPr>
              <w:t>Q7</w:t>
            </w:r>
          </w:p>
        </w:tc>
        <w:tc>
          <w:tcPr>
            <w:tcW w:type="dxa" w:w="648"/>
            <w:shd w:val="clear" w:color="auto" w:fill="5A0808"/>
          </w:tcPr>
          <w:p>
            <w:pPr>
              <w:jc w:val="center"/>
            </w:pPr>
            <w:r>
              <w:rPr>
                <w:b/>
                <w:color w:val="FFF0C8"/>
                <w:sz w:val="18"/>
              </w:rPr>
              <w:t>Q8</w:t>
            </w:r>
          </w:p>
        </w:tc>
        <w:tc>
          <w:tcPr>
            <w:tcW w:type="dxa" w:w="648"/>
            <w:shd w:val="clear" w:color="auto" w:fill="5A0808"/>
          </w:tcPr>
          <w:p>
            <w:pPr>
              <w:jc w:val="center"/>
            </w:pPr>
            <w:r>
              <w:rPr>
                <w:b/>
                <w:color w:val="FFF0C8"/>
                <w:sz w:val="18"/>
              </w:rPr>
              <w:t>Q9</w:t>
            </w:r>
          </w:p>
        </w:tc>
        <w:tc>
          <w:tcPr>
            <w:tcW w:type="dxa" w:w="648"/>
            <w:shd w:val="clear" w:color="auto" w:fill="5A0808"/>
          </w:tcPr>
          <w:p>
            <w:pPr>
              <w:jc w:val="center"/>
            </w:pPr>
            <w:r>
              <w:rPr>
                <w:b/>
                <w:color w:val="FFF0C8"/>
                <w:sz w:val="18"/>
              </w:rPr>
              <w:t>Q10</w:t>
            </w:r>
          </w:p>
        </w:tc>
      </w:tr>
      <w:tr>
        <w:tc>
          <w:tcPr>
            <w:tcW w:type="dxa" w:w="1008"/>
            <w:shd w:val="clear" w:color="auto" w:fill="F5ECD8"/>
          </w:tcPr>
          <w:p>
            <w:pPr>
              <w:jc w:val="center"/>
            </w:pPr>
            <w:r>
              <w:rPr>
                <w:b/>
                <w:color w:val="5A0808"/>
                <w:sz w:val="18"/>
              </w:rPr>
              <w:t>Week 1</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r>
      <w:tr>
        <w:tc>
          <w:tcPr>
            <w:tcW w:type="dxa" w:w="1008"/>
            <w:shd w:val="clear" w:color="auto" w:fill="FFFFFF"/>
          </w:tcPr>
          <w:p>
            <w:pPr>
              <w:jc w:val="center"/>
            </w:pPr>
            <w:r>
              <w:rPr>
                <w:b/>
                <w:color w:val="5A0808"/>
                <w:sz w:val="18"/>
              </w:rPr>
              <w:t>Week 2</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D</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r>
      <w:tr>
        <w:tc>
          <w:tcPr>
            <w:tcW w:type="dxa" w:w="1008"/>
            <w:shd w:val="clear" w:color="auto" w:fill="F5ECD8"/>
          </w:tcPr>
          <w:p>
            <w:pPr>
              <w:jc w:val="center"/>
            </w:pPr>
            <w:r>
              <w:rPr>
                <w:b/>
                <w:color w:val="5A0808"/>
                <w:sz w:val="18"/>
              </w:rPr>
              <w:t>Week 3</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C</w:t>
            </w:r>
          </w:p>
        </w:tc>
      </w:tr>
      <w:tr>
        <w:tc>
          <w:tcPr>
            <w:tcW w:type="dxa" w:w="1008"/>
            <w:shd w:val="clear" w:color="auto" w:fill="FFFFFF"/>
          </w:tcPr>
          <w:p>
            <w:pPr>
              <w:jc w:val="center"/>
            </w:pPr>
            <w:r>
              <w:rPr>
                <w:b/>
                <w:color w:val="5A0808"/>
                <w:sz w:val="18"/>
              </w:rPr>
              <w:t>Week 4</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r>
    </w:tbl>
    <w:p>
      <w:pPr>
        <w:spacing w:after="200"/>
      </w:pPr>
    </w:p>
    <w:p>
      <w:pPr>
        <w:spacing w:before="240" w:after="120"/>
        <w:pBdr>
          <w:bottom w:val="single" w:sz="6" w:space="1" w:color="8B6A10"/>
        </w:pBdr>
      </w:pPr>
      <w:r>
        <w:rPr>
          <w:b/>
          <w:color w:val="5A0808"/>
          <w:sz w:val="26"/>
        </w:rPr>
        <w:t>WEEK 1  —  Leadership Under Christ</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A Knight is confronted by a newer member who argues that senior rank entitles him to delegate all menial tasks to juniors. Which response best reflects the Knight's standard of servant authority?</w:t>
            </w:r>
          </w:p>
        </w:tc>
        <w:tc>
          <w:tcPr>
            <w:tcW w:type="dxa" w:w="2736"/>
            <w:shd w:val="clear" w:color="auto" w:fill="FDF6EC"/>
          </w:tcPr>
          <w:p>
            <w:r/>
            <w:r>
              <w:rPr>
                <w:b/>
                <w:color w:val="5A0808"/>
                <w:sz w:val="20"/>
              </w:rPr>
              <w:t xml:space="preserve">B  </w:t>
            </w:r>
            <w:r>
              <w:rPr>
                <w:color w:val="101010"/>
                <w:sz w:val="18"/>
              </w:rPr>
              <w:t>Remind him that Christ's authority was demonstrated by washing feet, not by avoiding service, and that rank in KTKC is a call to greater sacrifice, not lesser.</w:t>
            </w:r>
          </w:p>
        </w:tc>
        <w:tc>
          <w:tcPr>
            <w:tcW w:type="dxa" w:w="2966"/>
            <w:shd w:val="clear" w:color="auto" w:fill="FDF6EC"/>
          </w:tcPr>
          <w:p>
            <w:r>
              <w:rPr>
                <w:i/>
                <w:color w:val="402810"/>
                <w:sz w:val="17"/>
              </w:rPr>
              <w:t>Servant authority means the higher the rank, the greater the obligation to serve. Christ's washing of the disciples' feet is the defining image — rank confers responsibility, not exemption.</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During a leadership review, a Knight is asked to distinguish 'positional authority' from 'moral authority.' Which answer best captures the KTKC distinction?</w:t>
            </w:r>
          </w:p>
        </w:tc>
        <w:tc>
          <w:tcPr>
            <w:tcW w:type="dxa" w:w="2736"/>
            <w:shd w:val="clear" w:color="auto" w:fill="FFFFFF"/>
          </w:tcPr>
          <w:p>
            <w:r/>
            <w:r>
              <w:rPr>
                <w:b/>
                <w:color w:val="5A0808"/>
                <w:sz w:val="20"/>
              </w:rPr>
              <w:t xml:space="preserve">B  </w:t>
            </w:r>
            <w:r>
              <w:rPr>
                <w:color w:val="101010"/>
                <w:sz w:val="18"/>
              </w:rPr>
              <w:t>Positional authority derives from rank structure; moral authority is earned through consistent Christlike conduct and is the only authority that endures when rank is absent.</w:t>
            </w:r>
          </w:p>
        </w:tc>
        <w:tc>
          <w:tcPr>
            <w:tcW w:type="dxa" w:w="2966"/>
            <w:shd w:val="clear" w:color="auto" w:fill="FFFFFF"/>
          </w:tcPr>
          <w:p>
            <w:r>
              <w:rPr>
                <w:i/>
                <w:color w:val="402810"/>
                <w:sz w:val="17"/>
              </w:rPr>
              <w:t>KTKC teaches that positional authority can be stripped or transferred, but moral authority — built through integrity, sacrifice, and Christlike character — is the form of leadership influence that actually shapes members.</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A Knight realizes mid-project that he has overcommitted his team and cannot deliver on a promise made to a chapter superior without cutting corners. What is the correct course of action?</w:t>
            </w:r>
          </w:p>
        </w:tc>
        <w:tc>
          <w:tcPr>
            <w:tcW w:type="dxa" w:w="2736"/>
            <w:shd w:val="clear" w:color="auto" w:fill="FDF6EC"/>
          </w:tcPr>
          <w:p>
            <w:r/>
            <w:r>
              <w:rPr>
                <w:b/>
                <w:color w:val="5A0808"/>
                <w:sz w:val="20"/>
              </w:rPr>
              <w:t xml:space="preserve">C  </w:t>
            </w:r>
            <w:r>
              <w:rPr>
                <w:color w:val="101010"/>
                <w:sz w:val="18"/>
              </w:rPr>
              <w:t>Immediately notify the superior of the scope problem, present a revised plan, and accept accountability for the original overcommitment.</w:t>
            </w:r>
          </w:p>
        </w:tc>
        <w:tc>
          <w:tcPr>
            <w:tcW w:type="dxa" w:w="2966"/>
            <w:shd w:val="clear" w:color="auto" w:fill="FDF6EC"/>
          </w:tcPr>
          <w:p>
            <w:r>
              <w:rPr>
                <w:i/>
                <w:color w:val="402810"/>
                <w:sz w:val="17"/>
              </w:rPr>
              <w:t>Integrity requires proactive transparency. Notifying leadership early preserves trust and allows course correction; concealing problems or delivering incomplete work while hiding the shortfall both damage accountability culture.</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Which theological concept underpins the Knight's obligation to lead through sacrifice rather than privilege?</w:t>
            </w:r>
          </w:p>
        </w:tc>
        <w:tc>
          <w:tcPr>
            <w:tcW w:type="dxa" w:w="2736"/>
            <w:shd w:val="clear" w:color="auto" w:fill="FFFFFF"/>
          </w:tcPr>
          <w:p>
            <w:r/>
            <w:r>
              <w:rPr>
                <w:b/>
                <w:color w:val="5A0808"/>
                <w:sz w:val="20"/>
              </w:rPr>
              <w:t xml:space="preserve">B  </w:t>
            </w:r>
            <w:r>
              <w:rPr>
                <w:color w:val="101010"/>
                <w:sz w:val="18"/>
              </w:rPr>
              <w:t>Kenosis — Christ's self-emptying, choosing to forgo divine privilege in order to serve humanity, modeled for all who bear authority.</w:t>
            </w:r>
          </w:p>
        </w:tc>
        <w:tc>
          <w:tcPr>
            <w:tcW w:type="dxa" w:w="2966"/>
            <w:shd w:val="clear" w:color="auto" w:fill="FFFFFF"/>
          </w:tcPr>
          <w:p>
            <w:r>
              <w:rPr>
                <w:i/>
                <w:color w:val="402810"/>
                <w:sz w:val="17"/>
              </w:rPr>
              <w:t>Kenosis (Philippians 2:5-8) is the theological foundation: Christ 'emptied himself' of privilege to serve. Knights are called to mirror this — holding authority lightly and using it in the interest of those they lead.</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A Knight-level leader notices that one of his subordinates, a Corporal, is consistently performing above his rank requirements. The Knight has two options: mentor the Corporal aggressively toward promotion, or keep him in role because he is so effective there. What does servant leadership demand?</w:t>
            </w:r>
          </w:p>
        </w:tc>
        <w:tc>
          <w:tcPr>
            <w:tcW w:type="dxa" w:w="2736"/>
            <w:shd w:val="clear" w:color="auto" w:fill="FDF6EC"/>
          </w:tcPr>
          <w:p>
            <w:r/>
            <w:r>
              <w:rPr>
                <w:b/>
                <w:color w:val="5A0808"/>
                <w:sz w:val="20"/>
              </w:rPr>
              <w:t xml:space="preserve">B  </w:t>
            </w:r>
            <w:r>
              <w:rPr>
                <w:color w:val="101010"/>
                <w:sz w:val="18"/>
              </w:rPr>
              <w:t>Mentor aggressively toward promotion — servant leadership prioritizes the growth and flourishing of the person over the leader's convenience.</w:t>
            </w:r>
          </w:p>
        </w:tc>
        <w:tc>
          <w:tcPr>
            <w:tcW w:type="dxa" w:w="2966"/>
            <w:shd w:val="clear" w:color="auto" w:fill="FDF6EC"/>
          </w:tcPr>
          <w:p>
            <w:r>
              <w:rPr>
                <w:i/>
                <w:color w:val="402810"/>
                <w:sz w:val="17"/>
              </w:rPr>
              <w:t>Servant leadership invests in the growth of those being served. Holding back a capable subordinate for the leader's convenience is the opposite of servant authority — it instrumentalizes the person.</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A Knight is chairing a chapter meeting and a heated disagreement breaks out between two members over an operational decision. Both parties appeal to the Knight to rule in their favor. What is the most leadership-consistent response?</w:t>
            </w:r>
          </w:p>
        </w:tc>
        <w:tc>
          <w:tcPr>
            <w:tcW w:type="dxa" w:w="2736"/>
            <w:shd w:val="clear" w:color="auto" w:fill="FFFFFF"/>
          </w:tcPr>
          <w:p>
            <w:r/>
            <w:r>
              <w:rPr>
                <w:b/>
                <w:color w:val="5A0808"/>
                <w:sz w:val="20"/>
              </w:rPr>
              <w:t xml:space="preserve">C  </w:t>
            </w:r>
            <w:r>
              <w:rPr>
                <w:color w:val="101010"/>
                <w:sz w:val="18"/>
              </w:rPr>
              <w:t>Facilitate a structured exchange where each party articulates their position and its impact on the mission, then make a reasoned decision that serves the chapter's purpose, explaining the rationale.</w:t>
            </w:r>
          </w:p>
        </w:tc>
        <w:tc>
          <w:tcPr>
            <w:tcW w:type="dxa" w:w="2966"/>
            <w:shd w:val="clear" w:color="auto" w:fill="FFFFFF"/>
          </w:tcPr>
          <w:p>
            <w:r>
              <w:rPr>
                <w:i/>
                <w:color w:val="402810"/>
                <w:sz w:val="17"/>
              </w:rPr>
              <w:t>Leadership requires decisiveness combined with fairness. A Knight facilitates hearing, makes a principled decision, and explains the reasoning — this models both justice and transparency.</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What is the Knight's primary accountability relationship when exercising independent authority on a chapter project?</w:t>
            </w:r>
          </w:p>
        </w:tc>
        <w:tc>
          <w:tcPr>
            <w:tcW w:type="dxa" w:w="2736"/>
            <w:shd w:val="clear" w:color="auto" w:fill="FDF6EC"/>
          </w:tcPr>
          <w:p>
            <w:r/>
            <w:r>
              <w:rPr>
                <w:b/>
                <w:color w:val="5A0808"/>
                <w:sz w:val="20"/>
              </w:rPr>
              <w:t xml:space="preserve">C  </w:t>
            </w:r>
            <w:r>
              <w:rPr>
                <w:color w:val="101010"/>
                <w:sz w:val="18"/>
              </w:rPr>
              <w:t>To the chapter's mission and to the superior who delegated the authority, with regular progress communication and final accountability for outcomes.</w:t>
            </w:r>
          </w:p>
        </w:tc>
        <w:tc>
          <w:tcPr>
            <w:tcW w:type="dxa" w:w="2966"/>
            <w:shd w:val="clear" w:color="auto" w:fill="FDF6EC"/>
          </w:tcPr>
          <w:p>
            <w:r>
              <w:rPr>
                <w:i/>
                <w:color w:val="402810"/>
                <w:sz w:val="17"/>
              </w:rPr>
              <w:t>Delegation does not eliminate accountability — it defines it. A Knight who has been given authority remains answerable upward in the chain and must keep superiors informed. Accountability and authority travel together.</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A member challenges a Knight: 'If Christ is our model, why do we maintain rank structure at all?' Which response best represents KTKC's philosophy?</w:t>
            </w:r>
          </w:p>
        </w:tc>
        <w:tc>
          <w:tcPr>
            <w:tcW w:type="dxa" w:w="2736"/>
            <w:shd w:val="clear" w:color="auto" w:fill="FFFFFF"/>
          </w:tcPr>
          <w:p>
            <w:r/>
            <w:r>
              <w:rPr>
                <w:b/>
                <w:color w:val="5A0808"/>
                <w:sz w:val="20"/>
              </w:rPr>
              <w:t xml:space="preserve">C  </w:t>
            </w:r>
            <w:r>
              <w:rPr>
                <w:color w:val="101010"/>
                <w:sz w:val="18"/>
              </w:rPr>
              <w:t>Rank structure in KTKC is a framework for ordered service — it clarifies who is responsible for what so that mission can be executed faithfully, not a hierarchy of worth.</w:t>
            </w:r>
          </w:p>
        </w:tc>
        <w:tc>
          <w:tcPr>
            <w:tcW w:type="dxa" w:w="2966"/>
            <w:shd w:val="clear" w:color="auto" w:fill="FFFFFF"/>
          </w:tcPr>
          <w:p>
            <w:r>
              <w:rPr>
                <w:i/>
                <w:color w:val="402810"/>
                <w:sz w:val="17"/>
              </w:rPr>
              <w:t>KTKC's rank is functional, not ontological — it answers 'who carries which responsibility' not 'who is more valuable.' This keeps rank structure compatible with Christlike equality of persons.</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A Knight must evaluate a member's performance for promotion eligibility. The member is personally close to the Knight. What does integrity require?</w:t>
            </w:r>
          </w:p>
        </w:tc>
        <w:tc>
          <w:tcPr>
            <w:tcW w:type="dxa" w:w="2736"/>
            <w:shd w:val="clear" w:color="auto" w:fill="FDF6EC"/>
          </w:tcPr>
          <w:p>
            <w:r/>
            <w:r>
              <w:rPr>
                <w:b/>
                <w:color w:val="5A0808"/>
                <w:sz w:val="20"/>
              </w:rPr>
              <w:t xml:space="preserve">B  </w:t>
            </w:r>
            <w:r>
              <w:rPr>
                <w:color w:val="101010"/>
                <w:sz w:val="18"/>
              </w:rPr>
              <w:t>Evaluate using the standard criteria and document reasoning transparently, acknowledging the relationship and applying the same standard that would apply to any other candidate.</w:t>
            </w:r>
          </w:p>
        </w:tc>
        <w:tc>
          <w:tcPr>
            <w:tcW w:type="dxa" w:w="2966"/>
            <w:shd w:val="clear" w:color="auto" w:fill="FDF6EC"/>
          </w:tcPr>
          <w:p>
            <w:r>
              <w:rPr>
                <w:i/>
                <w:color w:val="402810"/>
                <w:sz w:val="17"/>
              </w:rPr>
              <w:t>Integrity requires consistent standards applied transparently. Automatic recusal may not always be possible or appropriate; documented, criteria-based evaluation with acknowledged relationship context is the correct approach.</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Which of the following best describes what distinguishes a Knight from a Knight-Aspirant in terms of leadership expectation?</w:t>
            </w:r>
          </w:p>
        </w:tc>
        <w:tc>
          <w:tcPr>
            <w:tcW w:type="dxa" w:w="2736"/>
            <w:shd w:val="clear" w:color="auto" w:fill="FFFFFF"/>
          </w:tcPr>
          <w:p>
            <w:r/>
            <w:r>
              <w:rPr>
                <w:b/>
                <w:color w:val="5A0808"/>
                <w:sz w:val="20"/>
              </w:rPr>
              <w:t xml:space="preserve">C  </w:t>
            </w:r>
            <w:r>
              <w:rPr>
                <w:color w:val="101010"/>
                <w:sz w:val="18"/>
              </w:rPr>
              <w:t>Knights are expected to exercise independent judgment, mentor juniors, and bear personal accountability for chapter outcomes — they lead, not just follow.</w:t>
            </w:r>
          </w:p>
        </w:tc>
        <w:tc>
          <w:tcPr>
            <w:tcW w:type="dxa" w:w="2966"/>
            <w:shd w:val="clear" w:color="auto" w:fill="FFFFFF"/>
          </w:tcPr>
          <w:p>
            <w:r>
              <w:rPr>
                <w:i/>
                <w:color w:val="402810"/>
                <w:sz w:val="17"/>
              </w:rPr>
              <w:t>The Knight rank marks a transition to genuine leadership accountability. A Knight-Aspirant is still primarily a learner being formed; a Knight is expected to independently model, mentor, and own outcomes.</w:t>
            </w:r>
          </w:p>
        </w:tc>
      </w:tr>
    </w:tbl>
    <w:p>
      <w:pPr>
        <w:spacing w:after="80"/>
      </w:pPr>
    </w:p>
    <w:p>
      <w:pPr>
        <w:spacing w:before="240" w:after="120"/>
        <w:pBdr>
          <w:bottom w:val="single" w:sz="6" w:space="1" w:color="8B6A10"/>
        </w:pBdr>
      </w:pPr>
      <w:r>
        <w:rPr>
          <w:b/>
          <w:color w:val="5A0808"/>
          <w:sz w:val="26"/>
        </w:rPr>
        <w:t>WEEK 2  —  Leadership Inside KTKC</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A Knight disagrees with a chapter policy and wants it changed. What is the correct first step?</w:t>
            </w:r>
          </w:p>
        </w:tc>
        <w:tc>
          <w:tcPr>
            <w:tcW w:type="dxa" w:w="2736"/>
            <w:shd w:val="clear" w:color="auto" w:fill="FDF6EC"/>
          </w:tcPr>
          <w:p>
            <w:r/>
            <w:r>
              <w:rPr>
                <w:b/>
                <w:color w:val="5A0808"/>
                <w:sz w:val="20"/>
              </w:rPr>
              <w:t xml:space="preserve">C  </w:t>
            </w:r>
            <w:r>
              <w:rPr>
                <w:color w:val="101010"/>
                <w:sz w:val="18"/>
              </w:rPr>
              <w:t>Review the bylaws to identify the proper procedure for raising policy concerns, then bring the matter through the defined deliberative channel — committee, officer meeting, or floor motion as appropriate.</w:t>
            </w:r>
          </w:p>
        </w:tc>
        <w:tc>
          <w:tcPr>
            <w:tcW w:type="dxa" w:w="2966"/>
            <w:shd w:val="clear" w:color="auto" w:fill="FDF6EC"/>
          </w:tcPr>
          <w:p>
            <w:r>
              <w:rPr>
                <w:i/>
                <w:color w:val="402810"/>
                <w:sz w:val="17"/>
              </w:rPr>
              <w:t>KTKC governance requires working through proper channels. Unilateral public campaigns or skipping levels of the governance structure both undermine the organization's deliberative integrity.</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During an officer election, two candidates receive the same number of votes. The bylaws do not specify a tiebreaker. What should happen?</w:t>
            </w:r>
          </w:p>
        </w:tc>
        <w:tc>
          <w:tcPr>
            <w:tcW w:type="dxa" w:w="2736"/>
            <w:shd w:val="clear" w:color="auto" w:fill="FFFFFF"/>
          </w:tcPr>
          <w:p>
            <w:r/>
            <w:r>
              <w:rPr>
                <w:b/>
                <w:color w:val="5A0808"/>
                <w:sz w:val="20"/>
              </w:rPr>
              <w:t xml:space="preserve">D  </w:t>
            </w:r>
            <w:r>
              <w:rPr>
                <w:color w:val="101010"/>
                <w:sz w:val="18"/>
              </w:rPr>
              <w:t>The chapter should consult the rules of order it operates under and, if not addressed there, the presiding officer should rule on procedure and document the ruling for future reference.</w:t>
            </w:r>
          </w:p>
        </w:tc>
        <w:tc>
          <w:tcPr>
            <w:tcW w:type="dxa" w:w="2966"/>
            <w:shd w:val="clear" w:color="auto" w:fill="FFFFFF"/>
          </w:tcPr>
          <w:p>
            <w:r>
              <w:rPr>
                <w:i/>
                <w:color w:val="402810"/>
                <w:sz w:val="17"/>
              </w:rPr>
              <w:t>When bylaws are silent, the organization's parliamentary authority (e.g., Robert's Rules) fills the gap. The presiding officer rules on the procedure, and the ruling becomes precedent until bylaws are updated.</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A newly elected chapter officer discovers that her predecessor kept informal records of decisions rather than official minutes. Which is the most governance-sound response?</w:t>
            </w:r>
          </w:p>
        </w:tc>
        <w:tc>
          <w:tcPr>
            <w:tcW w:type="dxa" w:w="2736"/>
            <w:shd w:val="clear" w:color="auto" w:fill="FDF6EC"/>
          </w:tcPr>
          <w:p>
            <w:r/>
            <w:r>
              <w:rPr>
                <w:b/>
                <w:color w:val="5A0808"/>
                <w:sz w:val="20"/>
              </w:rPr>
              <w:t xml:space="preserve">C  </w:t>
            </w:r>
            <w:r>
              <w:rPr>
                <w:color w:val="101010"/>
                <w:sz w:val="18"/>
              </w:rPr>
              <w:t>Retain the informal records as reference material while establishing a proper minutes process going forward, and note the gap in governance continuity to the chapter.</w:t>
            </w:r>
          </w:p>
        </w:tc>
        <w:tc>
          <w:tcPr>
            <w:tcW w:type="dxa" w:w="2966"/>
            <w:shd w:val="clear" w:color="auto" w:fill="FDF6EC"/>
          </w:tcPr>
          <w:p>
            <w:r>
              <w:rPr>
                <w:i/>
                <w:color w:val="402810"/>
                <w:sz w:val="17"/>
              </w:rPr>
              <w:t>Governance continuity requires both preserving available history and correcting gaps. Discarding records creates larger continuity problems; re-running all prior votes is impractical and unnecessary.</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A Knight is asked to chair a committee. Three members of the committee have a personal conflict that risks dominating the agenda. What is the chair's first responsibility?</w:t>
            </w:r>
          </w:p>
        </w:tc>
        <w:tc>
          <w:tcPr>
            <w:tcW w:type="dxa" w:w="2736"/>
            <w:shd w:val="clear" w:color="auto" w:fill="FFFFFF"/>
          </w:tcPr>
          <w:p>
            <w:r/>
            <w:r>
              <w:rPr>
                <w:b/>
                <w:color w:val="5A0808"/>
                <w:sz w:val="20"/>
              </w:rPr>
              <w:t xml:space="preserve">B  </w:t>
            </w:r>
            <w:r>
              <w:rPr>
                <w:color w:val="101010"/>
                <w:sz w:val="18"/>
              </w:rPr>
              <w:t>Set and enforce a structured agenda that focuses on the committee's charge, acknowledging the interpersonal tension only if it directly interferes with work product.</w:t>
            </w:r>
          </w:p>
        </w:tc>
        <w:tc>
          <w:tcPr>
            <w:tcW w:type="dxa" w:w="2966"/>
            <w:shd w:val="clear" w:color="auto" w:fill="FFFFFF"/>
          </w:tcPr>
          <w:p>
            <w:r>
              <w:rPr>
                <w:i/>
                <w:color w:val="402810"/>
                <w:sz w:val="17"/>
              </w:rPr>
              <w:t>A chair's primary obligation is to the committee's mission. If interpersonal conflict threatens task completion it must be addressed, but the response should be proportional — not a prerequisite that delays work.</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What is the purpose of officer transition documentation in KTKC governance?</w:t>
            </w:r>
          </w:p>
        </w:tc>
        <w:tc>
          <w:tcPr>
            <w:tcW w:type="dxa" w:w="2736"/>
            <w:shd w:val="clear" w:color="auto" w:fill="FDF6EC"/>
          </w:tcPr>
          <w:p>
            <w:r/>
            <w:r>
              <w:rPr>
                <w:b/>
                <w:color w:val="5A0808"/>
                <w:sz w:val="20"/>
              </w:rPr>
              <w:t xml:space="preserve">B  </w:t>
            </w:r>
            <w:r>
              <w:rPr>
                <w:color w:val="101010"/>
                <w:sz w:val="18"/>
              </w:rPr>
              <w:t>To transfer institutional knowledge, active commitments, and context to incoming officers so that chapter operations continue without interruption.</w:t>
            </w:r>
          </w:p>
        </w:tc>
        <w:tc>
          <w:tcPr>
            <w:tcW w:type="dxa" w:w="2966"/>
            <w:shd w:val="clear" w:color="auto" w:fill="FDF6EC"/>
          </w:tcPr>
          <w:p>
            <w:r>
              <w:rPr>
                <w:i/>
                <w:color w:val="402810"/>
                <w:sz w:val="17"/>
              </w:rPr>
              <w:t>Transition documentation is a continuity tool, not an accountability tool. Its purpose is knowledge transfer — ensuring the incoming officer can carry forward ongoing work without a gap.</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A chapter member raises a concern directly to a Knight, bypassing the member's immediate superior. What should the Knight do?</w:t>
            </w:r>
          </w:p>
        </w:tc>
        <w:tc>
          <w:tcPr>
            <w:tcW w:type="dxa" w:w="2736"/>
            <w:shd w:val="clear" w:color="auto" w:fill="FFFFFF"/>
          </w:tcPr>
          <w:p>
            <w:r/>
            <w:r>
              <w:rPr>
                <w:b/>
                <w:color w:val="5A0808"/>
                <w:sz w:val="20"/>
              </w:rPr>
              <w:t xml:space="preserve">C  </w:t>
            </w:r>
            <w:r>
              <w:rPr>
                <w:color w:val="101010"/>
                <w:sz w:val="18"/>
              </w:rPr>
              <w:t>Hear enough to understand whether it is an emergency or a procedural bypass, then redirect to the proper channel unless the concern involves a safety or ethics issue requiring immediate escalation.</w:t>
            </w:r>
          </w:p>
        </w:tc>
        <w:tc>
          <w:tcPr>
            <w:tcW w:type="dxa" w:w="2966"/>
            <w:shd w:val="clear" w:color="auto" w:fill="FFFFFF"/>
          </w:tcPr>
          <w:p>
            <w:r>
              <w:rPr>
                <w:i/>
                <w:color w:val="402810"/>
                <w:sz w:val="17"/>
              </w:rPr>
              <w:t>A Knight must balance accessibility with governance structure. Emergency/ethics concerns warrant direct action regardless of channel; routine concerns should be redirected to preserve the integrity of the proper process.</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Which of the following represents an improper use of chapter officer authority?</w:t>
            </w:r>
          </w:p>
        </w:tc>
        <w:tc>
          <w:tcPr>
            <w:tcW w:type="dxa" w:w="2736"/>
            <w:shd w:val="clear" w:color="auto" w:fill="FDF6EC"/>
          </w:tcPr>
          <w:p>
            <w:r/>
            <w:r>
              <w:rPr>
                <w:b/>
                <w:color w:val="5A0808"/>
                <w:sz w:val="20"/>
              </w:rPr>
              <w:t xml:space="preserve">C  </w:t>
            </w:r>
            <w:r>
              <w:rPr>
                <w:color w:val="101010"/>
                <w:sz w:val="18"/>
              </w:rPr>
              <w:t>Committing chapter funds to a new initiative without a vote because the officer personally judged the expenditure to be clearly beneficial.</w:t>
            </w:r>
          </w:p>
        </w:tc>
        <w:tc>
          <w:tcPr>
            <w:tcW w:type="dxa" w:w="2966"/>
            <w:shd w:val="clear" w:color="auto" w:fill="FDF6EC"/>
          </w:tcPr>
          <w:p>
            <w:r>
              <w:rPr>
                <w:i/>
                <w:color w:val="402810"/>
                <w:sz w:val="17"/>
              </w:rPr>
              <w:t>Officers act within the authority granted by bylaws and chapter vote. Unilateral commitment of funds, even for clearly beneficial purposes, exceeds the scope of individual officer authority without proper authorization.</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A Knight observes a chapter officer making decisions that appear to contradict the bylaws. The officer is senior to the Knight. What is the correct response?</w:t>
            </w:r>
          </w:p>
        </w:tc>
        <w:tc>
          <w:tcPr>
            <w:tcW w:type="dxa" w:w="2736"/>
            <w:shd w:val="clear" w:color="auto" w:fill="FFFFFF"/>
          </w:tcPr>
          <w:p>
            <w:r/>
            <w:r>
              <w:rPr>
                <w:b/>
                <w:color w:val="5A0808"/>
                <w:sz w:val="20"/>
              </w:rPr>
              <w:t xml:space="preserve">B  </w:t>
            </w:r>
            <w:r>
              <w:rPr>
                <w:color w:val="101010"/>
                <w:sz w:val="18"/>
              </w:rPr>
              <w:t>Raise the concern privately and respectfully with the officer first, citing the specific bylaw, and if unresolved, escalate through the defined governance review process.</w:t>
            </w:r>
          </w:p>
        </w:tc>
        <w:tc>
          <w:tcPr>
            <w:tcW w:type="dxa" w:w="2966"/>
            <w:shd w:val="clear" w:color="auto" w:fill="FFFFFF"/>
          </w:tcPr>
          <w:p>
            <w:r>
              <w:rPr>
                <w:i/>
                <w:color w:val="402810"/>
                <w:sz w:val="17"/>
              </w:rPr>
              <w:t>Governance integrity requires raising concerns through proper channels. Direct private communication first respects the officer's dignity and gives them the opportunity to self-correct; escalation follows if the private approach fails.</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What is the defining characteristic of a 'deliberative' process versus a merely 'consultative' one in chapter governance?</w:t>
            </w:r>
          </w:p>
        </w:tc>
        <w:tc>
          <w:tcPr>
            <w:tcW w:type="dxa" w:w="2736"/>
            <w:shd w:val="clear" w:color="auto" w:fill="FDF6EC"/>
          </w:tcPr>
          <w:p>
            <w:r/>
            <w:r>
              <w:rPr>
                <w:b/>
                <w:color w:val="5A0808"/>
                <w:sz w:val="20"/>
              </w:rPr>
              <w:t xml:space="preserve">B  </w:t>
            </w:r>
            <w:r>
              <w:rPr>
                <w:color w:val="101010"/>
                <w:sz w:val="18"/>
              </w:rPr>
              <w:t>A deliberative process involves structured discussion, formal motions, and binding votes; a consultative process gathers input without producing a binding decision.</w:t>
            </w:r>
          </w:p>
        </w:tc>
        <w:tc>
          <w:tcPr>
            <w:tcW w:type="dxa" w:w="2966"/>
            <w:shd w:val="clear" w:color="auto" w:fill="FDF6EC"/>
          </w:tcPr>
          <w:p>
            <w:r>
              <w:rPr>
                <w:i/>
                <w:color w:val="402810"/>
                <w:sz w:val="17"/>
              </w:rPr>
              <w:t>Deliberative processes have formal structure that produces binding outcomes — motions, amendments, votes. Consultative processes inform but do not bind. The distinction matters for understanding when a chapter has made an official decision.</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A Knight is asked to represent the chapter at a meeting with an external organization. What authority does this role carry?</w:t>
            </w:r>
          </w:p>
        </w:tc>
        <w:tc>
          <w:tcPr>
            <w:tcW w:type="dxa" w:w="2736"/>
            <w:shd w:val="clear" w:color="auto" w:fill="FFFFFF"/>
          </w:tcPr>
          <w:p>
            <w:r/>
            <w:r>
              <w:rPr>
                <w:b/>
                <w:color w:val="5A0808"/>
                <w:sz w:val="20"/>
              </w:rPr>
              <w:t xml:space="preserve">B  </w:t>
            </w:r>
            <w:r>
              <w:rPr>
                <w:color w:val="101010"/>
                <w:sz w:val="18"/>
              </w:rPr>
              <w:t>Only the authority explicitly granted before the meeting; commitments beyond that scope require ratification by the chapter before they are binding.</w:t>
            </w:r>
          </w:p>
        </w:tc>
        <w:tc>
          <w:tcPr>
            <w:tcW w:type="dxa" w:w="2966"/>
            <w:shd w:val="clear" w:color="auto" w:fill="FFFFFF"/>
          </w:tcPr>
          <w:p>
            <w:r>
              <w:rPr>
                <w:i/>
                <w:color w:val="402810"/>
                <w:sz w:val="17"/>
              </w:rPr>
              <w:t>Representation carries delegated authority, not unlimited authority. A representative can commit the chapter only within the scope of the mandate given; anything beyond that requires the chapter's subsequent ratification.</w:t>
            </w:r>
          </w:p>
        </w:tc>
      </w:tr>
    </w:tbl>
    <w:p>
      <w:pPr>
        <w:spacing w:after="80"/>
      </w:pPr>
    </w:p>
    <w:p>
      <w:pPr>
        <w:spacing w:before="240" w:after="120"/>
        <w:pBdr>
          <w:bottom w:val="single" w:sz="6" w:space="1" w:color="8B6A10"/>
        </w:pBdr>
      </w:pPr>
      <w:r>
        <w:rPr>
          <w:b/>
          <w:color w:val="5A0808"/>
          <w:sz w:val="26"/>
        </w:rPr>
        <w:t>WEEK 3  —  Christian Witness in Modern Society</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A Knight posts a meme on his personal social media account that is technically not false but is sarcastic and contemptuous toward a public figure. A chapter member sees it and is troubled. What is the primary concern?</w:t>
            </w:r>
          </w:p>
        </w:tc>
        <w:tc>
          <w:tcPr>
            <w:tcW w:type="dxa" w:w="2736"/>
            <w:shd w:val="clear" w:color="auto" w:fill="FDF6EC"/>
          </w:tcPr>
          <w:p>
            <w:r/>
            <w:r>
              <w:rPr>
                <w:b/>
                <w:color w:val="5A0808"/>
                <w:sz w:val="20"/>
              </w:rPr>
              <w:t xml:space="preserve">C  </w:t>
            </w:r>
            <w:r>
              <w:rPr>
                <w:color w:val="101010"/>
                <w:sz w:val="18"/>
              </w:rPr>
              <w:t>The post reflects on the Knight's character and the order's witness — contemptuous communication undermines the Christlike standard regardless of the target's public status.</w:t>
            </w:r>
          </w:p>
        </w:tc>
        <w:tc>
          <w:tcPr>
            <w:tcW w:type="dxa" w:w="2966"/>
            <w:shd w:val="clear" w:color="auto" w:fill="FDF6EC"/>
          </w:tcPr>
          <w:p>
            <w:r>
              <w:rPr>
                <w:i/>
                <w:color w:val="402810"/>
                <w:sz w:val="17"/>
              </w:rPr>
              <w:t>Christian witness is not compartmentalized. A Knight's digital behavior is part of his public character, and contemptuous communication toward anyone — regardless of platform or target — contradicts the standard of witness KTKC requires.</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A Knight is asked by a coworker to explain his KTKC membership. The coworker is skeptical of religious organizations. What does effective Christian witness look like in this context?</w:t>
            </w:r>
          </w:p>
        </w:tc>
        <w:tc>
          <w:tcPr>
            <w:tcW w:type="dxa" w:w="2736"/>
            <w:shd w:val="clear" w:color="auto" w:fill="FFFFFF"/>
          </w:tcPr>
          <w:p>
            <w:r/>
            <w:r>
              <w:rPr>
                <w:b/>
                <w:color w:val="5A0808"/>
                <w:sz w:val="20"/>
              </w:rPr>
              <w:t xml:space="preserve">B  </w:t>
            </w:r>
            <w:r>
              <w:rPr>
                <w:color w:val="101010"/>
                <w:sz w:val="18"/>
              </w:rPr>
              <w:t>Engage honestly and winsome-ly, describing the order's purpose and values, and modeling the kind of respectful dialogue that itself demonstrates the character KTKC cultivates.</w:t>
            </w:r>
          </w:p>
        </w:tc>
        <w:tc>
          <w:tcPr>
            <w:tcW w:type="dxa" w:w="2966"/>
            <w:shd w:val="clear" w:color="auto" w:fill="FFFFFF"/>
          </w:tcPr>
          <w:p>
            <w:r>
              <w:rPr>
                <w:i/>
                <w:color w:val="402810"/>
                <w:sz w:val="17"/>
              </w:rPr>
              <w:t>Winsomeness and honesty are the marks of effective witness. Hiding the faith dimension misrepresents KTKC; a hard recruiting pitch pressures rather than invites. Honest, respectful engagement models the very character being described.</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A local controversy erupts over a community issue that has clear moral dimensions. Members of the chapter disagree about whether KTKC should take a public position. What framework should guide the decision?</w:t>
            </w:r>
          </w:p>
        </w:tc>
        <w:tc>
          <w:tcPr>
            <w:tcW w:type="dxa" w:w="2736"/>
            <w:shd w:val="clear" w:color="auto" w:fill="FDF6EC"/>
          </w:tcPr>
          <w:p>
            <w:r/>
            <w:r>
              <w:rPr>
                <w:b/>
                <w:color w:val="5A0808"/>
                <w:sz w:val="20"/>
              </w:rPr>
              <w:t xml:space="preserve">C  </w:t>
            </w:r>
            <w:r>
              <w:rPr>
                <w:color w:val="101010"/>
                <w:sz w:val="18"/>
              </w:rPr>
              <w:t>The question of whether to speak, and what to say, should be discerned collectively through proper chapter governance, weighing whether the issue falls within KTKC's mission, whether a position would help or harm witness, and what the appropriate tone and forum are.</w:t>
            </w:r>
          </w:p>
        </w:tc>
        <w:tc>
          <w:tcPr>
            <w:tcW w:type="dxa" w:w="2966"/>
            <w:shd w:val="clear" w:color="auto" w:fill="FDF6EC"/>
          </w:tcPr>
          <w:p>
            <w:r>
              <w:rPr>
                <w:i/>
                <w:color w:val="402810"/>
                <w:sz w:val="17"/>
              </w:rPr>
              <w:t>Collective discernment through governance is the right framework. Neither reflexive silence nor reflexive pronouncement serves witness well — the question requires deliberation about mission, impact, and tone.</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A Knight discovers that a chapter activity planned for a public venue will visually overlap with a political rally scheduled the same day. What is the prudent response?</w:t>
            </w:r>
          </w:p>
        </w:tc>
        <w:tc>
          <w:tcPr>
            <w:tcW w:type="dxa" w:w="2736"/>
            <w:shd w:val="clear" w:color="auto" w:fill="FFFFFF"/>
          </w:tcPr>
          <w:p>
            <w:r/>
            <w:r>
              <w:rPr>
                <w:b/>
                <w:color w:val="5A0808"/>
                <w:sz w:val="20"/>
              </w:rPr>
              <w:t xml:space="preserve">C  </w:t>
            </w:r>
            <w:r>
              <w:rPr>
                <w:color w:val="101010"/>
                <w:sz w:val="18"/>
              </w:rPr>
              <w:t>Assess whether the overlap creates a risk of misrepresentation, and if so, either adjust the activity's timing/location or add clear public communication that distinguishes KTKC's presence from the political event.</w:t>
            </w:r>
          </w:p>
        </w:tc>
        <w:tc>
          <w:tcPr>
            <w:tcW w:type="dxa" w:w="2966"/>
            <w:shd w:val="clear" w:color="auto" w:fill="FFFFFF"/>
          </w:tcPr>
          <w:p>
            <w:r>
              <w:rPr>
                <w:i/>
                <w:color w:val="402810"/>
                <w:sz w:val="17"/>
              </w:rPr>
              <w:t>Witness requires active management of perception. Ignoring foreseeable misrepresentation is not neutral — it is negligent. Adjustment or clear communication resolves the risk without canceling the activity's purpose.</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What distinguishes a 'prophetic voice' from mere political opinion in KTKC's understanding of Christian witness?</w:t>
            </w:r>
          </w:p>
        </w:tc>
        <w:tc>
          <w:tcPr>
            <w:tcW w:type="dxa" w:w="2736"/>
            <w:shd w:val="clear" w:color="auto" w:fill="FDF6EC"/>
          </w:tcPr>
          <w:p>
            <w:r/>
            <w:r>
              <w:rPr>
                <w:b/>
                <w:color w:val="5A0808"/>
                <w:sz w:val="20"/>
              </w:rPr>
              <w:t xml:space="preserve">B  </w:t>
            </w:r>
            <w:r>
              <w:rPr>
                <w:color w:val="101010"/>
                <w:sz w:val="18"/>
              </w:rPr>
              <w:t>A prophetic voice speaks from scripture-grounded conviction about justice and human dignity, in humility and with accountability to the community of faith, not from partisan alignment or personal agenda.</w:t>
            </w:r>
          </w:p>
        </w:tc>
        <w:tc>
          <w:tcPr>
            <w:tcW w:type="dxa" w:w="2966"/>
            <w:shd w:val="clear" w:color="auto" w:fill="FDF6EC"/>
          </w:tcPr>
          <w:p>
            <w:r>
              <w:rPr>
                <w:i/>
                <w:color w:val="402810"/>
                <w:sz w:val="17"/>
              </w:rPr>
              <w:t>Prophetic speech is distinguished by its source (scripture and justice commitments), its spirit (humility, not self-promotion), and its accountability (it is discerned within community). Political opinion may use the same issues but lacks these grounding characteristics.</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A Knight is asked to speak at a school about his faith and leadership. The school requests he avoid any explicitly religious content. He has 20 minutes. What is the best approach?</w:t>
            </w:r>
          </w:p>
        </w:tc>
        <w:tc>
          <w:tcPr>
            <w:tcW w:type="dxa" w:w="2736"/>
            <w:shd w:val="clear" w:color="auto" w:fill="FFFFFF"/>
          </w:tcPr>
          <w:p>
            <w:r/>
            <w:r>
              <w:rPr>
                <w:b/>
                <w:color w:val="5A0808"/>
                <w:sz w:val="20"/>
              </w:rPr>
              <w:t xml:space="preserve">C  </w:t>
            </w:r>
            <w:r>
              <w:rPr>
                <w:color w:val="101010"/>
                <w:sz w:val="18"/>
              </w:rPr>
              <w:t>Accept and speak about character, service, and leadership formation in terms that are intelligible and inviting without proselytizing, while being prepared to answer honest questions about the faith foundation if asked directly.</w:t>
            </w:r>
          </w:p>
        </w:tc>
        <w:tc>
          <w:tcPr>
            <w:tcW w:type="dxa" w:w="2966"/>
            <w:shd w:val="clear" w:color="auto" w:fill="FFFFFF"/>
          </w:tcPr>
          <w:p>
            <w:r>
              <w:rPr>
                <w:i/>
                <w:color w:val="402810"/>
                <w:sz w:val="17"/>
              </w:rPr>
              <w:t>Christian witness adapts to context without abandoning integrity. The Knight can speak meaningfully about character and service — which are fruits of faith — without violating the host institution's reasonable request, while remaining honest if directly questioned.</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A fellow Knight engages in a pattern of inconsistent behavior — exemplary at chapter events and disrespectful in personal life contexts. A newer member notices the discrepancy and is confused. What should the observing Knight do?</w:t>
            </w:r>
          </w:p>
        </w:tc>
        <w:tc>
          <w:tcPr>
            <w:tcW w:type="dxa" w:w="2736"/>
            <w:shd w:val="clear" w:color="auto" w:fill="FDF6EC"/>
          </w:tcPr>
          <w:p>
            <w:r/>
            <w:r>
              <w:rPr>
                <w:b/>
                <w:color w:val="5A0808"/>
                <w:sz w:val="20"/>
              </w:rPr>
              <w:t xml:space="preserve">C  </w:t>
            </w:r>
            <w:r>
              <w:rPr>
                <w:color w:val="101010"/>
                <w:sz w:val="18"/>
              </w:rPr>
              <w:t>Speak privately to the Knight, naming the inconsistency and its effect on witness, inviting self-reflection — the relationship between character and witness requires that inconsistency not be ignored.</w:t>
            </w:r>
          </w:p>
        </w:tc>
        <w:tc>
          <w:tcPr>
            <w:tcW w:type="dxa" w:w="2966"/>
            <w:shd w:val="clear" w:color="auto" w:fill="FDF6EC"/>
          </w:tcPr>
          <w:p>
            <w:r>
              <w:rPr>
                <w:i/>
                <w:color w:val="402810"/>
                <w:sz w:val="17"/>
              </w:rPr>
              <w:t>Witness consistency is a Knight's responsibility. A private, fraternal conversation — not punitive — is the right first response. Ignoring inconsistency or reassuring the newer member that it doesn't matter both fail the witness standard.</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What is the fundamental error in 'compartmentalized Christianity' as KTKC understands it?</w:t>
            </w:r>
          </w:p>
        </w:tc>
        <w:tc>
          <w:tcPr>
            <w:tcW w:type="dxa" w:w="2736"/>
            <w:shd w:val="clear" w:color="auto" w:fill="FFFFFF"/>
          </w:tcPr>
          <w:p>
            <w:r/>
            <w:r>
              <w:rPr>
                <w:b/>
                <w:color w:val="5A0808"/>
                <w:sz w:val="20"/>
              </w:rPr>
              <w:t xml:space="preserve">B  </w:t>
            </w:r>
            <w:r>
              <w:rPr>
                <w:color w:val="101010"/>
                <w:sz w:val="18"/>
              </w:rPr>
              <w:t>It treats faith as a private preference rather than a comprehensive orientation that shapes all conduct, thereby making Christian witness contingent on context rather than consistent.</w:t>
            </w:r>
          </w:p>
        </w:tc>
        <w:tc>
          <w:tcPr>
            <w:tcW w:type="dxa" w:w="2966"/>
            <w:shd w:val="clear" w:color="auto" w:fill="FFFFFF"/>
          </w:tcPr>
          <w:p>
            <w:r>
              <w:rPr>
                <w:i/>
                <w:color w:val="402810"/>
                <w:sz w:val="17"/>
              </w:rPr>
              <w:t>Compartmentalization is the error of confining faith to designated settings (church, chapter events) while operating by different standards elsewhere. KTKC teaches that Christian character is comprehensive — it shapes conduct in every context, not just religious ones.</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A Knight is offered a significant professional opportunity that would require him to publicly endorse a product he personally finds ethically questionable, though not illegal. What does witness integrity require?</w:t>
            </w:r>
          </w:p>
        </w:tc>
        <w:tc>
          <w:tcPr>
            <w:tcW w:type="dxa" w:w="2736"/>
            <w:shd w:val="clear" w:color="auto" w:fill="FDF6EC"/>
          </w:tcPr>
          <w:p>
            <w:r/>
            <w:r>
              <w:rPr>
                <w:b/>
                <w:color w:val="5A0808"/>
                <w:sz w:val="20"/>
              </w:rPr>
              <w:t xml:space="preserve">C  </w:t>
            </w:r>
            <w:r>
              <w:rPr>
                <w:color w:val="101010"/>
                <w:sz w:val="18"/>
              </w:rPr>
              <w:t>Carefully weigh whether the endorsement contradicts the standards of witness and character that Knight rank represents, and decline if the conflict is real — rank carries the expectation that advancement does not come at the cost of integrity.</w:t>
            </w:r>
          </w:p>
        </w:tc>
        <w:tc>
          <w:tcPr>
            <w:tcW w:type="dxa" w:w="2966"/>
            <w:shd w:val="clear" w:color="auto" w:fill="FDF6EC"/>
          </w:tcPr>
          <w:p>
            <w:r>
              <w:rPr>
                <w:i/>
                <w:color w:val="402810"/>
                <w:sz w:val="17"/>
              </w:rPr>
              <w:t>Knight rank carries a public character standard. An endorsement is a form of public witness. If the product contradicts that standard, acceptance compromises the integrity that rank is meant to model.</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Which of the following best describes how a Knight should handle a direct question about KTKC's position on a contested theological topic during a public event?</w:t>
            </w:r>
          </w:p>
        </w:tc>
        <w:tc>
          <w:tcPr>
            <w:tcW w:type="dxa" w:w="2736"/>
            <w:shd w:val="clear" w:color="auto" w:fill="FFFFFF"/>
          </w:tcPr>
          <w:p>
            <w:r/>
            <w:r>
              <w:rPr>
                <w:b/>
                <w:color w:val="5A0808"/>
                <w:sz w:val="20"/>
              </w:rPr>
              <w:t xml:space="preserve">C  </w:t>
            </w:r>
            <w:r>
              <w:rPr>
                <w:color w:val="101010"/>
                <w:sz w:val="18"/>
              </w:rPr>
              <w:t>Acknowledge the question honestly, distinguish between what KTKC officially teaches, where the order allows latitude, and his own personal position, demonstrating that faith engages hard questions with humility and without pretense.</w:t>
            </w:r>
          </w:p>
        </w:tc>
        <w:tc>
          <w:tcPr>
            <w:tcW w:type="dxa" w:w="2966"/>
            <w:shd w:val="clear" w:color="auto" w:fill="FFFFFF"/>
          </w:tcPr>
          <w:p>
            <w:r>
              <w:rPr>
                <w:i/>
                <w:color w:val="402810"/>
                <w:sz w:val="17"/>
              </w:rPr>
              <w:t>Thoughtful, honest engagement with hard questions is itself a form of witness. Pretending the question doesn't exist or deflecting communicates that faith cannot handle scrutiny; honest, humble engagement communicates the opposite.</w:t>
            </w:r>
          </w:p>
        </w:tc>
      </w:tr>
    </w:tbl>
    <w:p>
      <w:pPr>
        <w:spacing w:after="80"/>
      </w:pPr>
    </w:p>
    <w:p>
      <w:pPr>
        <w:spacing w:before="240" w:after="120"/>
        <w:pBdr>
          <w:bottom w:val="single" w:sz="6" w:space="1" w:color="8B6A10"/>
        </w:pBdr>
      </w:pPr>
      <w:r>
        <w:rPr>
          <w:b/>
          <w:color w:val="5A0808"/>
          <w:sz w:val="26"/>
        </w:rPr>
        <w:t>WEEK 4  —  Day of Service and Leadership in Action</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A Knight is leading a day-of-service project and discovers the morning of the event that a key volunteer has cancelled and a critical task is now uncovered. What does effective leadership require?</w:t>
            </w:r>
          </w:p>
        </w:tc>
        <w:tc>
          <w:tcPr>
            <w:tcW w:type="dxa" w:w="2736"/>
            <w:shd w:val="clear" w:color="auto" w:fill="FDF6EC"/>
          </w:tcPr>
          <w:p>
            <w:r/>
            <w:r>
              <w:rPr>
                <w:b/>
                <w:color w:val="5A0808"/>
                <w:sz w:val="20"/>
              </w:rPr>
              <w:t xml:space="preserve">C  </w:t>
            </w:r>
            <w:r>
              <w:rPr>
                <w:color w:val="101010"/>
                <w:sz w:val="18"/>
              </w:rPr>
              <w:t>Rapidly assess which team members have capacity to absorb the task, redistribute accordingly, and brief the team on the revised plan while maintaining focus on the project's primary deliverable.</w:t>
            </w:r>
          </w:p>
        </w:tc>
        <w:tc>
          <w:tcPr>
            <w:tcW w:type="dxa" w:w="2966"/>
            <w:shd w:val="clear" w:color="auto" w:fill="FDF6EC"/>
          </w:tcPr>
          <w:p>
            <w:r>
              <w:rPr>
                <w:i/>
                <w:color w:val="402810"/>
                <w:sz w:val="17"/>
              </w:rPr>
              <w:t>Adaptive leadership under pressure is the capstone skill. Rapid assessment, clear reallocation, and re-briefing the team preserves mission while avoiding either abandoning commitments or self-sacrificing at the expense of coordination.</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After a service project, a Knight conducts an after-action review (AAR). One of his team members performed poorly. How should the AAR address this?</w:t>
            </w:r>
          </w:p>
        </w:tc>
        <w:tc>
          <w:tcPr>
            <w:tcW w:type="dxa" w:w="2736"/>
            <w:shd w:val="clear" w:color="auto" w:fill="FFFFFF"/>
          </w:tcPr>
          <w:p>
            <w:r/>
            <w:r>
              <w:rPr>
                <w:b/>
                <w:color w:val="5A0808"/>
                <w:sz w:val="20"/>
              </w:rPr>
              <w:t xml:space="preserve">C  </w:t>
            </w:r>
            <w:r>
              <w:rPr>
                <w:color w:val="101010"/>
                <w:sz w:val="18"/>
              </w:rPr>
              <w:t>Address what went wrong at the task or process level in the AAR, then follow up privately and specifically with the individual — the AAR improves systems while private feedback develops people.</w:t>
            </w:r>
          </w:p>
        </w:tc>
        <w:tc>
          <w:tcPr>
            <w:tcW w:type="dxa" w:w="2966"/>
            <w:shd w:val="clear" w:color="auto" w:fill="FFFFFF"/>
          </w:tcPr>
          <w:p>
            <w:r>
              <w:rPr>
                <w:i/>
                <w:color w:val="402810"/>
                <w:sz w:val="17"/>
              </w:rPr>
              <w:t>AARs are learning tools, not punishment forums. Systemic failures belong in the AAR; individual performance feedback belongs in private conversation. Both are necessary — neither replaces the other.</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A Knight's theological reflection on a service project reveals that he felt pride in his leadership visibility rather than genuine care for the beneficiaries. What is the spiritually honest response?</w:t>
            </w:r>
          </w:p>
        </w:tc>
        <w:tc>
          <w:tcPr>
            <w:tcW w:type="dxa" w:w="2736"/>
            <w:shd w:val="clear" w:color="auto" w:fill="FDF6EC"/>
          </w:tcPr>
          <w:p>
            <w:r/>
            <w:r>
              <w:rPr>
                <w:b/>
                <w:color w:val="5A0808"/>
                <w:sz w:val="20"/>
              </w:rPr>
              <w:t xml:space="preserve">B  </w:t>
            </w:r>
            <w:r>
              <w:rPr>
                <w:color w:val="101010"/>
                <w:sz w:val="18"/>
              </w:rPr>
              <w:t>Acknowledge the observation in prayer and reflection, treating it as a diagnostic of where formation is still needed, and reorient motivation before the next service engagement.</w:t>
            </w:r>
          </w:p>
        </w:tc>
        <w:tc>
          <w:tcPr>
            <w:tcW w:type="dxa" w:w="2966"/>
            <w:shd w:val="clear" w:color="auto" w:fill="FDF6EC"/>
          </w:tcPr>
          <w:p>
            <w:r>
              <w:rPr>
                <w:i/>
                <w:color w:val="402810"/>
                <w:sz w:val="17"/>
              </w:rPr>
              <w:t>Theological reflection is honest self-examination. Noticing prideful motivation is the beginning of formation, not a failure requiring external intervention. The appropriate response is internal reorientation, not performance management.</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What is the primary purpose of a Knight's promotion board review?</w:t>
            </w:r>
          </w:p>
        </w:tc>
        <w:tc>
          <w:tcPr>
            <w:tcW w:type="dxa" w:w="2736"/>
            <w:shd w:val="clear" w:color="auto" w:fill="FFFFFF"/>
          </w:tcPr>
          <w:p>
            <w:r/>
            <w:r>
              <w:rPr>
                <w:b/>
                <w:color w:val="5A0808"/>
                <w:sz w:val="20"/>
              </w:rPr>
              <w:t xml:space="preserve">B  </w:t>
            </w:r>
            <w:r>
              <w:rPr>
                <w:color w:val="101010"/>
                <w:sz w:val="18"/>
              </w:rPr>
              <w:t>To assess whether the Knight demonstrates the integrated knowledge, character, judgment, and service practice that qualify him for the next level of leadership responsibility.</w:t>
            </w:r>
          </w:p>
        </w:tc>
        <w:tc>
          <w:tcPr>
            <w:tcW w:type="dxa" w:w="2966"/>
            <w:shd w:val="clear" w:color="auto" w:fill="FFFFFF"/>
          </w:tcPr>
          <w:p>
            <w:r>
              <w:rPr>
                <w:i/>
                <w:color w:val="402810"/>
                <w:sz w:val="17"/>
              </w:rPr>
              <w:t>The board review is an integrative assessment — it evaluates the whole Knight across the five pillars (Knowledge, Judgment, Service, Character, Communication), not just any single dimension.</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A Knight preparing for his promotion board is advised to 'memorize the right answers.' Why is this preparation strategy insufficient?</w:t>
            </w:r>
          </w:p>
        </w:tc>
        <w:tc>
          <w:tcPr>
            <w:tcW w:type="dxa" w:w="2736"/>
            <w:shd w:val="clear" w:color="auto" w:fill="FDF6EC"/>
          </w:tcPr>
          <w:p>
            <w:r/>
            <w:r>
              <w:rPr>
                <w:b/>
                <w:color w:val="5A0808"/>
                <w:sz w:val="20"/>
              </w:rPr>
              <w:t xml:space="preserve">B  </w:t>
            </w:r>
            <w:r>
              <w:rPr>
                <w:color w:val="101010"/>
                <w:sz w:val="18"/>
              </w:rPr>
              <w:t>Memorization prepares for Knowledge questions only; board review also assesses Judgment, Service, Character, and Communication in ways that cannot be memorized.</w:t>
            </w:r>
          </w:p>
        </w:tc>
        <w:tc>
          <w:tcPr>
            <w:tcW w:type="dxa" w:w="2966"/>
            <w:shd w:val="clear" w:color="auto" w:fill="FDF6EC"/>
          </w:tcPr>
          <w:p>
            <w:r>
              <w:rPr>
                <w:i/>
                <w:color w:val="402810"/>
                <w:sz w:val="17"/>
              </w:rPr>
              <w:t>Board reviews assess integrated competence across five pillars. Judgment questions present novel scenarios; Character is assessed through demeanor; Service is verified through documented practice. Memorization only addresses a fraction of what is evaluated.</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A Knight receives a board question: 'Describe a time you failed in leadership and what you learned.' He has no examples of obvious failure. What should he do?</w:t>
            </w:r>
          </w:p>
        </w:tc>
        <w:tc>
          <w:tcPr>
            <w:tcW w:type="dxa" w:w="2736"/>
            <w:shd w:val="clear" w:color="auto" w:fill="FFFFFF"/>
          </w:tcPr>
          <w:p>
            <w:r/>
            <w:r>
              <w:rPr>
                <w:b/>
                <w:color w:val="5A0808"/>
                <w:sz w:val="20"/>
              </w:rPr>
              <w:t xml:space="preserve">B  </w:t>
            </w:r>
            <w:r>
              <w:rPr>
                <w:color w:val="101010"/>
                <w:sz w:val="18"/>
              </w:rPr>
              <w:t>State honestly that he has not experienced significant leadership failure yet, and describe the internal standard he uses to assess his own leadership — demonstrating that self-evaluation exists even without obvious failure.</w:t>
            </w:r>
          </w:p>
        </w:tc>
        <w:tc>
          <w:tcPr>
            <w:tcW w:type="dxa" w:w="2966"/>
            <w:shd w:val="clear" w:color="auto" w:fill="FFFFFF"/>
          </w:tcPr>
          <w:p>
            <w:r>
              <w:rPr>
                <w:i/>
                <w:color w:val="402810"/>
                <w:sz w:val="17"/>
              </w:rPr>
              <w:t>Intellectual integrity matters more than a compelling failure story. Honest acknowledgment of limited failure experience, paired with articulate self-evaluation, demonstrates both honesty and self-awareness — the actual competencies being tested.</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Which of the five KTKC board review pillars is most likely to be assessed through how a candidate enters the room, greets reviewers, and handles nervousness?</w:t>
            </w:r>
          </w:p>
        </w:tc>
        <w:tc>
          <w:tcPr>
            <w:tcW w:type="dxa" w:w="2736"/>
            <w:shd w:val="clear" w:color="auto" w:fill="FDF6EC"/>
          </w:tcPr>
          <w:p>
            <w:r/>
            <w:r>
              <w:rPr>
                <w:b/>
                <w:color w:val="5A0808"/>
                <w:sz w:val="20"/>
              </w:rPr>
              <w:t xml:space="preserve">C  </w:t>
            </w:r>
            <w:r>
              <w:rPr>
                <w:color w:val="101010"/>
                <w:sz w:val="18"/>
              </w:rPr>
              <w:t>Character — visible composure, courtesy, and bearing under evaluative pressure reveal character independent of verbal answers.</w:t>
            </w:r>
          </w:p>
        </w:tc>
        <w:tc>
          <w:tcPr>
            <w:tcW w:type="dxa" w:w="2966"/>
            <w:shd w:val="clear" w:color="auto" w:fill="FDF6EC"/>
          </w:tcPr>
          <w:p>
            <w:r>
              <w:rPr>
                <w:i/>
                <w:color w:val="402810"/>
                <w:sz w:val="17"/>
              </w:rPr>
              <w:t>Character is often assessed through behavior that precedes and surrounds the formal questions. Bearing, courtesy, and composure under pressure communicate whether character is internalized or merely performed when asked about it.</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A Knight's service reflection concludes that the community he served has a structural need that goes beyond the single-day project his chapter can address. What does leadership integration require?</w:t>
            </w:r>
          </w:p>
        </w:tc>
        <w:tc>
          <w:tcPr>
            <w:tcW w:type="dxa" w:w="2736"/>
            <w:shd w:val="clear" w:color="auto" w:fill="FFFFFF"/>
          </w:tcPr>
          <w:p>
            <w:r/>
            <w:r>
              <w:rPr>
                <w:b/>
                <w:color w:val="5A0808"/>
                <w:sz w:val="20"/>
              </w:rPr>
              <w:t xml:space="preserve">C  </w:t>
            </w:r>
            <w:r>
              <w:rPr>
                <w:color w:val="101010"/>
                <w:sz w:val="18"/>
              </w:rPr>
              <w:t>Surface the observation to appropriate chapter leadership with a specific recommendation, providing the data and framing needed for the chapter to decide whether to expand engagement.</w:t>
            </w:r>
          </w:p>
        </w:tc>
        <w:tc>
          <w:tcPr>
            <w:tcW w:type="dxa" w:w="2966"/>
            <w:shd w:val="clear" w:color="auto" w:fill="FFFFFF"/>
          </w:tcPr>
          <w:p>
            <w:r>
              <w:rPr>
                <w:i/>
                <w:color w:val="402810"/>
                <w:sz w:val="17"/>
              </w:rPr>
              <w:t>Leadership integration means translating insight into organizational action through proper channels. A Knight doesn't unilaterally expand scope, but equally doesn't bury important observations — the right response is informed recommendation upward.</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What does it mean to 'lead from the front' in a KTKC service context, and what is its limitation?</w:t>
            </w:r>
          </w:p>
        </w:tc>
        <w:tc>
          <w:tcPr>
            <w:tcW w:type="dxa" w:w="2736"/>
            <w:shd w:val="clear" w:color="auto" w:fill="FDF6EC"/>
          </w:tcPr>
          <w:p>
            <w:r/>
            <w:r>
              <w:rPr>
                <w:b/>
                <w:color w:val="5A0808"/>
                <w:sz w:val="20"/>
              </w:rPr>
              <w:t xml:space="preserve">B  </w:t>
            </w:r>
            <w:r>
              <w:rPr>
                <w:color w:val="101010"/>
                <w:sz w:val="18"/>
              </w:rPr>
              <w:t>It means the Knight models the conduct and effort he expects from the team, visible and engaged; the limitation is that constant personal modeling can prevent the Knight from observing, coordinating, and developing others.</w:t>
            </w:r>
          </w:p>
        </w:tc>
        <w:tc>
          <w:tcPr>
            <w:tcW w:type="dxa" w:w="2966"/>
            <w:shd w:val="clear" w:color="auto" w:fill="FDF6EC"/>
          </w:tcPr>
          <w:p>
            <w:r>
              <w:rPr>
                <w:i/>
                <w:color w:val="402810"/>
                <w:sz w:val="17"/>
              </w:rPr>
              <w:t>Leading from the front is about visible modeling, not personal performance of all tasks. Its limitation is real: a leader so focused on doing loses perspective, coordination capacity, and the ability to develop team members.</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A Knight is preparing his capstone reflection. He is asked to connect one specific experience from the service project to one of the four Knight-level themes studied this term. What makes a reflection 'integrative' rather than merely descriptive?</w:t>
            </w:r>
          </w:p>
        </w:tc>
        <w:tc>
          <w:tcPr>
            <w:tcW w:type="dxa" w:w="2736"/>
            <w:shd w:val="clear" w:color="auto" w:fill="FFFFFF"/>
          </w:tcPr>
          <w:p>
            <w:r/>
            <w:r>
              <w:rPr>
                <w:b/>
                <w:color w:val="5A0808"/>
                <w:sz w:val="20"/>
              </w:rPr>
              <w:t xml:space="preserve">B  </w:t>
            </w:r>
            <w:r>
              <w:rPr>
                <w:color w:val="101010"/>
                <w:sz w:val="18"/>
              </w:rPr>
              <w:t>An integrative reflection names what happened (descriptive layer), interprets what it revealed about the theme (analytical layer), and specifies what it changes in future practice (formative layer).</w:t>
            </w:r>
          </w:p>
        </w:tc>
        <w:tc>
          <w:tcPr>
            <w:tcW w:type="dxa" w:w="2966"/>
            <w:shd w:val="clear" w:color="auto" w:fill="FFFFFF"/>
          </w:tcPr>
          <w:p>
            <w:r>
              <w:rPr>
                <w:i/>
                <w:color w:val="402810"/>
                <w:sz w:val="17"/>
              </w:rPr>
              <w:t>Integration requires three moves: description, interpretation, and application. Stopping at description is not integration; moving through all three levels — including what changes in future practice — is what makes reflection formative rather than merely retrospective.</w:t>
            </w:r>
          </w:p>
        </w:tc>
      </w:tr>
    </w:tbl>
    <w:p>
      <w:pPr>
        <w:spacing w:after="80"/>
      </w:pPr>
    </w:p>
    <w:p>
      <w:pPr>
        <w:spacing w:before="240"/>
        <w:jc w:val="center"/>
      </w:pPr>
      <w:r>
        <w:rPr>
          <w:i/>
          <w:color w:val="7A2020"/>
          <w:sz w:val="17"/>
        </w:rPr>
        <w:t>✠  Schoolmaster Reference Document — KTKC Knight School Program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