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line="276" w:lineRule="auto"/>
        <w:jc w:val="left"/>
      </w:pPr>
      <w:r>
        <w:rPr>
          <w:rFonts w:ascii="Arial" w:cs="Arial" w:eastAsia="Arial" w:hAnsi="Arial"/>
          <w:b w:val="false"/>
          <w:bCs w:val="false"/>
          <w:i w:val="false"/>
          <w:iCs w:val="false"/>
          <w:color w:val="1C2333"/>
          <w:sz w:val="22"/>
          <w:szCs w:val="22"/>
        </w:rPr>
        <w:t xml:space="preserve"/>
      </w:r>
    </w:p>
    <w:p>
      <w:pPr>
        <w:spacing w:before="0" w:after="0" w:line="276" w:lineRule="auto"/>
        <w:jc w:val="left"/>
      </w:pPr>
      <w:r>
        <w:rPr>
          <w:rFonts w:ascii="Arial" w:cs="Arial" w:eastAsia="Arial" w:hAnsi="Arial"/>
          <w:b/>
          <w:bCs/>
          <w:i w:val="false"/>
          <w:iCs w:val="false"/>
          <w:color w:val="1B2A4A"/>
          <w:sz w:val="80"/>
          <w:szCs w:val="80"/>
        </w:rPr>
        <w:t xml:space="preserve">FOOTPRINTS</w:t>
      </w:r>
    </w:p>
    <w:p>
      <w:pPr>
        <w:spacing w:before="0" w:after="60" w:line="276" w:lineRule="auto"/>
        <w:jc w:val="left"/>
      </w:pPr>
      <w:r>
        <w:rPr>
          <w:rFonts w:ascii="Arial" w:cs="Arial" w:eastAsia="Arial" w:hAnsi="Arial"/>
          <w:b w:val="false"/>
          <w:bCs w:val="false"/>
          <w:i w:val="false"/>
          <w:iCs w:val="false"/>
          <w:color w:val="2E75B6"/>
          <w:sz w:val="80"/>
          <w:szCs w:val="80"/>
        </w:rPr>
        <w:t xml:space="preserve">v2.0</w:t>
      </w:r>
    </w:p>
    <w:p>
      <w:pPr>
        <w:pBdr>
          <w:bottom w:val="single" w:color="2E75B6" w:sz="12" w:space="8"/>
        </w:pBdr>
        <w:spacing w:before="0" w:after="240" w:line="276" w:lineRule="auto"/>
      </w:pPr>
      <w:r>
        <w:rPr>
          <w:rFonts w:ascii="Arial" w:cs="Arial" w:eastAsia="Arial" w:hAnsi="Arial"/>
          <w:b w:val="false"/>
          <w:bCs w:val="false"/>
          <w:i w:val="false"/>
          <w:iCs w:val="false"/>
          <w:color w:val="445060"/>
          <w:sz w:val="30"/>
          <w:szCs w:val="30"/>
        </w:rPr>
        <w:t xml:space="preserve">Institutional Signal Intelligence for Pension Fund Rotation</w:t>
      </w:r>
    </w:p>
    <w:p>
      <w:pPr>
        <w:spacing w:before="240" w:after="80" w:line="276" w:lineRule="auto"/>
        <w:jc w:val="left"/>
      </w:pPr>
      <w:r>
        <w:rPr>
          <w:rFonts w:ascii="Arial" w:cs="Arial" w:eastAsia="Arial" w:hAnsi="Arial"/>
          <w:b w:val="false"/>
          <w:bCs w:val="false"/>
          <w:i w:val="false"/>
          <w:iCs w:val="false"/>
          <w:color w:val="1C2333"/>
          <w:sz w:val="22"/>
          <w:szCs w:val="22"/>
        </w:rPr>
        <w:t xml:space="preserve"/>
      </w:r>
    </w:p>
    <w:p>
      <w:pPr>
        <w:spacing w:before="0" w:after="60" w:line="276" w:lineRule="auto"/>
      </w:pPr>
      <w:r>
        <w:rPr>
          <w:rFonts w:ascii="Arial" w:cs="Arial" w:eastAsia="Arial" w:hAnsi="Arial"/>
          <w:b/>
          <w:bCs/>
          <w:i w:val="false"/>
          <w:iCs w:val="false"/>
          <w:color w:val="2E75B6"/>
          <w:spacing w:val="200"/>
          <w:sz w:val="22"/>
          <w:szCs w:val="22"/>
        </w:rPr>
        <w:t xml:space="preserve">WHITE PAPER</w:t>
      </w:r>
    </w:p>
    <w:p>
      <w:pPr>
        <w:spacing w:before="0" w:after="100" w:line="276" w:lineRule="auto"/>
        <w:jc w:val="left"/>
      </w:pPr>
      <w:r>
        <w:rPr>
          <w:rFonts w:ascii="Arial" w:cs="Arial" w:eastAsia="Arial" w:hAnsi="Arial"/>
          <w:b w:val="false"/>
          <w:bCs w:val="false"/>
          <w:i w:val="false"/>
          <w:iCs w:val="false"/>
          <w:color w:val="1C2333"/>
          <w:sz w:val="22"/>
          <w:szCs w:val="22"/>
        </w:rPr>
        <w:t xml:space="preserve">This paper describes the design, methodology, and application of Footprints — a systematic weekly framework for detecting and acting on institutional capital flows across exchange-traded fund (ETF) markets. It is written for two audiences simultaneously: financially literate practitioners who need to understand model construction in detail, and informed non-specialists who need to understand what Footprints does and why it is useful, without requiring prior knowledge of quantitative finance.</w:t>
      </w:r>
    </w:p>
    <w:p>
      <w:pPr>
        <w:spacing w:before="24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445060"/>
                <w:sz w:val="19"/>
                <w:szCs w:val="19"/>
              </w:rPr>
              <w:t xml:space="preserve">Version</w:t>
            </w:r>
          </w:p>
        </w:tc>
        <w:tc>
          <w:tcPr>
            <w:tcW w:type="dxa" w:w="736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Footprints v2.0  (Model: weekly_v2_0)</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445060"/>
                <w:sz w:val="19"/>
                <w:szCs w:val="19"/>
              </w:rPr>
              <w:t xml:space="preserve">Classification</w:t>
            </w:r>
          </w:p>
        </w:tc>
        <w:tc>
          <w:tcPr>
            <w:tcW w:type="dxa" w:w="7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Confidential — For Authorised Recipients Only</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445060"/>
                <w:sz w:val="19"/>
                <w:szCs w:val="19"/>
              </w:rPr>
              <w:t xml:space="preserve">Universe</w:t>
            </w:r>
          </w:p>
        </w:tc>
        <w:tc>
          <w:tcPr>
            <w:tcW w:type="dxa" w:w="736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40 LSE-listed ETFs across 11 sectors  |  18 Pension Fund Mappings</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445060"/>
                <w:sz w:val="19"/>
                <w:szCs w:val="19"/>
              </w:rPr>
              <w:t xml:space="preserve">Frequency</w:t>
            </w:r>
          </w:p>
        </w:tc>
        <w:tc>
          <w:tcPr>
            <w:tcW w:type="dxa" w:w="7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Weekly  (Friday close data, Sunday/Monday recompute)</w:t>
            </w:r>
          </w:p>
        </w:tc>
      </w:tr>
    </w:tbl>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1. Executive Summary</w:t>
      </w:r>
    </w:p>
    <w:p>
      <w:pPr>
        <w:spacing w:before="0" w:after="100" w:line="276" w:lineRule="auto"/>
        <w:jc w:val="left"/>
      </w:pPr>
      <w:r>
        <w:rPr>
          <w:rFonts w:ascii="Arial" w:cs="Arial" w:eastAsia="Arial" w:hAnsi="Arial"/>
          <w:b w:val="false"/>
          <w:bCs w:val="false"/>
          <w:i w:val="false"/>
          <w:iCs w:val="false"/>
          <w:color w:val="1C2333"/>
          <w:sz w:val="22"/>
          <w:szCs w:val="22"/>
        </w:rPr>
        <w:t xml:space="preserve">Footprints is a systematic, data-driven framework for monitoring where institutional capital — pension funds, insurance companies, sovereign wealth funds — is being deployed across global markets each week. It does this by analysing publicly available price and volume data for a curated universe of London Stock Exchange-listed ETFs, extracting six distinct measurable signals of institutional behaviour, and combining them into a single ranked signal for each ETF.</w:t>
      </w:r>
    </w:p>
    <w:p>
      <w:pPr>
        <w:spacing w:before="0" w:after="100" w:line="276" w:lineRule="auto"/>
        <w:jc w:val="left"/>
      </w:pPr>
      <w:r>
        <w:rPr>
          <w:rFonts w:ascii="Arial" w:cs="Arial" w:eastAsia="Arial" w:hAnsi="Arial"/>
          <w:b w:val="false"/>
          <w:bCs w:val="false"/>
          <w:i w:val="false"/>
          <w:iCs w:val="false"/>
          <w:color w:val="1C2333"/>
          <w:sz w:val="22"/>
          <w:szCs w:val="22"/>
        </w:rPr>
        <w:t xml:space="preserve">The system is built on a straightforward premise: institutions move very large sums of money, and when they do, the evidence is visible in the tape. Price closes near the top of the weekly range when buyers are dominant. Volume expands when interest is growing. Relative strength persists and accelerates when capital continues to flow into an asset. Footprints measures all of these consistently, every week, and surfaces the clearest opportunities.</w:t>
      </w:r>
    </w:p>
    <w:p>
      <w:pPr>
        <w:spacing w:before="0" w:after="100" w:line="276" w:lineRule="auto"/>
        <w:jc w:val="left"/>
      </w:pPr>
      <w:r>
        <w:rPr>
          <w:rFonts w:ascii="Arial" w:cs="Arial" w:eastAsia="Arial" w:hAnsi="Arial"/>
          <w:b w:val="false"/>
          <w:bCs w:val="false"/>
          <w:i w:val="false"/>
          <w:iCs w:val="false"/>
          <w:color w:val="1C2333"/>
          <w:sz w:val="22"/>
          <w:szCs w:val="22"/>
        </w:rPr>
        <w:t xml:space="preserve">The output is a five-tier signal — Strong Buy, Accumulating/Hold, Early Accumulation, Neutral, and Exit/Distribution — accompanied by a confidence rating and a numerical rotation score from 0 to 100. These signals are designed to inform tactical allocation decisions, including, critically, pension fund switching: the system maps L&amp;G and Irish Life pension fund options to their closest LSE-listed ETF proxies, allowing users to assess the momentum and institutional interest in each fund option with the same precision they would apply to direct market investments.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Footprints does not predict prices. It reads the tape. The distinction is important: a Strong Buy signal means that institutional behaviour, as measured by six quantitative metrics, is collectively bullish right now — not that the price will rise. Sustained institutional conviction, however, is the most reliable precursor to continued outperformance that publicly available data can provide.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2. The Problem: Navigating Markets Without Institutional Visibility</w:t>
      </w:r>
    </w:p>
    <w:p>
      <w:pPr>
        <w:pStyle w:val="Heading2"/>
        <w:spacing w:before="280" w:after="80" w:line="276" w:lineRule="auto"/>
      </w:pPr>
      <w:r>
        <w:rPr>
          <w:rFonts w:ascii="Arial" w:cs="Arial" w:eastAsia="Arial" w:hAnsi="Arial"/>
          <w:b/>
          <w:bCs/>
          <w:color w:val="2E75B6"/>
          <w:sz w:val="26"/>
          <w:szCs w:val="26"/>
        </w:rPr>
        <w:t xml:space="preserve">2.1  The Asymmetry of Market Information</w:t>
      </w:r>
    </w:p>
    <w:p>
      <w:pPr>
        <w:spacing w:before="0" w:after="100" w:line="276" w:lineRule="auto"/>
        <w:jc w:val="left"/>
      </w:pPr>
      <w:r>
        <w:rPr>
          <w:rFonts w:ascii="Arial" w:cs="Arial" w:eastAsia="Arial" w:hAnsi="Arial"/>
          <w:b w:val="false"/>
          <w:bCs w:val="false"/>
          <w:i w:val="false"/>
          <w:iCs w:val="false"/>
          <w:color w:val="1C2333"/>
          <w:sz w:val="22"/>
          <w:szCs w:val="22"/>
        </w:rPr>
        <w:t xml:space="preserve">Global equity markets are not a level playing field. Institutional investors — pension funds managing hundreds of billions, sovereign wealth funds, large asset managers — have access to proprietary research, direct issuer relationships, and sophisticated analytical infrastructure that most individuals and smaller investors cannot replicate. Their allocation decisions, however, move prices: when a pension fund decides to rotate from US equities into European equities, that decision generates measurable effects in market data that persist over weeks and months.</w:t>
      </w:r>
    </w:p>
    <w:p>
      <w:pPr>
        <w:spacing w:before="0" w:after="100" w:line="276" w:lineRule="auto"/>
        <w:jc w:val="left"/>
      </w:pPr>
      <w:r>
        <w:rPr>
          <w:rFonts w:ascii="Arial" w:cs="Arial" w:eastAsia="Arial" w:hAnsi="Arial"/>
          <w:b w:val="false"/>
          <w:bCs w:val="false"/>
          <w:i w:val="false"/>
          <w:iCs w:val="false"/>
          <w:color w:val="1C2333"/>
          <w:sz w:val="22"/>
          <w:szCs w:val="22"/>
        </w:rPr>
        <w:t xml:space="preserve">The challenge for the individual investor is this: by the time institutional positioning is disclosed publicly — through regulatory filings, fund factsheets, or press releases — the trade has already happened and the price has already moved. The information arrives too late to be actionable.</w:t>
      </w:r>
    </w:p>
    <w:p>
      <w:pPr>
        <w:pStyle w:val="Heading2"/>
        <w:spacing w:before="280" w:after="80" w:line="276" w:lineRule="auto"/>
      </w:pPr>
      <w:r>
        <w:rPr>
          <w:rFonts w:ascii="Arial" w:cs="Arial" w:eastAsia="Arial" w:hAnsi="Arial"/>
          <w:b/>
          <w:bCs/>
          <w:color w:val="2E75B6"/>
          <w:sz w:val="26"/>
          <w:szCs w:val="26"/>
        </w:rPr>
        <w:t xml:space="preserve">2.2  The Pension Fund Opacity Problem</w:t>
      </w:r>
    </w:p>
    <w:p>
      <w:pPr>
        <w:spacing w:before="0" w:after="100" w:line="276" w:lineRule="auto"/>
        <w:jc w:val="left"/>
      </w:pPr>
      <w:r>
        <w:rPr>
          <w:rFonts w:ascii="Arial" w:cs="Arial" w:eastAsia="Arial" w:hAnsi="Arial"/>
          <w:b w:val="false"/>
          <w:bCs w:val="false"/>
          <w:i w:val="false"/>
          <w:iCs w:val="false"/>
          <w:color w:val="1C2333"/>
          <w:sz w:val="22"/>
          <w:szCs w:val="22"/>
        </w:rPr>
        <w:t xml:space="preserve">This asymmetry is particularly acute for members of defined contribution pension schemes. Most workplace pensions in the UK and Ireland are structured as "lifestyle" or "multi-asset" funds with opaque internal allocations. The member sees only their total balance. They cannot see that their pension manager has been reducing equity exposure, rotating toward bonds, or shifting from emerging markets to developed markets — until the quarterly or annual statement arrives, by which time the allocation decision is history.</w:t>
      </w:r>
    </w:p>
    <w:p>
      <w:pPr>
        <w:spacing w:before="0" w:after="100" w:line="276" w:lineRule="auto"/>
        <w:jc w:val="left"/>
      </w:pPr>
      <w:r>
        <w:rPr>
          <w:rFonts w:ascii="Arial" w:cs="Arial" w:eastAsia="Arial" w:hAnsi="Arial"/>
          <w:b w:val="false"/>
          <w:bCs w:val="false"/>
          <w:i w:val="false"/>
          <w:iCs w:val="false"/>
          <w:color w:val="1C2333"/>
          <w:sz w:val="22"/>
          <w:szCs w:val="22"/>
        </w:rPr>
        <w:t xml:space="preserve">Even for pension members with access to a range of fund options — equity funds, sector funds, bond funds — the problem of timing switches intelligently is substantial. Without the ability to assess which funds are currently attracting institutional flows and which are seeing outflows, the decision reduces to guesswork: reacting to recent headlines, acting on emotion during volatility, or defaulting to inertia.</w:t>
      </w:r>
    </w:p>
    <w:p>
      <w:pPr>
        <w:pStyle w:val="Heading2"/>
        <w:spacing w:before="280" w:after="80" w:line="276" w:lineRule="auto"/>
      </w:pPr>
      <w:r>
        <w:rPr>
          <w:rFonts w:ascii="Arial" w:cs="Arial" w:eastAsia="Arial" w:hAnsi="Arial"/>
          <w:b/>
          <w:bCs/>
          <w:color w:val="2E75B6"/>
          <w:sz w:val="26"/>
          <w:szCs w:val="26"/>
        </w:rPr>
        <w:t xml:space="preserve">2.3  The Proxy ETF Insight</w:t>
      </w:r>
    </w:p>
    <w:p>
      <w:pPr>
        <w:spacing w:before="0" w:after="100" w:line="276" w:lineRule="auto"/>
        <w:jc w:val="left"/>
      </w:pPr>
      <w:r>
        <w:rPr>
          <w:rFonts w:ascii="Arial" w:cs="Arial" w:eastAsia="Arial" w:hAnsi="Arial"/>
          <w:b w:val="false"/>
          <w:bCs w:val="false"/>
          <w:i w:val="false"/>
          <w:iCs w:val="false"/>
          <w:color w:val="1C2333"/>
          <w:sz w:val="22"/>
          <w:szCs w:val="22"/>
        </w:rPr>
        <w:t xml:space="preserve">The core insight that Footprints is built around is that publicly traded ETFs are economically equivalent to — and often directly track — the same indices and asset classes that pension funds use internally. A pension fund offering exposure to "Global Developed Equity" is, in most cases, tracking substantially the same universe as the Vanguard FTSE Developed World ETF (VHVG.L). A fund offering "UK Equity" exposure tracks the same stocks as the SPDR FTSE UK All Share ETF (FTAL.L).</w:t>
      </w:r>
    </w:p>
    <w:p>
      <w:pPr>
        <w:spacing w:before="0" w:after="100" w:line="276" w:lineRule="auto"/>
        <w:jc w:val="left"/>
      </w:pPr>
      <w:r>
        <w:rPr>
          <w:rFonts w:ascii="Arial" w:cs="Arial" w:eastAsia="Arial" w:hAnsi="Arial"/>
          <w:b w:val="false"/>
          <w:bCs w:val="false"/>
          <w:i w:val="false"/>
          <w:iCs w:val="false"/>
          <w:color w:val="1C2333"/>
          <w:sz w:val="22"/>
          <w:szCs w:val="22"/>
        </w:rPr>
        <w:t xml:space="preserve">This means that the institutional flow signals visible in the ETF market are a reliable leading indicator for what is happening in the corresponding pension fund. Institutions managing their own equity allocations — including pension funds themselves — route capital through precisely these ETFs. The ETF market, with its transparency and liquidity, reveals what the pension fund market, by its nature, conceals.</w:t>
      </w:r>
    </w:p>
    <w:p>
      <w:pPr>
        <w:spacing w:before="0" w:after="100" w:line="276" w:lineRule="auto"/>
        <w:jc w:val="left"/>
      </w:pPr>
      <w:r>
        <w:rPr>
          <w:rFonts w:ascii="Arial" w:cs="Arial" w:eastAsia="Arial" w:hAnsi="Arial"/>
          <w:b w:val="false"/>
          <w:bCs w:val="false"/>
          <w:i w:val="false"/>
          <w:iCs w:val="false"/>
          <w:color w:val="1C2333"/>
          <w:sz w:val="22"/>
          <w:szCs w:val="22"/>
        </w:rPr>
        <w:t xml:space="preserve">Footprints formalises this proxy relationship. For each pension fund option in the user's universe, the system maps one or more LSE-listed ETFs that track the same underlying index. When you apply the pension fund filter in Footprints, you see only the signals for those proxy ETFs — effectively getting a reading on institutional sentiment toward your pension fund's underlying asset class, updated every week.</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6"/>
              <w:bottom w:val="single" w:color="445060" w:sz="1"/>
              <w:right w:val="none" w:color="FFFFFF" w:sz="0"/>
            </w:tcBorders>
            <w:shd w:fill="F4F6F9"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The proxy approach does not imply that your pension fund itself is buying or selling those ETFs. It implies that the same underlying markets are being bought or sold by large institutional participants — and that momentum in the proxy ETF is a reliable indicator of momentum in the corresponding fund's net asset value.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2.4  Design Constraints</w:t>
      </w:r>
    </w:p>
    <w:p>
      <w:pPr>
        <w:spacing w:before="0" w:after="100" w:line="276" w:lineRule="auto"/>
        <w:jc w:val="left"/>
      </w:pPr>
      <w:r>
        <w:rPr>
          <w:rFonts w:ascii="Arial" w:cs="Arial" w:eastAsia="Arial" w:hAnsi="Arial"/>
          <w:b w:val="false"/>
          <w:bCs w:val="false"/>
          <w:i w:val="false"/>
          <w:iCs w:val="false"/>
          <w:color w:val="1C2333"/>
          <w:sz w:val="22"/>
          <w:szCs w:val="22"/>
        </w:rPr>
        <w:t xml:space="preserve">Footprints was designed within a specific set of constraints that shaped every methodological decision:</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Data source: Only publicly available weekly OHLCV (Open, High, Low, Close, Volume) data. No proprietary feeds, no real-time data, no options flow.</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Frequency: Weekly recomputation after Friday's market close. This is intentional — weekly data removes daily noise and reveals slower institutional behaviour.</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Universe: LSE-listed ETFs only. This ensures consistent currency (GBP), consistent trading hours, and direct purchasability within ISA and SIPP wrappers.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Operational simplicity: The system must be operable without a quantitative background. Signal outputs must be interpretable by a financially literate but non-specialist user.</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Self-calibrating rankings: No fixed absolute thresholds for individual KPI inputs. All inputs are percentile-ranked within the current universe, ensuring the model adapts to changing market conditions automatically.</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3. The ETF Universe and Benchmark</w:t>
      </w:r>
    </w:p>
    <w:p>
      <w:pPr>
        <w:pStyle w:val="Heading2"/>
        <w:spacing w:before="280" w:after="80" w:line="276" w:lineRule="auto"/>
      </w:pPr>
      <w:r>
        <w:rPr>
          <w:rFonts w:ascii="Arial" w:cs="Arial" w:eastAsia="Arial" w:hAnsi="Arial"/>
          <w:b/>
          <w:bCs/>
          <w:color w:val="2E75B6"/>
          <w:sz w:val="26"/>
          <w:szCs w:val="26"/>
        </w:rPr>
        <w:t xml:space="preserve">3.1  Why ETFs?</w:t>
      </w:r>
    </w:p>
    <w:p>
      <w:pPr>
        <w:spacing w:before="0" w:after="100" w:line="276" w:lineRule="auto"/>
        <w:jc w:val="left"/>
      </w:pPr>
      <w:r>
        <w:rPr>
          <w:rFonts w:ascii="Arial" w:cs="Arial" w:eastAsia="Arial" w:hAnsi="Arial"/>
          <w:b w:val="false"/>
          <w:bCs w:val="false"/>
          <w:i w:val="false"/>
          <w:iCs w:val="false"/>
          <w:color w:val="1C2333"/>
          <w:sz w:val="22"/>
          <w:szCs w:val="22"/>
        </w:rPr>
        <w:t xml:space="preserve">Exchange-traded funds are the ideal instrument for this system for four reasons. First, they are transparent: the underlying holdings are published daily, eliminating any uncertainty about what is being measured. Second, they are liquid: the largest ETFs in the universe trade hundreds of millions of pounds per week, ensuring that price signals reflect genuine supply and demand from large participants rather than thin-market noise. Third, they are broad: each ETF represents an entire market, sector, or theme — so a signal reflects aggregate capital flow, not a single company's idiosyncratic news. Fourth, they are accessible: every ETF in the Footprints universe can be purchased inside a UK ISA or SIPP, and most are available as fund options within workplace pension schemes.</w:t>
      </w:r>
    </w:p>
    <w:p>
      <w:pPr>
        <w:pStyle w:val="Heading2"/>
        <w:spacing w:before="280" w:after="80" w:line="276" w:lineRule="auto"/>
      </w:pPr>
      <w:r>
        <w:rPr>
          <w:rFonts w:ascii="Arial" w:cs="Arial" w:eastAsia="Arial" w:hAnsi="Arial"/>
          <w:b/>
          <w:bCs/>
          <w:color w:val="2E75B6"/>
          <w:sz w:val="26"/>
          <w:szCs w:val="26"/>
        </w:rPr>
        <w:t xml:space="preserve">3.2  Universe Construction</w:t>
      </w:r>
    </w:p>
    <w:p>
      <w:pPr>
        <w:spacing w:before="0" w:after="100" w:line="276" w:lineRule="auto"/>
        <w:jc w:val="left"/>
      </w:pPr>
      <w:r>
        <w:rPr>
          <w:rFonts w:ascii="Arial" w:cs="Arial" w:eastAsia="Arial" w:hAnsi="Arial"/>
          <w:b w:val="false"/>
          <w:bCs w:val="false"/>
          <w:i w:val="false"/>
          <w:iCs w:val="false"/>
          <w:color w:val="1C2333"/>
          <w:sz w:val="22"/>
          <w:szCs w:val="22"/>
        </w:rPr>
        <w:t xml:space="preserve">The current Footprints universe comprises 40 active ETFs across 11 sectors, listed on the London Stock Exchange. The universe is structured to provide complete coverage of the major investable asset classes available to a UK or Irish investor:</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Sector</w:t>
            </w:r>
          </w:p>
        </w:tc>
        <w:tc>
          <w:tcPr>
            <w:tcW w:type="dxa" w:w="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ETFs</w:t>
            </w:r>
          </w:p>
        </w:tc>
        <w:tc>
          <w:tcPr>
            <w:tcW w:type="dxa" w:w="5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Coverage</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Base</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7</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Core global trackers: world, developed, all-world, factor-based funds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United States</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6</w:t>
            </w:r>
          </w:p>
        </w:tc>
        <w:tc>
          <w:tcPr>
            <w:tcW w:type="dxa" w:w="5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US large-cap, S&amp;P 500, total market, value, growth, small-cap</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Technology</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6</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tech, semiconductors, cybersecurity, AI, clean energy</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International (Multi-region)</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4</w:t>
            </w:r>
          </w:p>
        </w:tc>
        <w:tc>
          <w:tcPr>
            <w:tcW w:type="dxa" w:w="5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European developed, Japan, Asia-Pacific ex-Japan, Emerging Markets</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United Kingdom</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3</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FTSE 100, UK all-share, UK small-cap</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Property</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3</w:t>
            </w:r>
          </w:p>
        </w:tc>
        <w:tc>
          <w:tcPr>
            <w:tcW w:type="dxa" w:w="5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REITs, developed market property, infrastructure</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Commodities</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3</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Physical gold, physical silver, global mining</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Defence</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3</w:t>
            </w:r>
          </w:p>
        </w:tc>
        <w:tc>
          <w:tcPr>
            <w:tcW w:type="dxa" w:w="5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aerospace &amp; defence ETFs</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Healthcare</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healthcare and biotech</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Global Factor</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w:t>
            </w:r>
          </w:p>
        </w:tc>
        <w:tc>
          <w:tcPr>
            <w:tcW w:type="dxa" w:w="5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Multi-factor global equity</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Other</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w:t>
            </w:r>
          </w:p>
        </w:tc>
        <w:tc>
          <w:tcPr>
            <w:tcW w:type="dxa" w:w="5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Multi-asset and diversified strategies</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3.3  The Benchmark: VWRP.L</w:t>
      </w:r>
    </w:p>
    <w:p>
      <w:pPr>
        <w:spacing w:before="0" w:after="100" w:line="276" w:lineRule="auto"/>
        <w:jc w:val="left"/>
      </w:pPr>
      <w:r>
        <w:rPr>
          <w:rFonts w:ascii="Arial" w:cs="Arial" w:eastAsia="Arial" w:hAnsi="Arial"/>
          <w:b w:val="false"/>
          <w:bCs w:val="false"/>
          <w:i w:val="false"/>
          <w:iCs w:val="false"/>
          <w:color w:val="1C2333"/>
          <w:sz w:val="22"/>
          <w:szCs w:val="22"/>
        </w:rPr>
        <w:t xml:space="preserve">All relative strength calculations in Footprints are measured against a single benchmark: VWRP.L, the Vanguard FTSE All-World UCITS ETF. This fund holds approximately 3,800 stocks across 49 countries and represents the broadest practical definition of the global investable equity market, with over £35 billion under management and weekly LSE turnover regularly exceeding £150 million.</w:t>
      </w:r>
    </w:p>
    <w:p>
      <w:pPr>
        <w:spacing w:before="0" w:after="100" w:line="276" w:lineRule="auto"/>
        <w:jc w:val="left"/>
      </w:pPr>
      <w:r>
        <w:rPr>
          <w:rFonts w:ascii="Arial" w:cs="Arial" w:eastAsia="Arial" w:hAnsi="Arial"/>
          <w:b w:val="false"/>
          <w:bCs w:val="false"/>
          <w:i w:val="false"/>
          <w:iCs w:val="false"/>
          <w:color w:val="1C2333"/>
          <w:sz w:val="22"/>
          <w:szCs w:val="22"/>
        </w:rPr>
        <w:t xml:space="preserve">The choice of a single benchmark for all ETFs — rather than sector-specific benchmarks — is deliberate. It enables true cross-sectional comparison: an ETF with positive relative strength is genuinely beating the world. An ETF with negative relative strength is genuinely lagging behind the world. This produces a clean ranking where every ETF competes on the same terms, and where the highest-ranking ETFs are, by definition, receiving disproportionate institutional interest relative to the global market.</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4. The Six KPIs: What They Measure and Why</w:t>
      </w:r>
    </w:p>
    <w:p>
      <w:pPr>
        <w:spacing w:before="0" w:after="100" w:line="276" w:lineRule="auto"/>
        <w:jc w:val="left"/>
      </w:pPr>
      <w:r>
        <w:rPr>
          <w:rFonts w:ascii="Arial" w:cs="Arial" w:eastAsia="Arial" w:hAnsi="Arial"/>
          <w:b w:val="false"/>
          <w:bCs w:val="false"/>
          <w:i w:val="false"/>
          <w:iCs w:val="false"/>
          <w:color w:val="1C2333"/>
          <w:sz w:val="22"/>
          <w:szCs w:val="22"/>
        </w:rPr>
        <w:t xml:space="preserve">Institutional capital flow leaves a consistent and measurable signature in market data. It does not appear in a single metric — a price move alone could be news-driven, a volume spike alone could be a one-day event. Conviction from multiple KPIs simultaneously is what distinguishes genuine institutional repositioning from transient noise. Footprints uses six KPI groups, each capturing a different dimension of the same underlying phenomenon.</w:t>
      </w:r>
    </w:p>
    <w:p>
      <w:pPr>
        <w:pStyle w:val="Heading2"/>
        <w:spacing w:before="280" w:after="80" w:line="276" w:lineRule="auto"/>
      </w:pPr>
      <w:r>
        <w:rPr>
          <w:rFonts w:ascii="Arial" w:cs="Arial" w:eastAsia="Arial" w:hAnsi="Arial"/>
          <w:b/>
          <w:bCs/>
          <w:color w:val="2E75B6"/>
          <w:sz w:val="26"/>
          <w:szCs w:val="26"/>
        </w:rPr>
        <w:t xml:space="preserve">4.1  KPI 1 — Trend Score (Weight: 18%)</w:t>
      </w:r>
    </w:p>
    <w:p>
      <w:pPr>
        <w:pStyle w:val="Heading3"/>
        <w:spacing w:before="200" w:after="60" w:line="276" w:lineRule="auto"/>
      </w:pPr>
      <w:r>
        <w:rPr>
          <w:rFonts w:ascii="Arial" w:cs="Arial" w:eastAsia="Arial" w:hAnsi="Arial"/>
          <w:b/>
          <w:bCs/>
          <w:color w:val="1B2A4A"/>
          <w:sz w:val="22"/>
          <w:szCs w:val="22"/>
        </w:rPr>
        <w:t xml:space="preserve">What it measures</w:t>
      </w:r>
    </w:p>
    <w:p>
      <w:pPr>
        <w:spacing w:before="0" w:after="100" w:line="276" w:lineRule="auto"/>
        <w:jc w:val="left"/>
      </w:pPr>
      <w:r>
        <w:rPr>
          <w:rFonts w:ascii="Arial" w:cs="Arial" w:eastAsia="Arial" w:hAnsi="Arial"/>
          <w:b w:val="false"/>
          <w:bCs w:val="false"/>
          <w:i w:val="false"/>
          <w:iCs w:val="false"/>
          <w:color w:val="1C2333"/>
          <w:sz w:val="22"/>
          <w:szCs w:val="22"/>
        </w:rPr>
        <w:t xml:space="preserve">The Trend Score assesses whether the price structure of the ETF is constructively aligned across short, medium, and long timeframes. It scores four binary conditions, awarding one point for each that passes: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Close price above the 20-week moving average — short-term price momentum is positive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Close price above the 100-week moving average — the long-term structural trend is intact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The 20-week MA is above the 100-week MA — short-term momentum is stronger than long-term trend (bullish alignment)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The 100-week MA today is higher than it was 20 weeks ago — even the slowest-moving average is rising, confirming that structural momentum has not stalled</w:t>
      </w:r>
    </w:p>
    <w:p>
      <w:pPr>
        <w:pStyle w:val="Heading3"/>
        <w:spacing w:before="200" w:after="60" w:line="276" w:lineRule="auto"/>
      </w:pPr>
      <w:r>
        <w:rPr>
          <w:rFonts w:ascii="Arial" w:cs="Arial" w:eastAsia="Arial" w:hAnsi="Arial"/>
          <w:b/>
          <w:bCs/>
          <w:color w:val="1B2A4A"/>
          <w:sz w:val="22"/>
          <w:szCs w:val="22"/>
        </w:rPr>
        <w:t xml:space="preserve">Why this KPI</w:t>
      </w:r>
    </w:p>
    <w:p>
      <w:pPr>
        <w:spacing w:before="0" w:after="100" w:line="276" w:lineRule="auto"/>
        <w:jc w:val="left"/>
      </w:pPr>
      <w:r>
        <w:rPr>
          <w:rFonts w:ascii="Arial" w:cs="Arial" w:eastAsia="Arial" w:hAnsi="Arial"/>
          <w:b w:val="false"/>
          <w:bCs w:val="false"/>
          <w:i w:val="false"/>
          <w:iCs w:val="false"/>
          <w:color w:val="1C2333"/>
          <w:sz w:val="22"/>
          <w:szCs w:val="22"/>
        </w:rPr>
        <w:t xml:space="preserve">Institutional participants — particularly pension funds operating under liability-driven investment mandates — tend to add to positions that are already in established uptrends, not those that are reversing. A structurally deteriorating ETF rarely attracts sustained institutional buying regardless of short-term relative strength. The four-condition check is conservative: it rewards alignment across timeframes, not just recent momentum. An ETF scoring 4/4 is in a synchronised bull structure across all measured timeframes. One scoring 0/4 is in a full downtrend. The score contributes 18% to the Rotation Score.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Example: VDPG.L (Vanguard Dev Asia-Pac ex-Japan) scores 4/4 — close above both MAs, 20w MA above 100w MA, and the 100w MA is rising. All four timeframes are aligned bullishly. This contributes maximum trend weighting to its rotation score and is a prerequisite for a Strong Buy signal.</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4.2  KPI 2 — Pressure 20W (Weight: 25% combined)</w:t>
      </w:r>
    </w:p>
    <w:p>
      <w:pPr>
        <w:pStyle w:val="Heading3"/>
        <w:spacing w:before="200" w:after="60" w:line="276" w:lineRule="auto"/>
      </w:pPr>
      <w:r>
        <w:rPr>
          <w:rFonts w:ascii="Arial" w:cs="Arial" w:eastAsia="Arial" w:hAnsi="Arial"/>
          <w:b/>
          <w:bCs/>
          <w:color w:val="1B2A4A"/>
          <w:sz w:val="22"/>
          <w:szCs w:val="22"/>
        </w:rPr>
        <w:t xml:space="preserve">What it measures</w:t>
      </w:r>
    </w:p>
    <w:p>
      <w:pPr>
        <w:spacing w:before="0" w:after="100" w:line="276" w:lineRule="auto"/>
        <w:jc w:val="left"/>
      </w:pPr>
      <w:r>
        <w:rPr>
          <w:rFonts w:ascii="Arial" w:cs="Arial" w:eastAsia="Arial" w:hAnsi="Arial"/>
          <w:b w:val="false"/>
          <w:bCs w:val="false"/>
          <w:i w:val="false"/>
          <w:iCs w:val="false"/>
          <w:color w:val="1C2333"/>
          <w:sz w:val="22"/>
          <w:szCs w:val="22"/>
        </w:rPr>
        <w:t xml:space="preserve">Pressure is the most direct available measure of the direction of institutional capital flow. It is calculated weekly using the Close Location Value (CLV) — a measure of where the weekly close falls within the high-low range — multiplied by the pound value of that week's turnover. The 20-week cumulative sum gives Pressure 20W.</w:t>
      </w:r>
    </w:p>
    <w:p>
      <w:pPr>
        <w:spacing w:before="0" w:after="100" w:line="276" w:lineRule="auto"/>
        <w:jc w:val="left"/>
      </w:pPr>
      <w:r>
        <w:rPr>
          <w:rFonts w:ascii="Arial" w:cs="Arial" w:eastAsia="Arial" w:hAnsi="Arial"/>
          <w:b w:val="false"/>
          <w:bCs w:val="false"/>
          <w:i w:val="false"/>
          <w:iCs w:val="false"/>
          <w:color w:val="1C2333"/>
          <w:sz w:val="22"/>
          <w:szCs w:val="22"/>
        </w:rPr>
        <w:t xml:space="preserve">The CLV ranges from +1.0 (close exactly at the week's high — buyers dominated all week) to -1.0 (close at the week's low — sellers dominated). Multiplying by turnover weights this directional pressure by the amount of capital involved. A week where an ETF closes at the top of its range on £200 million of turnover is far more significant than the same close on £2 million.</w:t>
      </w:r>
    </w:p>
    <w:p>
      <w:pPr>
        <w:spacing w:before="0" w:after="100" w:line="276" w:lineRule="auto"/>
        <w:jc w:val="left"/>
      </w:pPr>
      <w:r>
        <w:rPr>
          <w:rFonts w:ascii="Arial" w:cs="Arial" w:eastAsia="Arial" w:hAnsi="Arial"/>
          <w:b w:val="false"/>
          <w:bCs w:val="false"/>
          <w:i w:val="false"/>
          <w:iCs w:val="false"/>
          <w:color w:val="1C2333"/>
          <w:sz w:val="22"/>
          <w:szCs w:val="22"/>
        </w:rPr>
        <w:t xml:space="preserve">A positive Pressure 20W means buyers have consistently dominated over the last 20 weeks, weighted by capital deployed. A negative Pressure 20W means sellers have dominated. The sign matters more than the magnitude: a +£500,000 Pressure reading in a small ETF represents the same institutional conviction as +£50 million in a large one.</w:t>
      </w:r>
    </w:p>
    <w:p>
      <w:pPr>
        <w:spacing w:before="0" w:after="100" w:line="276" w:lineRule="auto"/>
        <w:jc w:val="left"/>
      </w:pPr>
      <w:r>
        <w:rPr>
          <w:rFonts w:ascii="Arial" w:cs="Arial" w:eastAsia="Arial" w:hAnsi="Arial"/>
          <w:b w:val="false"/>
          <w:bCs w:val="false"/>
          <w:i w:val="false"/>
          <w:iCs w:val="false"/>
          <w:color w:val="1C2333"/>
          <w:sz w:val="22"/>
          <w:szCs w:val="22"/>
        </w:rPr>
        <w:t xml:space="preserve">Two sub-metrics amplify the signal: Pressure Positive Weeks % (what fraction of the last 20 weeks had positive CLV-weighted flow — a consistency measure) and Pressure Ratio (the ratio of cumulative up-pressure to cumulative down-pressure within the 20-week window — a balance-of-power measure between buyers and sellers). Together these contribute 25% to the Rotation Score.</w:t>
      </w:r>
    </w:p>
    <w:p>
      <w:pPr>
        <w:pStyle w:val="Heading3"/>
        <w:spacing w:before="200" w:after="60" w:line="276" w:lineRule="auto"/>
      </w:pPr>
      <w:r>
        <w:rPr>
          <w:rFonts w:ascii="Arial" w:cs="Arial" w:eastAsia="Arial" w:hAnsi="Arial"/>
          <w:b/>
          <w:bCs/>
          <w:color w:val="1B2A4A"/>
          <w:sz w:val="22"/>
          <w:szCs w:val="22"/>
        </w:rPr>
        <w:t xml:space="preserve">Why this KPI</w:t>
      </w:r>
    </w:p>
    <w:p>
      <w:pPr>
        <w:spacing w:before="0" w:after="100" w:line="276" w:lineRule="auto"/>
        <w:jc w:val="left"/>
      </w:pPr>
      <w:r>
        <w:rPr>
          <w:rFonts w:ascii="Arial" w:cs="Arial" w:eastAsia="Arial" w:hAnsi="Arial"/>
          <w:b w:val="false"/>
          <w:bCs w:val="false"/>
          <w:i w:val="false"/>
          <w:iCs w:val="false"/>
          <w:color w:val="1C2333"/>
          <w:sz w:val="22"/>
          <w:szCs w:val="22"/>
        </w:rPr>
        <w:t xml:space="preserve">Accumulation and distribution by large institutional participants are precisely what the CLV-times-turnover calculation is designed to detect. When a pension fund is building a position, it does not do so in a single transaction — it accumulates over weeks or months, consistently bidding the close toward the high end of each week's range. This produces sustained positive CLV values. Volume expands as more capital is deployed. The 20-week window is long enough to filter daily noise but short enough to reflect current rather than stale positioning.</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6"/>
              <w:bottom w:val="single" w:color="00695C" w:sz="1"/>
              <w:right w:val="none" w:color="FFFFFF" w:sz="0"/>
            </w:tcBorders>
            <w:shd w:fill="E0F2EF"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Non-technical interpretation: Think of Pressure 20W as an institutional sentiment gauge. A strongly positive reading means large money has been consistently buying this ETF over the past five months, with the weekly close near the top of the range, on substantial volume. That is the definition of demand outstripping supply at scale.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4.3  KPI 3 &amp; 4 — Relative Strength, Raw and Volatility-Adjusted (Weight: 37% combined)</w:t>
      </w:r>
    </w:p>
    <w:p>
      <w:pPr>
        <w:pStyle w:val="Heading3"/>
        <w:spacing w:before="200" w:after="60" w:line="276" w:lineRule="auto"/>
      </w:pPr>
      <w:r>
        <w:rPr>
          <w:rFonts w:ascii="Arial" w:cs="Arial" w:eastAsia="Arial" w:hAnsi="Arial"/>
          <w:b/>
          <w:bCs/>
          <w:color w:val="1B2A4A"/>
          <w:sz w:val="22"/>
          <w:szCs w:val="22"/>
        </w:rPr>
        <w:t xml:space="preserve">What it measures</w:t>
      </w:r>
    </w:p>
    <w:p>
      <w:pPr>
        <w:spacing w:before="0" w:after="100" w:line="276" w:lineRule="auto"/>
        <w:jc w:val="left"/>
      </w:pPr>
      <w:r>
        <w:rPr>
          <w:rFonts w:ascii="Arial" w:cs="Arial" w:eastAsia="Arial" w:hAnsi="Arial"/>
          <w:b w:val="false"/>
          <w:bCs w:val="false"/>
          <w:i w:val="false"/>
          <w:iCs w:val="false"/>
          <w:color w:val="1C2333"/>
          <w:sz w:val="22"/>
          <w:szCs w:val="22"/>
        </w:rPr>
        <w:t xml:space="preserve">Relative Strength (RS) measures the ETF's return over a period minus the benchmark's (VWRP.L) return over the same period. Footprints computes three RS timeframes: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RS4 (4 weeks / ~1 month): captures very recent momentum</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RS12 (12 weeks / ~1 quarter): captures medium-term trend</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RS20 (20 weeks / ~5 months): the primary RS input — captures sustained outperformance</w:t>
      </w:r>
    </w:p>
    <w:p>
      <w:pPr>
        <w:spacing w:before="0" w:after="100" w:line="276" w:lineRule="auto"/>
        <w:jc w:val="left"/>
      </w:pPr>
      <w:r>
        <w:rPr>
          <w:rFonts w:ascii="Arial" w:cs="Arial" w:eastAsia="Arial" w:hAnsi="Arial"/>
          <w:b w:val="false"/>
          <w:bCs w:val="false"/>
          <w:i w:val="false"/>
          <w:iCs w:val="false"/>
          <w:color w:val="1C2333"/>
          <w:sz w:val="22"/>
          <w:szCs w:val="22"/>
        </w:rPr>
        <w:t xml:space="preserve">RS Acceleration compares RS4 to RS12 raw. A positive acceleration means the ETF is outperforming the benchmark more strongly in the recent month than over the last quarter — momentum is building, not fading.</w:t>
      </w:r>
    </w:p>
    <w:p>
      <w:pPr>
        <w:spacing w:before="0" w:after="100" w:line="276" w:lineRule="auto"/>
        <w:jc w:val="left"/>
      </w:pPr>
      <w:r>
        <w:rPr>
          <w:rFonts w:ascii="Arial" w:cs="Arial" w:eastAsia="Arial" w:hAnsi="Arial"/>
          <w:b w:val="false"/>
          <w:bCs w:val="false"/>
          <w:i w:val="false"/>
          <w:iCs w:val="false"/>
          <w:color w:val="1C2333"/>
          <w:sz w:val="22"/>
          <w:szCs w:val="22"/>
        </w:rPr>
        <w:t xml:space="preserve">Volatility-adjusted RS (KPI 4) divides the raw RS by the ETF's own 20-week realised volatility. This is a risk-adjusted measure. An ETF with +4% RS and low volatility represents more reliable institutional conviction than one with +8% RS driven by high daily swings. All volatility-adjusted RS and RS Acceleration figures are then cross-sectionally percentile-ranked across the full 40-ETF universe on each date, ensuring that rankings adapt to the prevailing market environment.</w:t>
      </w:r>
    </w:p>
    <w:p>
      <w:pPr>
        <w:spacing w:before="0" w:after="100" w:line="276" w:lineRule="auto"/>
        <w:jc w:val="left"/>
      </w:pPr>
      <w:r>
        <w:rPr>
          <w:rFonts w:ascii="Arial" w:cs="Arial" w:eastAsia="Arial" w:hAnsi="Arial"/>
          <w:b w:val="false"/>
          <w:bCs w:val="false"/>
          <w:i w:val="false"/>
          <w:iCs w:val="false"/>
          <w:color w:val="1C2333"/>
          <w:sz w:val="22"/>
          <w:szCs w:val="22"/>
        </w:rPr>
        <w:t xml:space="preserve">KPI 3 and 4 together contribute 37% to the Rotation Score — the largest combined weighting — because sustained, volatility-adjusted relative outperformance is the most reliable observable signature of institutional preference.</w:t>
      </w:r>
    </w:p>
    <w:p>
      <w:pPr>
        <w:pStyle w:val="Heading3"/>
        <w:spacing w:before="200" w:after="60" w:line="276" w:lineRule="auto"/>
      </w:pPr>
      <w:r>
        <w:rPr>
          <w:rFonts w:ascii="Arial" w:cs="Arial" w:eastAsia="Arial" w:hAnsi="Arial"/>
          <w:b/>
          <w:bCs/>
          <w:color w:val="1B2A4A"/>
          <w:sz w:val="22"/>
          <w:szCs w:val="22"/>
        </w:rPr>
        <w:t xml:space="preserve">Why this KPI</w:t>
      </w:r>
    </w:p>
    <w:p>
      <w:pPr>
        <w:spacing w:before="0" w:after="100" w:line="276" w:lineRule="auto"/>
        <w:jc w:val="left"/>
      </w:pPr>
      <w:r>
        <w:rPr>
          <w:rFonts w:ascii="Arial" w:cs="Arial" w:eastAsia="Arial" w:hAnsi="Arial"/>
          <w:b w:val="false"/>
          <w:bCs w:val="false"/>
          <w:i w:val="false"/>
          <w:iCs w:val="false"/>
          <w:color w:val="1C2333"/>
          <w:sz w:val="22"/>
          <w:szCs w:val="22"/>
        </w:rPr>
        <w:t xml:space="preserve">Institutional mandates typically require the manager to demonstrate that their chosen assets are outperforming their benchmark. Relative strength is therefore not just a technical indicator but the primary criterion by which institutional allocators themselves evaluate their positions. An ETF that persistently outperforms the global benchmark is, by institutional logic, one where the allocation is working — and where the manager will continue to maintain or grow that position. Footprints captures this by weighting RS heavily and measuring it at multiple timeframes to distinguish genuine multi-month conviction from short-term noise.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Example: Two ETFs both show RS20 of +6%. One has 20-week volatility of 0.8%/week (vol-adj RS: +7.5, ranking 93rd percentile). The other has volatility of 2.5%/week (vol-adj RS: +2.4, ranking 61st percentile). The first represents far more efficient, institutional-quality outperformance. Footprints ranks it materially higher.</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4.4  KPI 5 — Turnover Block (Weight: 15%)</w:t>
      </w:r>
    </w:p>
    <w:p>
      <w:pPr>
        <w:pStyle w:val="Heading3"/>
        <w:spacing w:before="200" w:after="60" w:line="276" w:lineRule="auto"/>
      </w:pPr>
      <w:r>
        <w:rPr>
          <w:rFonts w:ascii="Arial" w:cs="Arial" w:eastAsia="Arial" w:hAnsi="Arial"/>
          <w:b/>
          <w:bCs/>
          <w:color w:val="1B2A4A"/>
          <w:sz w:val="22"/>
          <w:szCs w:val="22"/>
        </w:rPr>
        <w:t xml:space="preserve">What it measures</w:t>
      </w:r>
    </w:p>
    <w:p>
      <w:pPr>
        <w:spacing w:before="0" w:after="100" w:line="276" w:lineRule="auto"/>
        <w:jc w:val="left"/>
      </w:pPr>
      <w:r>
        <w:rPr>
          <w:rFonts w:ascii="Arial" w:cs="Arial" w:eastAsia="Arial" w:hAnsi="Arial"/>
          <w:b w:val="false"/>
          <w:bCs w:val="false"/>
          <w:i w:val="false"/>
          <w:iCs w:val="false"/>
          <w:color w:val="1C2333"/>
          <w:sz w:val="22"/>
          <w:szCs w:val="22"/>
        </w:rPr>
        <w:t xml:space="preserve">The Turnover Block assesses whether the volume of capital flowing through the ETF is expanding — and whether that expansion is statistically significant. Three sub-metrics are used:</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Turnover Ratio (20-week average vs 100-week average): Is recent participation above its long-term baseline? A ratio above 1.2 means 20% more capital per week than the long-term norm — a meaningful signal of expanding institutional interest.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Turnover Z-score: Is this specific week's turnover anomalous relative to 100 weeks of history? A Z-score above +2 signals a statistically unusual event — potentially a large block trade, institutional rebalancing, or fund inflow event.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Turnover CV (coefficient of variation): Is volume consistent or erratic? High variability penalises the Confidence Score — erratic volume that spikes and collapses is less reliable than consistently elevated volume.</w:t>
      </w:r>
    </w:p>
    <w:p>
      <w:pPr>
        <w:pStyle w:val="Heading3"/>
        <w:spacing w:before="200" w:after="60" w:line="276" w:lineRule="auto"/>
      </w:pPr>
      <w:r>
        <w:rPr>
          <w:rFonts w:ascii="Arial" w:cs="Arial" w:eastAsia="Arial" w:hAnsi="Arial"/>
          <w:b/>
          <w:bCs/>
          <w:color w:val="1B2A4A"/>
          <w:sz w:val="22"/>
          <w:szCs w:val="22"/>
        </w:rPr>
        <w:t xml:space="preserve">Why this KPI</w:t>
      </w:r>
    </w:p>
    <w:p>
      <w:pPr>
        <w:spacing w:before="0" w:after="100" w:line="276" w:lineRule="auto"/>
        <w:jc w:val="left"/>
      </w:pPr>
      <w:r>
        <w:rPr>
          <w:rFonts w:ascii="Arial" w:cs="Arial" w:eastAsia="Arial" w:hAnsi="Arial"/>
          <w:b w:val="false"/>
          <w:bCs w:val="false"/>
          <w:i w:val="false"/>
          <w:iCs w:val="false"/>
          <w:color w:val="1C2333"/>
          <w:sz w:val="22"/>
          <w:szCs w:val="22"/>
        </w:rPr>
        <w:t xml:space="preserve">Price alone does not tell us whether an ETF is moving because of genuine institutional interest or thin-market technical moves. Volume validates price action. When a pension fund is rotating into a position, it must transact in size — and that size shows up as elevated turnover relative to the historical baseline. Footprints uses both ratio and Z-score measures to distinguish between ETFs that are permanently liquid (already reflecting institutional attention) and those that are experiencing a measurable step-change in participation.</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4.5  KPI 6 — Sector Confirmation (Weight: 5%)</w:t>
      </w:r>
    </w:p>
    <w:p>
      <w:pPr>
        <w:pStyle w:val="Heading3"/>
        <w:spacing w:before="200" w:after="60" w:line="276" w:lineRule="auto"/>
      </w:pPr>
      <w:r>
        <w:rPr>
          <w:rFonts w:ascii="Arial" w:cs="Arial" w:eastAsia="Arial" w:hAnsi="Arial"/>
          <w:b/>
          <w:bCs/>
          <w:color w:val="1B2A4A"/>
          <w:sz w:val="22"/>
          <w:szCs w:val="22"/>
        </w:rPr>
        <w:t xml:space="preserve">What it measures</w:t>
      </w:r>
    </w:p>
    <w:p>
      <w:pPr>
        <w:spacing w:before="0" w:after="100" w:line="276" w:lineRule="auto"/>
        <w:jc w:val="left"/>
      </w:pPr>
      <w:r>
        <w:rPr>
          <w:rFonts w:ascii="Arial" w:cs="Arial" w:eastAsia="Arial" w:hAnsi="Arial"/>
          <w:b w:val="false"/>
          <w:bCs w:val="false"/>
          <w:i w:val="false"/>
          <w:iCs w:val="false"/>
          <w:color w:val="1C2333"/>
          <w:sz w:val="22"/>
          <w:szCs w:val="22"/>
        </w:rPr>
        <w:t xml:space="preserve">Sector Confirmation asks whether an ETF's positive signal is shared by its peers in the same sector. It requires at least three ETFs in the same sector, then checks three breadth conditions: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60% or more of sector peers have positive RS12 (12-week relative outperformance)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50% or more of sector peers have positive RS20 (20-week relative outperformance)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60% or more of sector peers have positive Pressure 20W (net institutional buying)</w:t>
      </w:r>
    </w:p>
    <w:p>
      <w:pPr>
        <w:spacing w:before="0" w:after="100" w:line="276" w:lineRule="auto"/>
        <w:jc w:val="left"/>
      </w:pPr>
      <w:r>
        <w:rPr>
          <w:rFonts w:ascii="Arial" w:cs="Arial" w:eastAsia="Arial" w:hAnsi="Arial"/>
          <w:b w:val="false"/>
          <w:bCs w:val="false"/>
          <w:i w:val="false"/>
          <w:iCs w:val="false"/>
          <w:color w:val="1C2333"/>
          <w:sz w:val="22"/>
          <w:szCs w:val="22"/>
        </w:rPr>
        <w:t xml:space="preserve">If all three conditions are met, the ETF's signal is sector-confirmed. This adds 5% directly to the Rotation Score and significantly boosts the Confidence Score.</w:t>
      </w:r>
    </w:p>
    <w:p>
      <w:pPr>
        <w:pStyle w:val="Heading3"/>
        <w:spacing w:before="200" w:after="60" w:line="276" w:lineRule="auto"/>
      </w:pPr>
      <w:r>
        <w:rPr>
          <w:rFonts w:ascii="Arial" w:cs="Arial" w:eastAsia="Arial" w:hAnsi="Arial"/>
          <w:b/>
          <w:bCs/>
          <w:color w:val="1B2A4A"/>
          <w:sz w:val="22"/>
          <w:szCs w:val="22"/>
        </w:rPr>
        <w:t xml:space="preserve">Why this KPI</w:t>
      </w:r>
    </w:p>
    <w:p>
      <w:pPr>
        <w:spacing w:before="0" w:after="100" w:line="276" w:lineRule="auto"/>
        <w:jc w:val="left"/>
      </w:pPr>
      <w:r>
        <w:rPr>
          <w:rFonts w:ascii="Arial" w:cs="Arial" w:eastAsia="Arial" w:hAnsi="Arial"/>
          <w:b w:val="false"/>
          <w:bCs w:val="false"/>
          <w:i w:val="false"/>
          <w:iCs w:val="false"/>
          <w:color w:val="1C2333"/>
          <w:sz w:val="22"/>
          <w:szCs w:val="22"/>
        </w:rPr>
        <w:t xml:space="preserve">A single ETF outperforming might reflect instrument-specific factors: a fund manager rebalancing, a structural change in that particular vehicle, or a technical anomaly. When multiple ETFs in the same sector are simultaneously showing positive RS and positive buying pressure, it is almost certain that genuine sector-level capital rotation is underway — a macro decision by large allocators to increase exposure to that asset class. Sector confirmation transforms an individual signal into a structural flow observation, which is a materially different and more actionable intelligence.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6"/>
              <w:bottom w:val="single" w:color="00695C" w:sz="1"/>
              <w:right w:val="none" w:color="FFFFFF" w:sz="0"/>
            </w:tcBorders>
            <w:shd w:fill="E0F2EF"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Example: VUKG.L (Vanguard FTSE 100) shows a Strong Buy. Sector confirmation is active — FTAL.L also shows positive RS and pressure, and the UK sector collectively meets the breadth thresholds. This means institutional money appears to be rotating into UK equities broadly, not just into one instrument. The conviction level is substantially higher than if only VUKG.L were positive.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5. The Rotation Score: How the KPIs Combine</w:t>
      </w:r>
    </w:p>
    <w:p>
      <w:pPr>
        <w:pStyle w:val="Heading2"/>
        <w:spacing w:before="280" w:after="80" w:line="276" w:lineRule="auto"/>
      </w:pPr>
      <w:r>
        <w:rPr>
          <w:rFonts w:ascii="Arial" w:cs="Arial" w:eastAsia="Arial" w:hAnsi="Arial"/>
          <w:b/>
          <w:bCs/>
          <w:color w:val="2E75B6"/>
          <w:sz w:val="26"/>
          <w:szCs w:val="26"/>
        </w:rPr>
        <w:t xml:space="preserve">5.1  Construction</w:t>
      </w:r>
    </w:p>
    <w:p>
      <w:pPr>
        <w:spacing w:before="0" w:after="100" w:line="276" w:lineRule="auto"/>
        <w:jc w:val="left"/>
      </w:pPr>
      <w:r>
        <w:rPr>
          <w:rFonts w:ascii="Arial" w:cs="Arial" w:eastAsia="Arial" w:hAnsi="Arial"/>
          <w:b w:val="false"/>
          <w:bCs w:val="false"/>
          <w:i w:val="false"/>
          <w:iCs w:val="false"/>
          <w:color w:val="1C2333"/>
          <w:sz w:val="22"/>
          <w:szCs w:val="22"/>
        </w:rPr>
        <w:t xml:space="preserve">The Rotation Score (0–100) is the primary quantitative output of the Footprints model. It combines the six KPI groups into a single weighted composite using the following weights: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Component</w:t>
            </w:r>
          </w:p>
        </w:tc>
        <w:tc>
          <w:tcPr>
            <w:tcW w:type="dxa" w:w="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Weight</w:t>
            </w:r>
          </w:p>
        </w:tc>
        <w:tc>
          <w:tcPr>
            <w:tcW w:type="dxa" w:w="5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Rationale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Vol-Adjusted RS20 Rank</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22%</w:t>
            </w:r>
          </w:p>
        </w:tc>
        <w:tc>
          <w:tcPr>
            <w:tcW w:type="dxa" w:w="5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Primary measure of sustained, risk-efficient relative outperformance</w:t>
            </w:r>
          </w:p>
        </w:tc>
      </w:tr>
      <w:tr>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Trend Score</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18%</w:t>
            </w:r>
          </w:p>
        </w:tc>
        <w:tc>
          <w:tcPr>
            <w:tcW w:type="dxa" w:w="5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Structural price alignment — prerequisite for institutional confidence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Vol-Adjusted RS Accel Rank</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15%</w:t>
            </w:r>
          </w:p>
        </w:tc>
        <w:tc>
          <w:tcPr>
            <w:tcW w:type="dxa" w:w="5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Momentum is building, not fading — institutions are still adding</w:t>
            </w:r>
          </w:p>
        </w:tc>
      </w:tr>
      <w:tr>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Turnover Ratio Rank</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15%</w:t>
            </w:r>
          </w:p>
        </w:tc>
        <w:tc>
          <w:tcPr>
            <w:tcW w:type="dxa" w:w="5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Capital participation is expanding relative to baseline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Pressure Rank</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15%</w:t>
            </w:r>
          </w:p>
        </w:tc>
        <w:tc>
          <w:tcPr>
            <w:tcW w:type="dxa" w:w="5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Net directional flow is positive — buyers dominating sellers</w:t>
            </w:r>
          </w:p>
        </w:tc>
      </w:tr>
      <w:tr>
        <w:tc>
          <w:tcPr>
            <w:tcW w:type="dxa" w:w="3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Pressure Positive Weeks %</w:t>
            </w:r>
          </w:p>
        </w:tc>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10%</w:t>
            </w:r>
          </w:p>
        </w:tc>
        <w:tc>
          <w:tcPr>
            <w:tcW w:type="dxa" w:w="53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Buying pressure is consistent, not sporadic</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Sector Confirmation</w:t>
            </w:r>
          </w:p>
        </w:tc>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5%</w:t>
            </w:r>
          </w:p>
        </w:tc>
        <w:tc>
          <w:tcPr>
            <w:tcW w:type="dxa" w:w="53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Sector-level breadth validates individual ETF signal</w:t>
            </w:r>
          </w:p>
        </w:tc>
      </w:tr>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20"/>
                <w:szCs w:val="20"/>
              </w:rPr>
              <w:t xml:space="preserve">TOTAL</w:t>
            </w:r>
          </w:p>
        </w:tc>
        <w:tc>
          <w:tcPr>
            <w:tcW w:type="dxa" w:w="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FFFFFF"/>
                <w:sz w:val="20"/>
                <w:szCs w:val="20"/>
              </w:rPr>
              <w:t xml:space="preserve">100%</w:t>
            </w:r>
          </w:p>
        </w:tc>
        <w:tc>
          <w:tcPr>
            <w:tcW w:type="dxa" w:w="5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FFFFFF"/>
                <w:sz w:val="20"/>
                <w:szCs w:val="20"/>
              </w:rPr>
              <w:t xml:space="preserve"/>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5.2  Cross-Sectional Ranking: Why It Matters</w:t>
      </w:r>
    </w:p>
    <w:p>
      <w:pPr>
        <w:spacing w:before="0" w:after="100" w:line="276" w:lineRule="auto"/>
        <w:jc w:val="left"/>
      </w:pPr>
      <w:r>
        <w:rPr>
          <w:rFonts w:ascii="Arial" w:cs="Arial" w:eastAsia="Arial" w:hAnsi="Arial"/>
          <w:b w:val="false"/>
          <w:bCs w:val="false"/>
          <w:i w:val="false"/>
          <w:iCs w:val="false"/>
          <w:color w:val="1C2333"/>
          <w:sz w:val="22"/>
          <w:szCs w:val="22"/>
        </w:rPr>
        <w:t xml:space="preserve">Every input to the Rotation Score is a percentile rank within the current universe, not an absolute value. This design choice has profound implications: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The model is self-calibrating. If global markets deteriorate and every ETF weakens, the rankings still distinguish the best from the worst. There is no hardcoded threshold for "good" RS or "good" pressure — only relative position within the current universe.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The model is regime-agnostic. In a bull market, high absolute RS values will be common. In a bear market, all RS values may be negative. In both cases, the top-ranked ETF by vol-adjusted RS is identifiably the best available option — which is the actionable conclusion.</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Outliers are controlled. Extreme values in any KPI are winsorised at the 2nd and 98th percentile before ranking, preventing a single anomalous ETF from distorting the distribution for the rest of the universe.</w:t>
      </w:r>
    </w:p>
    <w:p>
      <w:pPr>
        <w:pStyle w:val="Heading2"/>
        <w:spacing w:before="280" w:after="80" w:line="276" w:lineRule="auto"/>
      </w:pPr>
      <w:r>
        <w:rPr>
          <w:rFonts w:ascii="Arial" w:cs="Arial" w:eastAsia="Arial" w:hAnsi="Arial"/>
          <w:b/>
          <w:bCs/>
          <w:color w:val="2E75B6"/>
          <w:sz w:val="26"/>
          <w:szCs w:val="26"/>
        </w:rPr>
        <w:t xml:space="preserve">5.3  Signal Thresholds</w:t>
      </w:r>
    </w:p>
    <w:p>
      <w:pPr>
        <w:spacing w:before="0" w:after="100" w:line="276" w:lineRule="auto"/>
        <w:jc w:val="left"/>
      </w:pPr>
      <w:r>
        <w:rPr>
          <w:rFonts w:ascii="Arial" w:cs="Arial" w:eastAsia="Arial" w:hAnsi="Arial"/>
          <w:b w:val="false"/>
          <w:bCs w:val="false"/>
          <w:i w:val="false"/>
          <w:iCs w:val="false"/>
          <w:color w:val="1C2333"/>
          <w:sz w:val="22"/>
          <w:szCs w:val="22"/>
        </w:rPr>
        <w:t xml:space="preserve">Signal classification uses the Rotation Score as the primary gate, combined with the Trend Score and other conditions as secondary requirements: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Signal</w:t>
            </w:r>
          </w:p>
        </w:tc>
        <w:tc>
          <w:tcPr>
            <w:tcW w:type="dxa" w:w="69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Classification Conditions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00695C"/>
                <w:sz w:val="20"/>
                <w:szCs w:val="20"/>
              </w:rPr>
              <w:t xml:space="preserve">STRONG BUY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Rotation Score ≥72  AND  Trend Score ≥3/4  AND  Pressure 20W positive  AND  RS20 positive  AND  Confidence ≥50</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20"/>
                <w:szCs w:val="20"/>
              </w:rPr>
              <w:t xml:space="preserve">ACCUMULATING / HOLD</w:t>
            </w:r>
          </w:p>
        </w:tc>
        <w:tc>
          <w:tcPr>
            <w:tcW w:type="dxa" w:w="6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Rotation Score ≥60  AND  Trend Score ≥3/4  (does not meet all Strong Buy conditions)</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8B5E00"/>
                <w:sz w:val="20"/>
                <w:szCs w:val="20"/>
              </w:rPr>
              <w:t xml:space="preserve">EARLY ACCUMULATION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Pressure 20W has turned positive from negative (within prior 5 weeks)  AND  RS Acceleration positive  AND  RS4 positive  AND  Turnover Z-score positive. Closing price below the 100-week MA is a common accompanying indicator confirming early stage, but is not a hard gate condition.</w:t>
            </w:r>
          </w:p>
        </w:tc>
      </w:tr>
      <w:tr>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445060"/>
                <w:sz w:val="20"/>
                <w:szCs w:val="20"/>
              </w:rPr>
              <w:t xml:space="preserve">NEUTRAL</w:t>
            </w:r>
          </w:p>
        </w:tc>
        <w:tc>
          <w:tcPr>
            <w:tcW w:type="dxa" w:w="6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Mixed evidence — no clear directional bias. No qualifying condition for any other signal.</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8B1A2A"/>
                <w:sz w:val="20"/>
                <w:szCs w:val="20"/>
              </w:rPr>
              <w:t xml:space="preserve">EXIT / DISTRIBUTION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Rotation Score ≤35  AND  Trend Score ≤2/4  (multiple conditions negative simultaneously)</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6"/>
              <w:bottom w:val="single" w:color="445060" w:sz="1"/>
              <w:right w:val="none" w:color="FFFFFF" w:sz="0"/>
            </w:tcBorders>
            <w:shd w:fill="F4F6F9"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Signals are evaluated in priority order: Strong Buy is checked first, then Accumulating/Hold, then Early Accumulation, then Exit/Distribution, with Neutral as the residual. An ETF can only carry one signal at a time.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6. The Confidence Score: How Much to Trust the Signal</w:t>
      </w:r>
    </w:p>
    <w:p>
      <w:pPr>
        <w:spacing w:before="0" w:after="100" w:line="276" w:lineRule="auto"/>
        <w:jc w:val="left"/>
      </w:pPr>
      <w:r>
        <w:rPr>
          <w:rFonts w:ascii="Arial" w:cs="Arial" w:eastAsia="Arial" w:hAnsi="Arial"/>
          <w:b w:val="false"/>
          <w:bCs w:val="false"/>
          <w:i w:val="false"/>
          <w:iCs w:val="false"/>
          <w:color w:val="1C2333"/>
          <w:sz w:val="22"/>
          <w:szCs w:val="22"/>
        </w:rPr>
        <w:t xml:space="preserve">Every signal in Footprints is accompanied by a Confidence rating: HIGH, MODERATE, or LOW. The Confidence Score (0–100) is entirely independent of signal direction — it does not tell you which way the ETF is moving. It tells you how much statistical weight you can put behind the signal.</w:t>
      </w:r>
    </w:p>
    <w:p>
      <w:pPr>
        <w:pStyle w:val="Heading2"/>
        <w:spacing w:before="280" w:after="80" w:line="276" w:lineRule="auto"/>
      </w:pPr>
      <w:r>
        <w:rPr>
          <w:rFonts w:ascii="Arial" w:cs="Arial" w:eastAsia="Arial" w:hAnsi="Arial"/>
          <w:b/>
          <w:bCs/>
          <w:color w:val="2E75B6"/>
          <w:sz w:val="26"/>
          <w:szCs w:val="26"/>
        </w:rPr>
        <w:t xml:space="preserve">6.1  Confidence Components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60"/>
      </w:tblGrid>
      <w:tr>
        <w:trPr>
          <w:tblHeader/>
        </w:trP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Component</w:t>
            </w:r>
          </w:p>
        </w:tc>
        <w:tc>
          <w:tcPr>
            <w:tcW w:type="dxa" w:w="7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Points</w:t>
            </w:r>
          </w:p>
        </w:tc>
        <w:tc>
          <w:tcPr>
            <w:tcW w:type="dxa" w:w="56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Condition for Full Score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Liquidity</w:t>
            </w:r>
          </w:p>
        </w:tc>
        <w:tc>
          <w:tcPr>
            <w:tcW w:type="dxa" w:w="7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30</w:t>
            </w:r>
          </w:p>
        </w:tc>
        <w:tc>
          <w:tcPr>
            <w:tcW w:type="dxa" w:w="56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£ 5 million average weekly turnover. Scales linearly below this.</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History Depth</w:t>
            </w:r>
          </w:p>
        </w:tc>
        <w:tc>
          <w:tcPr>
            <w:tcW w:type="dxa" w:w="7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20</w:t>
            </w:r>
          </w:p>
        </w:tc>
        <w:tc>
          <w:tcPr>
            <w:tcW w:type="dxa" w:w="56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130 weeks of price history. Scales from zero at 21 weeks (minimum for RS).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Turnover Stability</w:t>
            </w:r>
          </w:p>
        </w:tc>
        <w:tc>
          <w:tcPr>
            <w:tcW w:type="dxa" w:w="7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15</w:t>
            </w:r>
          </w:p>
        </w:tc>
        <w:tc>
          <w:tcPr>
            <w:tcW w:type="dxa" w:w="56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Low coefficient of variation in weekly volume — consistent rather than erratic.</w:t>
            </w:r>
          </w:p>
        </w:tc>
      </w:tr>
      <w:tr>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Sector Confirmation</w:t>
            </w:r>
          </w:p>
        </w:tc>
        <w:tc>
          <w:tcPr>
            <w:tcW w:type="dxa" w:w="7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20</w:t>
            </w:r>
          </w:p>
        </w:tc>
        <w:tc>
          <w:tcPr>
            <w:tcW w:type="dxa" w:w="56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Sector breadth conditions met (see KPI 6). Unconfirmed signals receive 40% of this component.</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Data Completeness</w:t>
            </w:r>
          </w:p>
        </w:tc>
        <w:tc>
          <w:tcPr>
            <w:tcW w:type="dxa" w:w="7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15</w:t>
            </w:r>
          </w:p>
        </w:tc>
        <w:tc>
          <w:tcPr>
            <w:tcW w:type="dxa" w:w="56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All OHLCV fields present. Partial data (close-only) reduces this component.</w:t>
            </w:r>
          </w:p>
        </w:tc>
      </w:tr>
    </w:tbl>
    <w:p>
      <w:pPr>
        <w:spacing w:before="10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Buckets: HIGH ≥ 75 points | MODERATE 50–74 | LOW &lt; 50</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6"/>
              <w:bottom w:val="single" w:color="8B5E00" w:sz="1"/>
              <w:right w:val="none" w:color="FFFFFF" w:sz="0"/>
            </w:tcBorders>
            <w:shd w:fill="FFF8E1"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Practical guidance: HIGH confidence signals should be acted on according to your investment strategy. MODERATE confidence signals warrant reduced position sizing. LOW confidence signals should be observed but not acted on — the most common cause is a new ETF with limited price history. History accumulates at one week per week; a LOW confidence ETF will naturally become MODERATE then HIGH over time if data is entered consistently.</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7. Pension Fund Proxy Mapping</w:t>
      </w:r>
    </w:p>
    <w:p>
      <w:pPr>
        <w:pStyle w:val="Heading2"/>
        <w:spacing w:before="280" w:after="80" w:line="276" w:lineRule="auto"/>
      </w:pPr>
      <w:r>
        <w:rPr>
          <w:rFonts w:ascii="Arial" w:cs="Arial" w:eastAsia="Arial" w:hAnsi="Arial"/>
          <w:b/>
          <w:bCs/>
          <w:color w:val="2E75B6"/>
          <w:sz w:val="26"/>
          <w:szCs w:val="26"/>
        </w:rPr>
        <w:t xml:space="preserve">7.1  The Mapping Methodology</w:t>
      </w:r>
    </w:p>
    <w:p>
      <w:pPr>
        <w:spacing w:before="0" w:after="100" w:line="276" w:lineRule="auto"/>
        <w:jc w:val="left"/>
      </w:pPr>
      <w:r>
        <w:rPr>
          <w:rFonts w:ascii="Arial" w:cs="Arial" w:eastAsia="Arial" w:hAnsi="Arial"/>
          <w:b w:val="false"/>
          <w:bCs w:val="false"/>
          <w:i w:val="false"/>
          <w:iCs w:val="false"/>
          <w:color w:val="1C2333"/>
          <w:sz w:val="22"/>
          <w:szCs w:val="22"/>
        </w:rPr>
        <w:t xml:space="preserve">The pension fund proxy system is Footprints' most distinctive feature. It bridges the gap between the opacity of pension fund allocations and the transparency of ETF market data by identifying the LSE-listed ETF that most closely tracks the same underlying index as each pension fund option.</w:t>
      </w:r>
    </w:p>
    <w:p>
      <w:pPr>
        <w:spacing w:before="0" w:after="100" w:line="276" w:lineRule="auto"/>
        <w:jc w:val="left"/>
      </w:pPr>
      <w:r>
        <w:rPr>
          <w:rFonts w:ascii="Arial" w:cs="Arial" w:eastAsia="Arial" w:hAnsi="Arial"/>
          <w:b w:val="false"/>
          <w:bCs w:val="false"/>
          <w:i w:val="false"/>
          <w:iCs w:val="false"/>
          <w:color w:val="1C2333"/>
          <w:sz w:val="22"/>
          <w:szCs w:val="22"/>
        </w:rPr>
        <w:t xml:space="preserve">The mapping is established at the index level, not the fund level. A pension fund option described as "Global Developed Equity" will typically track the MSCI World Index or the FTSE Developed World Index. The corresponding proxy ETF — for example, VHVG.L (Vanguard FTSE Developed World) or SWDA.L (iShares Core MSCI World) — tracks the same or a substantially equivalent index. When institutional capital rotates into global developed equity, both the pension fund's net asset value and the proxy ETF's price will move in the same direction, at approximately the same magnitude, with the ETF providing the more immediate and transparent signal.</w:t>
      </w:r>
    </w:p>
    <w:p>
      <w:pPr>
        <w:spacing w:before="0" w:after="100" w:line="276" w:lineRule="auto"/>
        <w:jc w:val="left"/>
      </w:pPr>
      <w:r>
        <w:rPr>
          <w:rFonts w:ascii="Arial" w:cs="Arial" w:eastAsia="Arial" w:hAnsi="Arial"/>
          <w:b w:val="false"/>
          <w:bCs w:val="false"/>
          <w:i w:val="false"/>
          <w:iCs w:val="false"/>
          <w:color w:val="1C2333"/>
          <w:sz w:val="22"/>
          <w:szCs w:val="22"/>
        </w:rPr>
        <w:t xml:space="preserve">Proxy mappings are managed in the Footprints Admin panel and can be updated as pension fund options change. A single ETF can serve as a proxy for multiple pension funds. A single pension fund can have multiple proxy ETFs when the fund's mandate spans several indices.</w:t>
      </w:r>
    </w:p>
    <w:p>
      <w:pPr>
        <w:pStyle w:val="Heading2"/>
        <w:spacing w:before="280" w:after="80" w:line="276" w:lineRule="auto"/>
      </w:pPr>
      <w:r>
        <w:rPr>
          <w:rFonts w:ascii="Arial" w:cs="Arial" w:eastAsia="Arial" w:hAnsi="Arial"/>
          <w:b/>
          <w:bCs/>
          <w:color w:val="2E75B6"/>
          <w:sz w:val="26"/>
          <w:szCs w:val="26"/>
        </w:rPr>
        <w:t xml:space="preserve">7.2  Current Pension Fund Mappings</w:t>
      </w:r>
    </w:p>
    <w:p>
      <w:pPr>
        <w:spacing w:before="0" w:after="100" w:line="276" w:lineRule="auto"/>
        <w:jc w:val="left"/>
      </w:pPr>
      <w:r>
        <w:rPr>
          <w:rFonts w:ascii="Arial" w:cs="Arial" w:eastAsia="Arial" w:hAnsi="Arial"/>
          <w:b w:val="false"/>
          <w:bCs w:val="false"/>
          <w:i w:val="false"/>
          <w:iCs w:val="false"/>
          <w:color w:val="1C2333"/>
          <w:sz w:val="22"/>
          <w:szCs w:val="22"/>
        </w:rPr>
        <w:t xml:space="preserve">Footprints currently maintains 18 pension fund mappings across L&amp;G and Irish Life fund ranges: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Fund Code</w:t>
            </w:r>
          </w:p>
        </w:tc>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Pension Fund Name</w:t>
            </w:r>
          </w:p>
        </w:tc>
        <w:tc>
          <w:tcPr>
            <w:tcW w:type="dxa" w:w="3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Proxy ETF(s)</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LG-GLOB-DEV</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Global Developed Equity</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VHVG.L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LG-WRLD-EXUK</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Future World Europe (ex-UK)</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VWRP.L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LG-APAC-EXJP</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Future World Asia-Pac (ex-Japan)</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LGAG.L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LG-SMALLCOMP</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Smaller Companies Index</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ISWSML.L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LG-SHRTBOND</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Short Dated Bond Index</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IS15.L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LG-UKEQUITY</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UK Equity Index</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FTAL.L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LG-EMGMKTS</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Emerging Markets Index</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VGVFEG.L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LG-UKSMLCAPS</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UK Smaller Companies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CUKS.L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LG-GLBREALEST</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Global Real Estate Equity</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IDWP.L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LG-CORPBONDS</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AAA-AA-A Corp Bond All Stocks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IS15.L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LG-FUTURE_WLD_ASSET</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Future World Multi-Asset</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MAGG.L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LG-ACTIVE_GLOBAL</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MT Active Global Equity</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SWDA.L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LG-NORTHAMERICA</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Future World North America</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V3NB.L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LG-ASIAPAC_EXJP</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Future World Asia-Pac (ex-Japan)</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LGAG.L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LG-GLOBAL_ISLAMIC</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L&amp;G PMC HSBC Islamic Global Equity</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DBXWD1.L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IL-AMUNDI_GOLD</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Amundi Physical Gold ETC Series P</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SGLN.L</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IL-EUROPE</w:t>
            </w:r>
          </w:p>
        </w:tc>
        <w:tc>
          <w:tcPr>
            <w:tcW w:type="dxa" w:w="30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Irish Life Indexed European Equity P</w:t>
            </w:r>
          </w:p>
        </w:tc>
        <w:tc>
          <w:tcPr>
            <w:tcW w:type="dxa" w:w="3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VEUA.L</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2E75B6"/>
                <w:sz w:val="19"/>
                <w:szCs w:val="19"/>
              </w:rPr>
              <w:t xml:space="preserve">IL-GLBL-BONDS</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19"/>
                <w:szCs w:val="19"/>
              </w:rPr>
              <w:t xml:space="preserve">Irish Life Amundi Global Aggregate Bond</w:t>
            </w:r>
          </w:p>
        </w:tc>
        <w:tc>
          <w:tcPr>
            <w:tcW w:type="dxa" w:w="3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B2A4A"/>
                <w:sz w:val="19"/>
                <w:szCs w:val="19"/>
              </w:rPr>
              <w:t xml:space="preserve">AGHG.L</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7.3  Applying the Pension Fund Filter</w:t>
      </w:r>
    </w:p>
    <w:p>
      <w:pPr>
        <w:spacing w:before="0" w:after="100" w:line="276" w:lineRule="auto"/>
        <w:jc w:val="left"/>
      </w:pPr>
      <w:r>
        <w:rPr>
          <w:rFonts w:ascii="Arial" w:cs="Arial" w:eastAsia="Arial" w:hAnsi="Arial"/>
          <w:b w:val="false"/>
          <w:bCs w:val="false"/>
          <w:i w:val="false"/>
          <w:iCs w:val="false"/>
          <w:color w:val="1C2333"/>
          <w:sz w:val="22"/>
          <w:szCs w:val="22"/>
        </w:rPr>
        <w:t xml:space="preserve">In both the Dashboard and Heatmap views, a Pension Fund filter bar allows the user to select a specific fund. When active, only the proxy ETFs for that fund are displayed. This produces a focused view answering a single question: what does the institutional signal say about the market my pension fund is exposed to, right now?</w:t>
      </w:r>
    </w:p>
    <w:p>
      <w:pPr>
        <w:spacing w:before="0" w:after="100" w:line="276" w:lineRule="auto"/>
        <w:jc w:val="left"/>
      </w:pPr>
      <w:r>
        <w:rPr>
          <w:rFonts w:ascii="Arial" w:cs="Arial" w:eastAsia="Arial" w:hAnsi="Arial"/>
          <w:b w:val="false"/>
          <w:bCs w:val="false"/>
          <w:i w:val="false"/>
          <w:iCs w:val="false"/>
          <w:color w:val="1C2333"/>
          <w:sz w:val="22"/>
          <w:szCs w:val="22"/>
        </w:rPr>
        <w:t xml:space="preserve">The Sector Overview on the Heatmap page extends this: the "Pension Proxies" toggle re-renders the entire sector grid using only pension-mapped ETFs, showing which sectors your pension universe currently covers, which of those sectors are attracting institutional flows, and the signal composition within each covered sector.</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Practical application: Your L&amp;G pension includes LG-UKEQUITY (proxy: FTAL.L) and LG-GLOB-DEV (proxy: VHVG.L). This week, FTAL.L shows Strong Buy (Rotation: 71.2, HIGH confidence) and VHVG.L shows Neutral (Rotation: 48.4). The signal suggests rotating pension allocation toward UK equities and away from global developed — a decision supported by six independent quantitative metrics, updated this week.</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8. How Institutional Flow Becomes a Signal</w:t>
      </w:r>
    </w:p>
    <w:p>
      <w:pPr>
        <w:pStyle w:val="Heading2"/>
        <w:spacing w:before="280" w:after="80" w:line="276" w:lineRule="auto"/>
      </w:pPr>
      <w:r>
        <w:rPr>
          <w:rFonts w:ascii="Arial" w:cs="Arial" w:eastAsia="Arial" w:hAnsi="Arial"/>
          <w:b/>
          <w:bCs/>
          <w:color w:val="2E75B6"/>
          <w:sz w:val="26"/>
          <w:szCs w:val="26"/>
        </w:rPr>
        <w:t xml:space="preserve">8.1  The Anatomy of a Flow Signal</w:t>
      </w:r>
    </w:p>
    <w:p>
      <w:pPr>
        <w:spacing w:before="0" w:after="100" w:line="276" w:lineRule="auto"/>
        <w:jc w:val="left"/>
      </w:pPr>
      <w:r>
        <w:rPr>
          <w:rFonts w:ascii="Arial" w:cs="Arial" w:eastAsia="Arial" w:hAnsi="Arial"/>
          <w:b w:val="false"/>
          <w:bCs w:val="false"/>
          <w:i w:val="false"/>
          <w:iCs w:val="false"/>
          <w:color w:val="1C2333"/>
          <w:sz w:val="22"/>
          <w:szCs w:val="22"/>
        </w:rPr>
        <w:t xml:space="preserve">The process by which genuine institutional capital rotation generates a Footprints signal is not instantaneous — it unfolds over weeks, and the signal progression reflects this. Understanding the sequence allows a user to act earlier with lower conviction, or later with higher conviction, according to their risk tolerance.</w:t>
      </w:r>
    </w:p>
    <w:p>
      <w:pPr>
        <w:pStyle w:val="Heading3"/>
        <w:spacing w:before="200" w:after="60" w:line="276" w:lineRule="auto"/>
      </w:pPr>
      <w:r>
        <w:rPr>
          <w:rFonts w:ascii="Arial" w:cs="Arial" w:eastAsia="Arial" w:hAnsi="Arial"/>
          <w:b/>
          <w:bCs/>
          <w:color w:val="1B2A4A"/>
          <w:sz w:val="22"/>
          <w:szCs w:val="22"/>
        </w:rPr>
        <w:t xml:space="preserve">Stage 1 — Early Pressure Flip (Weeks 1–2)</w:t>
      </w:r>
    </w:p>
    <w:p>
      <w:pPr>
        <w:spacing w:before="0" w:after="100" w:line="276" w:lineRule="auto"/>
        <w:jc w:val="left"/>
      </w:pPr>
      <w:r>
        <w:rPr>
          <w:rFonts w:ascii="Arial" w:cs="Arial" w:eastAsia="Arial" w:hAnsi="Arial"/>
          <w:b w:val="false"/>
          <w:bCs w:val="false"/>
          <w:i w:val="false"/>
          <w:iCs w:val="false"/>
          <w:color w:val="1C2333"/>
          <w:sz w:val="22"/>
          <w:szCs w:val="22"/>
        </w:rPr>
        <w:t xml:space="preserve">The first observable sign of institutional accumulation is a change in pressure. An ETF that has been distributing (negative pressure weeks) begins to show positive CLV-weighted flow. The 20-week pressure sum remains negative because the recent historical distribution outweighs the new buying, but the most recent weeks are positive. This is the EARLY ACCUMULATION signal — the model detects the inflection before the trend or rotation score has confirmed it. Turnover often begins to expand during this phase.</w:t>
      </w:r>
    </w:p>
    <w:p>
      <w:pPr>
        <w:pStyle w:val="Heading3"/>
        <w:spacing w:before="200" w:after="60" w:line="276" w:lineRule="auto"/>
      </w:pPr>
      <w:r>
        <w:rPr>
          <w:rFonts w:ascii="Arial" w:cs="Arial" w:eastAsia="Arial" w:hAnsi="Arial"/>
          <w:b/>
          <w:bCs/>
          <w:color w:val="1B2A4A"/>
          <w:sz w:val="22"/>
          <w:szCs w:val="22"/>
        </w:rPr>
        <w:t xml:space="preserve">Stage 2 — Rotation Score Improvement (Weeks 3–6)</w:t>
      </w:r>
    </w:p>
    <w:p>
      <w:pPr>
        <w:spacing w:before="0" w:after="100" w:line="276" w:lineRule="auto"/>
        <w:jc w:val="left"/>
      </w:pPr>
      <w:r>
        <w:rPr>
          <w:rFonts w:ascii="Arial" w:cs="Arial" w:eastAsia="Arial" w:hAnsi="Arial"/>
          <w:b w:val="false"/>
          <w:bCs w:val="false"/>
          <w:i w:val="false"/>
          <w:iCs w:val="false"/>
          <w:color w:val="1C2333"/>
          <w:sz w:val="22"/>
          <w:szCs w:val="22"/>
        </w:rPr>
        <w:t xml:space="preserve">As buying pressure continues and the ETF begins to outperform the benchmark over 4 and 12 weeks, the RS Acceleration metric turns positive. The Pressure 20W sum turns positive as the recent buying outweighs earlier distribution. The Rotation Score climbs from neutral territory into the 60s. If the trend score also moves to 3/4 — typically because the close rises above the 20-week MA — the ACCUMULATING/HOLD signal triggers.</w:t>
      </w:r>
    </w:p>
    <w:p>
      <w:pPr>
        <w:pStyle w:val="Heading3"/>
        <w:spacing w:before="200" w:after="60" w:line="276" w:lineRule="auto"/>
      </w:pPr>
      <w:r>
        <w:rPr>
          <w:rFonts w:ascii="Arial" w:cs="Arial" w:eastAsia="Arial" w:hAnsi="Arial"/>
          <w:b/>
          <w:bCs/>
          <w:color w:val="1B2A4A"/>
          <w:sz w:val="22"/>
          <w:szCs w:val="22"/>
        </w:rPr>
        <w:t xml:space="preserve">Stage 3 — Full Signal Confirmation (Weeks 6–12+)</w:t>
      </w:r>
    </w:p>
    <w:p>
      <w:pPr>
        <w:spacing w:before="0" w:after="100" w:line="276" w:lineRule="auto"/>
        <w:jc w:val="left"/>
      </w:pPr>
      <w:r>
        <w:rPr>
          <w:rFonts w:ascii="Arial" w:cs="Arial" w:eastAsia="Arial" w:hAnsi="Arial"/>
          <w:b w:val="false"/>
          <w:bCs w:val="false"/>
          <w:i w:val="false"/>
          <w:iCs w:val="false"/>
          <w:color w:val="1C2333"/>
          <w:sz w:val="22"/>
          <w:szCs w:val="22"/>
        </w:rPr>
        <w:t xml:space="preserve">Sustained institutional accumulation produces RS20 outperformance as the 5-month return diverges from the benchmark. Volatility-adjusted RS rises in the percentile rankings. If sector peers are also in positive territory, sector confirmation activates. The Rotation Score crosses 72. With trend score at 3/4 or 4/4 and all other conditions met, the STRONG BUY signal triggers. This is the highest-conviction stage — all six KPI groups are simultaneously positive.</w:t>
      </w:r>
    </w:p>
    <w:p>
      <w:pPr>
        <w:pStyle w:val="Heading2"/>
        <w:spacing w:before="280" w:after="80" w:line="276" w:lineRule="auto"/>
      </w:pPr>
      <w:r>
        <w:rPr>
          <w:rFonts w:ascii="Arial" w:cs="Arial" w:eastAsia="Arial" w:hAnsi="Arial"/>
          <w:b/>
          <w:bCs/>
          <w:color w:val="2E75B6"/>
          <w:sz w:val="26"/>
          <w:szCs w:val="26"/>
        </w:rPr>
        <w:t xml:space="preserve">8.2  The Diagnostic Value of the Heatmap</w:t>
      </w:r>
    </w:p>
    <w:p>
      <w:pPr>
        <w:spacing w:before="0" w:after="100" w:line="276" w:lineRule="auto"/>
        <w:jc w:val="left"/>
      </w:pPr>
      <w:r>
        <w:rPr>
          <w:rFonts w:ascii="Arial" w:cs="Arial" w:eastAsia="Arial" w:hAnsi="Arial"/>
          <w:b w:val="false"/>
          <w:bCs w:val="false"/>
          <w:i w:val="false"/>
          <w:iCs w:val="false"/>
          <w:color w:val="1C2333"/>
          <w:sz w:val="22"/>
          <w:szCs w:val="22"/>
        </w:rPr>
        <w:t xml:space="preserve">The KPI Heatmap provides a granular view of exactly which KPIs are contributing to each ETF's signal. An ETF scoring 68 (just below Accumulating/Hold threshold) whose only weakness is a Trend Score of 2/4 — because the close is below the 100-week MA — is a very different proposition from one scoring 68 with weak RS, weak pressure, and poor turnover. The first is close to a signal upgrade on a single metric; the second has multiple deficiencies. The Heatmap makes these distinctions visible at a glance.</w:t>
      </w:r>
    </w:p>
    <w:p>
      <w:pPr>
        <w:pStyle w:val="Heading2"/>
        <w:spacing w:before="280" w:after="80" w:line="276" w:lineRule="auto"/>
      </w:pPr>
      <w:r>
        <w:rPr>
          <w:rFonts w:ascii="Arial" w:cs="Arial" w:eastAsia="Arial" w:hAnsi="Arial"/>
          <w:b/>
          <w:bCs/>
          <w:color w:val="2E75B6"/>
          <w:sz w:val="26"/>
          <w:szCs w:val="26"/>
        </w:rPr>
        <w:t xml:space="preserve">8.3  Exit Signal Interpretation</w:t>
      </w:r>
    </w:p>
    <w:p>
      <w:pPr>
        <w:spacing w:before="0" w:after="100" w:line="276" w:lineRule="auto"/>
        <w:jc w:val="left"/>
      </w:pPr>
      <w:r>
        <w:rPr>
          <w:rFonts w:ascii="Arial" w:cs="Arial" w:eastAsia="Arial" w:hAnsi="Arial"/>
          <w:b w:val="false"/>
          <w:bCs w:val="false"/>
          <w:i w:val="false"/>
          <w:iCs w:val="false"/>
          <w:color w:val="1C2333"/>
          <w:sz w:val="22"/>
          <w:szCs w:val="22"/>
        </w:rPr>
        <w:t xml:space="preserve">The EXIT/DISTRIBUTION signal is equally important for capital preservation. It requires both a Rotation Score below 35 AND a Trend Score of 2/4 or below — ensuring that a brief underperformance episode does not trigger an exit signal on an otherwise healthy ETF. The combination of both conditions indicates that price structure has deteriorated (the trend is broken) and the composite KPI evidence is decisively negative. The Pressure 20W will typically be deeply negative, RS20 will be substantially below the benchmark, and sector breadth will be weak.</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6"/>
              <w:bottom w:val="single" w:color="00695C" w:sz="1"/>
              <w:right w:val="none" w:color="FFFFFF" w:sz="0"/>
            </w:tcBorders>
            <w:shd w:fill="E0F2EF"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Signal persistence matters. A single week of Strong Buy in an ETF with HIGH confidence is worth noting. Eight consecutive weeks of Strong Buy with HIGH confidence and sector confirmation in a liquid ETF represents one of the highest-conviction rotation signals the model can produce. The Signal History page in Footprints makes this persistence immediately visible.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9. Acting on Signals: A Decision Framework</w:t>
      </w:r>
    </w:p>
    <w:p>
      <w:pPr>
        <w:pStyle w:val="Heading2"/>
        <w:spacing w:before="280" w:after="80" w:line="276" w:lineRule="auto"/>
      </w:pPr>
      <w:r>
        <w:rPr>
          <w:rFonts w:ascii="Arial" w:cs="Arial" w:eastAsia="Arial" w:hAnsi="Arial"/>
          <w:b/>
          <w:bCs/>
          <w:color w:val="2E75B6"/>
          <w:sz w:val="26"/>
          <w:szCs w:val="26"/>
        </w:rPr>
        <w:t xml:space="preserve">9.1  The Signal Progression Protocol</w:t>
      </w:r>
    </w:p>
    <w:p>
      <w:pPr>
        <w:spacing w:before="0" w:after="100" w:line="276" w:lineRule="auto"/>
        <w:jc w:val="left"/>
      </w:pPr>
      <w:r>
        <w:rPr>
          <w:rFonts w:ascii="Arial" w:cs="Arial" w:eastAsia="Arial" w:hAnsi="Arial"/>
          <w:b w:val="false"/>
          <w:bCs w:val="false"/>
          <w:i w:val="false"/>
          <w:iCs w:val="false"/>
          <w:color w:val="1C2333"/>
          <w:sz w:val="22"/>
          <w:szCs w:val="22"/>
        </w:rPr>
        <w:t xml:space="preserve">The most reliable Footprints-based decisions follow a signal progression — not a single-week spike. The following sequence, when observed, represents the highest-quality entry opportunity the model can identify:</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Week</w:t>
            </w:r>
          </w:p>
        </w:tc>
        <w:tc>
          <w:tcPr>
            <w:tcW w:type="dxa" w:w="2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Signal</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Action</w:t>
            </w:r>
          </w:p>
        </w:tc>
      </w:tr>
      <w:tr>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w:t>
            </w:r>
          </w:p>
        </w:tc>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Early Accumulation</w:t>
            </w:r>
          </w:p>
        </w:tc>
        <w:tc>
          <w:tcPr>
            <w:tcW w:type="dxa" w:w="6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Note the inflection. Verify: is turnover expanding? Is RS4 positive? Watch but do not act yet.</w:t>
            </w:r>
          </w:p>
        </w:tc>
      </w:tr>
      <w:tr>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2–3</w:t>
            </w:r>
          </w:p>
        </w:tc>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Early Accumulation (persistent)</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Increasing conviction. Prepare a position if conditions for Accumulating/Hold are approaching.</w:t>
            </w:r>
          </w:p>
        </w:tc>
      </w:tr>
      <w:tr>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4–6</w:t>
            </w:r>
          </w:p>
        </w:tc>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Accumulating / Hold</w:t>
            </w:r>
          </w:p>
        </w:tc>
        <w:tc>
          <w:tcPr>
            <w:tcW w:type="dxa" w:w="6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Initiate a partial position. The rotation score is above 60, trend is constructive.</w:t>
            </w:r>
          </w:p>
        </w:tc>
      </w:tr>
      <w:tr>
        <w:tc>
          <w:tcPr>
            <w:tcW w:type="dxa" w:w="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7–10</w:t>
            </w:r>
          </w:p>
        </w:tc>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Accumulating / Hold → Strong Buy</w:t>
            </w:r>
          </w:p>
        </w:tc>
        <w:tc>
          <w:tcPr>
            <w:tcW w:type="dxa" w:w="6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Increase to full intended position size on Strong Buy confirmation.</w:t>
            </w:r>
          </w:p>
        </w:tc>
      </w:tr>
      <w:tr>
        <w:tc>
          <w:tcPr>
            <w:tcW w:type="dxa" w:w="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11+</w:t>
            </w:r>
          </w:p>
        </w:tc>
        <w:tc>
          <w:tcPr>
            <w:tcW w:type="dxa" w:w="24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Strong Buy (persistent)</w:t>
            </w:r>
          </w:p>
        </w:tc>
        <w:tc>
          <w:tcPr>
            <w:tcW w:type="dxa" w:w="6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Hold. Review weekly. Exit discipline: require two consecutive weeks of weakening before reducing.</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9.2  Pension Fund Switching Protocol</w:t>
      </w:r>
    </w:p>
    <w:p>
      <w:pPr>
        <w:spacing w:before="0" w:after="100" w:line="276" w:lineRule="auto"/>
        <w:jc w:val="left"/>
      </w:pPr>
      <w:r>
        <w:rPr>
          <w:rFonts w:ascii="Arial" w:cs="Arial" w:eastAsia="Arial" w:hAnsi="Arial"/>
          <w:b w:val="false"/>
          <w:bCs w:val="false"/>
          <w:i w:val="false"/>
          <w:iCs w:val="false"/>
          <w:color w:val="1C2333"/>
          <w:sz w:val="22"/>
          <w:szCs w:val="22"/>
        </w:rPr>
        <w:t xml:space="preserve">Pension fund switches carry operational delays (typically one to three working days in the UK and Ireland) and are not reversible intraday. The following protocol is recommended:</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Require at minimum two consecutive weeks of a positive signal (Accumulating/Hold or Strong Buy) on the target fund's proxy ETF before initiating a switch toward it.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Require at minimum two consecutive weeks of an EXIT/DISTRIBUTION signal on the source fund's proxy ETF before initiating a switch away from it.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Do not switch based on EARLY ACCUMULATION alone — this is preliminary intelligence, not confirmed institutional positioning.</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When no proxy ETF in your pension universe shows a positive signal, the cash or low-risk option is appropriate. Footprints does not generate a "buy the market" signal; it generates specific rotation signals.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After switching, continue weekly monitoring. If the signal on the target fund's proxy reverses to Neutral or Exit within two weeks, review whether the switch thesis remains valid.</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E00" w:sz="1"/>
              <w:left w:val="single" w:color="8B5E00" w:sz="16"/>
              <w:bottom w:val="single" w:color="8B5E00" w:sz="1"/>
              <w:right w:val="none" w:color="FFFFFF" w:sz="0"/>
            </w:tcBorders>
            <w:shd w:fill="FFF8E1" w:val="clear"/>
            <w:tcMar>
              <w:top w:type="dxa" w:w="100"/>
              <w:left w:type="dxa" w:w="160"/>
              <w:bottom w:type="dxa" w:w="100"/>
              <w:right w:type="dxa" w:w="160"/>
            </w:tcMar>
          </w:tcPr>
          <w:p>
            <w:pPr>
              <w:spacing w:before="0" w:after="80" w:line="276" w:lineRule="auto"/>
              <w:jc w:val="left"/>
            </w:pPr>
            <w:r>
              <w:rPr>
                <w:rFonts w:ascii="Arial" w:cs="Arial" w:eastAsia="Arial" w:hAnsi="Arial"/>
                <w:b w:val="false"/>
                <w:bCs w:val="false"/>
                <w:i/>
                <w:iCs/>
                <w:color w:val="1C2333"/>
                <w:sz w:val="20"/>
                <w:szCs w:val="20"/>
              </w:rPr>
              <w:t xml:space="preserve">Important note on timing: Footprints signals are generated from weekly data. A signal that appears this Sunday reflects data through the previous Friday's close. Pension fund switch instructions submitted Monday morning will settle mid-week, by which time the next week's signal will not yet be available. This one-week execution lag is normal and does not materially affect the quality of rotation decisions based on weekly signals.</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80" w:after="80" w:line="276" w:lineRule="auto"/>
      </w:pPr>
      <w:r>
        <w:rPr>
          <w:rFonts w:ascii="Arial" w:cs="Arial" w:eastAsia="Arial" w:hAnsi="Arial"/>
          <w:b/>
          <w:bCs/>
          <w:color w:val="2E75B6"/>
          <w:sz w:val="26"/>
          <w:szCs w:val="26"/>
        </w:rPr>
        <w:t xml:space="preserve">9.3  Position Sizing by Confidence</w:t>
      </w:r>
    </w:p>
    <w:p>
      <w:pPr>
        <w:spacing w:before="0" w:after="100" w:line="276" w:lineRule="auto"/>
        <w:jc w:val="left"/>
      </w:pPr>
      <w:r>
        <w:rPr>
          <w:rFonts w:ascii="Arial" w:cs="Arial" w:eastAsia="Arial" w:hAnsi="Arial"/>
          <w:b w:val="false"/>
          <w:bCs w:val="false"/>
          <w:i w:val="false"/>
          <w:iCs w:val="false"/>
          <w:color w:val="1C2333"/>
          <w:sz w:val="22"/>
          <w:szCs w:val="22"/>
        </w:rPr>
        <w:t xml:space="preserve">The Confidence Score is designed to modulate the size of any action, not the decision to act. A HIGH confidence Strong Buy warrants full intended position size. A MODERATE confidence Strong Buy warrants 60–70% of intended size. A LOW confidence Strong Buy warrants observation only, with a position initiated only when confidence improves. This is not a recommendation — it is a framework. Individual risk tolerance and investment mandate must take precedence.</w:t>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10. Limitations and Important Caveats</w:t>
      </w:r>
    </w:p>
    <w:p>
      <w:pPr>
        <w:pStyle w:val="Heading2"/>
        <w:spacing w:before="280" w:after="80" w:line="276" w:lineRule="auto"/>
      </w:pPr>
      <w:r>
        <w:rPr>
          <w:rFonts w:ascii="Arial" w:cs="Arial" w:eastAsia="Arial" w:hAnsi="Arial"/>
          <w:b/>
          <w:bCs/>
          <w:color w:val="2E75B6"/>
          <w:sz w:val="26"/>
          <w:szCs w:val="26"/>
        </w:rPr>
        <w:t xml:space="preserve">10.1  What Footprints Cannot Do</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Predict prices. Footprints is a current-state diagnostic, not a forecast model. A Strong Buy means institutional behaviour is currently bullish — not that the price will rise next week.</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Detect sudden macro shocks. A significant geopolitical event, central bank intervention, or systemic market dislocation within a single week will not be reflected in the signal until the following week's recompute.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Account for currency risk. All ETFs are measured in GBP. An ETF with positive USD-denominated performance but a weakening USD may show weaker relative strength in GBP terms. The model does not disaggregate currency effects from underlying asset performance.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Identify all types of institutional flow. Block trades executed via dark pools, OTC transactions, and derivatives activity do not appear in exchange-visible ETF data. The model captures what is visible in the public tape only.</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Backtest with statistical significance. The current universe and model version have been designed and calibrated but not formally backtested across multiple market cycles. Historical signal patterns visible in the History page are descriptive, not predictive.</w:t>
      </w:r>
    </w:p>
    <w:p>
      <w:pPr>
        <w:pStyle w:val="Heading2"/>
        <w:spacing w:before="280" w:after="80" w:line="276" w:lineRule="auto"/>
      </w:pPr>
      <w:r>
        <w:rPr>
          <w:rFonts w:ascii="Arial" w:cs="Arial" w:eastAsia="Arial" w:hAnsi="Arial"/>
          <w:b/>
          <w:bCs/>
          <w:color w:val="2E75B6"/>
          <w:sz w:val="26"/>
          <w:szCs w:val="26"/>
        </w:rPr>
        <w:t xml:space="preserve">10.2  Proxy Mapping Imprecision</w:t>
      </w:r>
    </w:p>
    <w:p>
      <w:pPr>
        <w:spacing w:before="0" w:after="100" w:line="276" w:lineRule="auto"/>
        <w:jc w:val="left"/>
      </w:pPr>
      <w:r>
        <w:rPr>
          <w:rFonts w:ascii="Arial" w:cs="Arial" w:eastAsia="Arial" w:hAnsi="Arial"/>
          <w:b w:val="false"/>
          <w:bCs w:val="false"/>
          <w:i w:val="false"/>
          <w:iCs w:val="false"/>
          <w:color w:val="1C2333"/>
          <w:sz w:val="22"/>
          <w:szCs w:val="22"/>
        </w:rPr>
        <w:t xml:space="preserve">The ETF proxy relationship is approximate, not exact. Pension fund internal costs, tracking error, and portfolio composition differences mean that a pension fund's NAV and its proxy ETF's price will diverge modestly over time. In practice, index-tracking pension funds and their proxy ETFs show very high correlation over medium-term timeframes (the 4–20 week windows Footprints uses), but shorter-term divergences are normal.</w:t>
      </w:r>
    </w:p>
    <w:p>
      <w:pPr>
        <w:pStyle w:val="Heading2"/>
        <w:spacing w:before="280" w:after="80" w:line="276" w:lineRule="auto"/>
      </w:pPr>
      <w:r>
        <w:rPr>
          <w:rFonts w:ascii="Arial" w:cs="Arial" w:eastAsia="Arial" w:hAnsi="Arial"/>
          <w:b/>
          <w:bCs/>
          <w:color w:val="2E75B6"/>
          <w:sz w:val="26"/>
          <w:szCs w:val="26"/>
        </w:rPr>
        <w:t xml:space="preserve">10.3  Universe Concentration</w:t>
      </w:r>
    </w:p>
    <w:p>
      <w:pPr>
        <w:spacing w:before="0" w:after="100" w:line="276" w:lineRule="auto"/>
        <w:jc w:val="left"/>
      </w:pPr>
      <w:r>
        <w:rPr>
          <w:rFonts w:ascii="Arial" w:cs="Arial" w:eastAsia="Arial" w:hAnsi="Arial"/>
          <w:b w:val="false"/>
          <w:bCs w:val="false"/>
          <w:i w:val="false"/>
          <w:iCs w:val="false"/>
          <w:color w:val="1C2333"/>
          <w:sz w:val="22"/>
          <w:szCs w:val="22"/>
        </w:rPr>
        <w:t xml:space="preserve">With 40 ETFs across 11 sectors, the Footprints universe is intentionally focused rather than exhaustive. The cross-sectional rankings are relative to this universe. An ETF ranking 95th percentile within Footprints might rank 80th percentile in a broader universe of 200 ETFs. The signals are reliable within the defined universe but should not be generalised beyond it.</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Term</w:t>
            </w:r>
          </w:p>
        </w:tc>
        <w:tc>
          <w:tcPr>
            <w:tcW w:type="dxa" w:w="7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FFFFFF"/>
                <w:sz w:val="19"/>
                <w:szCs w:val="19"/>
              </w:rPr>
              <w:t xml:space="preserve">Definition</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Benchmark</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VWRP.L — the Vanguard FTSE All-World ETF, representing the global equity market. All RS calculations measure performance relative to this fund.</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CLV</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Close Location Value. Ranges from +1.0 (close at week's high) to -1.0 (close at week's low). Measures the directional bias of weekly price action.</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Confidence Score</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 0–100 measure of signal reliability, independent of direction. Based on liquidity, history depth, turnover stability, sector confirmation, and data completeness.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Cross-sectional rank</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Ranked relative to all other ETFs in the universe on the same date. Not an absolute threshold — adapts automatically to market conditions.</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ETF</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Exchange-Traded Fund — a basket of assets that trades on a stock exchange like a single share. All Footprints ETFs are listed on the London Stock Exchange.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GBp vs GBP</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GBp = pence (1/100th of a pound). Many LSE ETFs quote prices in GBp. Footprints expects all prices in GBP (pounds). Divide GBp prices by 100 before entry.</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KPI</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Key Performance Indicator — one of the six measurement groups feeding into the Rotation Score.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Moving Average (MA)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The average closing price over a specified number of weeks. MA20 = 20-week average; MA100 = 100-week average.</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OHLCV</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Open, High, Low, Close, Volume — the five standard price/volume data points recorded each weekly period.</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Pressure 20W</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The 20-week cumulative sum of CLV × £ turnover. Positive = net institutional buying. Negative = net selling (distribution).</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Proxy ETF</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An LSE-listed ETF that tracks the same or substantially equivalent index as a pension fund option. Used to infer institutional flow into that pension fund's asset class.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Rotation Score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 composite 0–100 score combining all KPIs, cross-sectionally ranked. The primary driver of signal classification.</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RS / Relative Strength</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The ETF's return minus VWRP.L's return over a defined period. Positive = outperforming the global market.</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RS Acceleration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RS4 minus RS12 (raw). Positive = outperformance is increasing in the recent month versus the last quarter.</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Sector Confirmation</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 breadth check requiring that 60%+ of sector peers also show positive RS12, 50%+ show positive RS20, and 60%+ show positive Pressure 20W.</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Trend Score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 0–4 score checking four moving average alignment conditions across short and long timeframes.</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Turnover</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The £ value of ETF shares traded in a week: close price × volume. The primary liquidity and institutional participation measure.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Vol-adjusted RS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Raw RS divided by the ETF's own 20-week realised volatility. Removes the distortion caused by high-volatility ETFs and enables fair cross-sectional comparison.</w:t>
            </w:r>
          </w:p>
        </w:tc>
      </w:tr>
      <w:tr>
        <w:tc>
          <w:tcPr>
            <w:tcW w:type="dxa" w:w="2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Winsorisation</w:t>
            </w:r>
          </w:p>
        </w:tc>
        <w:tc>
          <w:tcPr>
            <w:tcW w:type="dxa" w:w="71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Capping extreme values at the 2nd and 98th percentile before ranking, to prevent outliers from distorting the universe-wide distribution.</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60" w:after="120" w:line="276" w:lineRule="auto"/>
      </w:pPr>
      <w:r>
        <w:rPr>
          <w:rFonts w:ascii="Arial" w:cs="Arial" w:eastAsia="Arial" w:hAnsi="Arial"/>
          <w:b/>
          <w:bCs/>
          <w:color w:val="1B2A4A"/>
          <w:sz w:val="36"/>
          <w:szCs w:val="36"/>
        </w:rPr>
        <w:t xml:space="preserve">12. Important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2A" w:sz="1"/>
              <w:left w:val="single" w:color="8B1A2A" w:sz="16"/>
              <w:bottom w:val="single" w:color="8B1A2A" w:sz="1"/>
              <w:right w:val="none" w:color="FFFFFF" w:sz="0"/>
            </w:tcBorders>
            <w:shd w:fill="FCE8EB" w:val="clear"/>
            <w:tcMar>
              <w:top w:type="dxa" w:w="120"/>
              <w:left w:type="dxa" w:w="180"/>
              <w:bottom w:type="dxa" w:w="120"/>
              <w:right w:type="dxa" w:w="180"/>
            </w:tcMar>
          </w:tcPr>
          <w:p>
            <w:pPr>
              <w:spacing w:before="0" w:after="60" w:line="276" w:lineRule="auto"/>
              <w:jc w:val="left"/>
            </w:pPr>
            <w:r>
              <w:rPr>
                <w:rFonts w:ascii="Arial" w:cs="Arial" w:eastAsia="Arial" w:hAnsi="Arial"/>
                <w:b/>
                <w:bCs/>
                <w:i w:val="false"/>
                <w:iCs w:val="false"/>
                <w:color w:val="8B1A2A"/>
                <w:sz w:val="22"/>
                <w:szCs w:val="22"/>
              </w:rPr>
              <w:t xml:space="preserve">Not Financial Advice</w:t>
            </w:r>
          </w:p>
          <w:p>
            <w:pPr>
              <w:spacing w:before="0" w:after="80" w:line="276" w:lineRule="auto"/>
              <w:jc w:val="left"/>
            </w:pPr>
            <w:r>
              <w:rPr>
                <w:rFonts w:ascii="Arial" w:cs="Arial" w:eastAsia="Arial" w:hAnsi="Arial"/>
                <w:b w:val="false"/>
                <w:bCs w:val="false"/>
                <w:i w:val="false"/>
                <w:iCs w:val="false"/>
                <w:color w:val="1C2333"/>
                <w:sz w:val="20"/>
                <w:szCs w:val="20"/>
              </w:rPr>
              <w:t xml:space="preserve">Footprints is a quantitative signal framework for informational and research purposes only. Nothing in this document or the Footprints application constitutes financial advice, investment advice, or a recommendation to buy, sell, or hold any security or investment product. The signals, scores, and metrics produced by Footprints are based on publicly available price and volume data and involve no assessment of your personal financial circumstances, risk tolerance, tax position, or investment objectives.</w:t>
            </w:r>
          </w:p>
          <w:p>
            <w:pPr>
              <w:spacing w:before="0" w:after="80" w:line="276" w:lineRule="auto"/>
              <w:jc w:val="left"/>
            </w:pPr>
            <w:r>
              <w:rPr>
                <w:rFonts w:ascii="Arial" w:cs="Arial" w:eastAsia="Arial" w:hAnsi="Arial"/>
                <w:b w:val="false"/>
                <w:bCs w:val="false"/>
                <w:i w:val="false"/>
                <w:iCs w:val="false"/>
                <w:color w:val="1C2333"/>
                <w:sz w:val="20"/>
                <w:szCs w:val="20"/>
              </w:rPr>
              <w:t xml:space="preserve">Past signal accuracy, where observable, is not indicative of future results. All investment decisions, including pension fund switches, are made entirely at the user's own risk. Users are encouraged to consult a qualified financial adviser before acting on any information derived from Footprints.</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spacing w:before="0" w:after="80" w:line="276" w:lineRule="auto"/>
        <w:jc w:val="center"/>
      </w:pPr>
      <w:r>
        <w:rPr>
          <w:rFonts w:ascii="Arial" w:cs="Arial" w:eastAsia="Arial" w:hAnsi="Arial"/>
          <w:b w:val="false"/>
          <w:bCs w:val="false"/>
          <w:i w:val="false"/>
          <w:iCs w:val="false"/>
          <w:color w:val="445060"/>
          <w:sz w:val="18"/>
          <w:szCs w:val="18"/>
        </w:rPr>
        <w:t xml:space="preserve">Footprints v2.0  |  Model: weekly_v2_0  |  Confidential — For Authorised Recipients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spacing w:before="80" w:after="0" w:line="276" w:lineRule="auto"/>
    </w:pPr>
    <w:r>
      <w:rPr>
        <w:rFonts w:ascii="Arial" w:cs="Arial" w:eastAsia="Arial" w:hAnsi="Arial"/>
        <w:b w:val="false"/>
        <w:bCs w:val="false"/>
        <w:i w:val="false"/>
        <w:iCs w:val="false"/>
        <w:color w:val="445060"/>
        <w:sz w:val="17"/>
        <w:szCs w:val="17"/>
      </w:rPr>
      <w:t xml:space="preserve">Confidential — For Authorised Recipients Only   |   </w:t>
    </w:r>
    <w:r>
      <w:rPr>
        <w:rFonts w:ascii="Arial" w:cs="Arial" w:eastAsia="Arial" w:hAnsi="Arial"/>
        <w:b w:val="false"/>
        <w:bCs w:val="false"/>
        <w:i w:val="false"/>
        <w:iCs w:val="false"/>
        <w:color w:val="445060"/>
        <w:sz w:val="17"/>
        <w:szCs w:val="17"/>
      </w:rPr>
      <w:t xml:space="preserve">Footprints v2.0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tabs>
        <w:tab w:val="right" w:pos="9360"/>
      </w:tabs>
      <w:spacing w:before="0" w:after="80" w:line="276" w:lineRule="auto"/>
    </w:pPr>
    <w:r>
      <w:rPr>
        <w:rFonts w:ascii="Arial" w:cs="Arial" w:eastAsia="Arial" w:hAnsi="Arial"/>
        <w:b/>
        <w:bCs/>
        <w:i w:val="false"/>
        <w:iCs w:val="false"/>
        <w:color w:val="2E75B6"/>
        <w:sz w:val="18"/>
        <w:szCs w:val="18"/>
      </w:rPr>
      <w:t xml:space="preserve">FOOTPRINTS v2.0</w:t>
    </w:r>
    <w:r>
      <w:rPr>
        <w:rFonts w:ascii="Arial" w:cs="Arial" w:eastAsia="Arial" w:hAnsi="Arial"/>
        <w:b w:val="false"/>
        <w:bCs w:val="false"/>
        <w:i w:val="false"/>
        <w:iCs w:val="false"/>
        <w:color w:val="445060"/>
        <w:sz w:val="18"/>
        <w:szCs w:val="18"/>
      </w:rPr>
      <w:t xml:space="preserve">   |   Institutional Signal Intelligence</w:t>
    </w:r>
    <w:r>
      <w:rPr>
        <w:rFonts w:ascii="Arial" w:cs="Arial" w:eastAsia="Arial" w:hAnsi="Arial"/>
        <w:color w:val="445060"/>
        <w:sz w:val="18"/>
        <w:szCs w:val="18"/>
      </w:rPr>
      <w:t xml:space="preserve">	</w:t>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2026-03-09T09:55:18.824Z</dcterms:created>
  <dcterms:modified xsi:type="dcterms:W3CDTF">2026-03-09T09:55:18.825Z</dcterms:modified>
</cp:coreProperties>
</file>

<file path=docProps/custom.xml><?xml version="1.0" encoding="utf-8"?>
<Properties xmlns="http://schemas.openxmlformats.org/officeDocument/2006/custom-properties" xmlns:vt="http://schemas.openxmlformats.org/officeDocument/2006/docPropsVTypes"/>
</file>