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bCs/>
          <w:color w:val="6B7280"/>
          <w:sz w:val="18"/>
          <w:szCs w:val="18"/>
        </w:rPr>
        <w:t xml:space="preserve">FOOTPRINTS v2.0</w:t>
      </w:r>
    </w:p>
    <w:p>
      <w:pPr>
        <w:pBdr>
          <w:bottom w:val="single" w:color="1F6FEB" w:sz="8" w:space="6"/>
        </w:pBdr>
        <w:spacing w:before="160" w:after="80"/>
      </w:pPr>
      <w:r>
        <w:rPr>
          <w:rFonts w:ascii="Arial" w:cs="Arial" w:eastAsia="Arial" w:hAnsi="Arial"/>
          <w:b/>
          <w:bCs/>
          <w:color w:val="111827"/>
          <w:sz w:val="48"/>
          <w:szCs w:val="48"/>
        </w:rPr>
        <w:t xml:space="preserve">Concept &amp; User Guide</w:t>
      </w:r>
    </w:p>
    <w:p>
      <w:pPr>
        <w:spacing w:before="120" w:after="0"/>
      </w:pPr>
      <w:r>
        <w:rPr>
          <w:rFonts w:ascii="Arial" w:cs="Arial" w:eastAsia="Arial" w:hAnsi="Arial"/>
          <w:color w:val="6B7280"/>
          <w:sz w:val="26"/>
          <w:szCs w:val="26"/>
        </w:rPr>
        <w:t xml:space="preserve">Understanding and Using Footprints v2.0</w:t>
      </w:r>
    </w:p>
    <w:p>
      <w:pPr>
        <w:spacing w:before="80" w:after="0"/>
      </w:pPr>
      <w:r>
        <w:rPr>
          <w:rFonts w:ascii="Arial" w:cs="Arial" w:eastAsia="Arial" w:hAnsi="Arial"/>
          <w:color w:val="6B7280"/>
          <w:sz w:val="18"/>
          <w:szCs w:val="18"/>
        </w:rPr>
        <w:t xml:space="preserve">README 4 of 4</w:t>
      </w:r>
    </w:p>
    <w:p>
      <w:pPr>
        <w:spacing w:before="1200" w:after="0"/>
      </w:pPr>
      <w:r>
        <w:rPr>
          <w:rFonts w:ascii="Courier New" w:cs="Courier New" w:eastAsia="Courier New" w:hAnsi="Courier New"/>
          <w:color w:val="1F6FEB"/>
          <w:sz w:val="20"/>
          <w:szCs w:val="20"/>
        </w:rPr>
        <w:t xml:space="preserve">footprints.local</w:t>
      </w:r>
    </w:p>
    <w:p>
      <w:pPr>
        <w:pageBreakBefore/>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1 — What is Footprints?</w:t>
      </w:r>
    </w:p>
    <w:p>
      <w:pPr>
        <w:spacing w:after="100"/>
      </w:pPr>
      <w:r>
        <w:rPr>
          <w:rFonts w:ascii="Arial" w:cs="Arial" w:eastAsia="Arial" w:hAnsi="Arial"/>
          <w:b w:val="false"/>
          <w:bCs w:val="false"/>
          <w:color w:val="374151"/>
          <w:sz w:val="20"/>
          <w:szCs w:val="20"/>
        </w:rPr>
        <w:t xml:space="preserve">Footprints is a weekly portfolio rotation system. Its core purpose is to detect where large institutional investors — pension funds, insurance companies, sovereign wealth funds — are moving significant capital, and to use those signals to inform your own investment decisions.</w:t>
      </w:r>
    </w:p>
    <w:p>
      <w:pPr>
        <w:spacing w:before="80" w:after="0"/>
      </w:pPr>
      <w:r>
        <w:t xml:space="preserve"/>
      </w:r>
    </w:p>
    <w:p>
      <w:pPr>
        <w:spacing w:after="100"/>
      </w:pPr>
      <w:r>
        <w:rPr>
          <w:rFonts w:ascii="Arial" w:cs="Arial" w:eastAsia="Arial" w:hAnsi="Arial"/>
          <w:b w:val="false"/>
          <w:bCs w:val="false"/>
          <w:color w:val="374151"/>
          <w:sz w:val="20"/>
          <w:szCs w:val="20"/>
        </w:rPr>
        <w:t xml:space="preserve">The name comes from the central idea: when very large institutions buy or sell, they move so much money that they leave measurable traces in public market data. These traces appear as price movements toward the top of the weekly trading range (buying pressure), expanding volume, and sustained relative outperformance versus the broader market. These are the footprints the system is designed to detect.</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F6FEB" w:val="clear"/>
          </w:tcPr>
          <w:p>
            <w:r>
              <w:t xml:space="preserve"/>
            </w:r>
          </w:p>
        </w:tc>
        <w:tc>
          <w:tcPr>
            <w:tcW w:type="dxa" w:w="8800"/>
            <w:tcBorders>
              <w:top w:val="none" w:color="FFFFFF" w:sz="0"/>
              <w:left w:val="none" w:color="FFFFFF" w:sz="0"/>
              <w:bottom w:val="none" w:color="FFFFFF" w:sz="0"/>
              <w:right w:val="none" w:color="FFFFFF" w:sz="0"/>
            </w:tcBorders>
            <w:shd w:fill="EBF4FF" w:val="clear"/>
            <w:tcMar>
              <w:top w:type="dxa" w:w="80"/>
              <w:left w:type="dxa" w:w="140"/>
              <w:bottom w:type="dxa" w:w="80"/>
              <w:right w:type="dxa" w:w="120"/>
            </w:tcMar>
          </w:tcPr>
          <w:p>
            <w:pPr>
              <w:spacing w:after="0"/>
            </w:pPr>
            <w:r>
              <w:rPr>
                <w:rFonts w:ascii="Arial" w:cs="Arial" w:eastAsia="Arial" w:hAnsi="Arial"/>
                <w:color w:val="1E3A5F"/>
                <w:sz w:val="19"/>
                <w:szCs w:val="19"/>
              </w:rPr>
              <w:t xml:space="preserve">Footprints is not a prediction engine. It tells you what is happening right now in the tape — where money appears to be flowing based on measurable, objective signals. It does not forecast future prices.</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Why Weekly Data?</w:t>
      </w:r>
    </w:p>
    <w:p>
      <w:pPr>
        <w:spacing w:after="100"/>
      </w:pPr>
      <w:r>
        <w:rPr>
          <w:rFonts w:ascii="Arial" w:cs="Arial" w:eastAsia="Arial" w:hAnsi="Arial"/>
          <w:b w:val="false"/>
          <w:bCs w:val="false"/>
          <w:color w:val="374151"/>
          <w:sz w:val="20"/>
          <w:szCs w:val="20"/>
        </w:rPr>
        <w:t xml:space="preserve">Daily price data is noisy — full of short-term volatility, news reactions, and algorithmic trading that obscures the underlying trend. Weekly data smooths out this noise and reveals the behaviour of slower-moving, larger participants. A pension fund building a position over several weeks will show up in weekly relative strength and pressure metrics far more clearly than in daily candles.</w:t>
      </w:r>
    </w:p>
    <w:p>
      <w:pPr>
        <w:spacing w:before="80" w:after="0"/>
      </w:pPr>
      <w:r>
        <w:t xml:space="preserve"/>
      </w:r>
    </w:p>
    <w:p>
      <w:pPr>
        <w:spacing w:after="100"/>
      </w:pPr>
      <w:r>
        <w:rPr>
          <w:rFonts w:ascii="Arial" w:cs="Arial" w:eastAsia="Arial" w:hAnsi="Arial"/>
          <w:b w:val="false"/>
          <w:bCs w:val="false"/>
          <w:color w:val="374151"/>
          <w:sz w:val="20"/>
          <w:szCs w:val="20"/>
        </w:rPr>
        <w:t xml:space="preserve">The system uses Friday closing prices for consistency. Friday closes incorporate the full week's information and avoid Monday-open effects. Each Sunday or Monday, you enter the prior week's prices, run the model, and review the signals.</w:t>
      </w:r>
    </w:p>
    <w:p>
      <w:pPr>
        <w:spacing w:before="80" w:after="0"/>
      </w:pPr>
      <w:r>
        <w:t xml:space="preserve"/>
      </w:r>
    </w:p>
    <w:p>
      <w:pPr>
        <w:pStyle w:val="Heading2"/>
        <w:spacing w:before="240" w:after="80"/>
      </w:pPr>
      <w:r>
        <w:rPr>
          <w:rFonts w:ascii="Arial" w:cs="Arial" w:eastAsia="Arial" w:hAnsi="Arial"/>
          <w:b/>
          <w:bCs/>
          <w:color w:val="1F6FEB"/>
          <w:sz w:val="26"/>
          <w:szCs w:val="26"/>
        </w:rPr>
        <w:t xml:space="preserve">The ETF Universe</w:t>
      </w:r>
    </w:p>
    <w:p>
      <w:pPr>
        <w:spacing w:after="100"/>
      </w:pPr>
      <w:r>
        <w:rPr>
          <w:rFonts w:ascii="Arial" w:cs="Arial" w:eastAsia="Arial" w:hAnsi="Arial"/>
          <w:b w:val="false"/>
          <w:bCs w:val="false"/>
          <w:color w:val="374151"/>
          <w:sz w:val="20"/>
          <w:szCs w:val="20"/>
        </w:rPr>
        <w:t xml:space="preserve">Footprints monitors a defined universe of ETFs — exchange-traded funds listed on the London Stock Exchange. ETFs are ideal for this system because:</w:t>
      </w:r>
    </w:p>
    <w:p>
      <w:pPr>
        <w:pStyle w:val="ListParagraph"/>
        <w:numPr>
          <w:ilvl w:val="0"/>
          <w:numId w:val="2"/>
        </w:numPr>
        <w:spacing w:after="60"/>
      </w:pPr>
      <w:r>
        <w:rPr>
          <w:rFonts w:ascii="Arial" w:cs="Arial" w:eastAsia="Arial" w:hAnsi="Arial"/>
          <w:color w:val="374151"/>
          <w:sz w:val="20"/>
          <w:szCs w:val="20"/>
        </w:rPr>
        <w:t xml:space="preserve">They are liquid and transparent — prices reflect genuine supply and demand</w:t>
      </w:r>
    </w:p>
    <w:p>
      <w:pPr>
        <w:pStyle w:val="ListParagraph"/>
        <w:numPr>
          <w:ilvl w:val="0"/>
          <w:numId w:val="2"/>
        </w:numPr>
        <w:spacing w:after="60"/>
      </w:pPr>
      <w:r>
        <w:rPr>
          <w:rFonts w:ascii="Arial" w:cs="Arial" w:eastAsia="Arial" w:hAnsi="Arial"/>
          <w:color w:val="374151"/>
          <w:sz w:val="20"/>
          <w:szCs w:val="20"/>
        </w:rPr>
        <w:t xml:space="preserve">They represent entire markets, sectors, or themes — so a signal reflects broad capital flows, not a single company's news</w:t>
      </w:r>
    </w:p>
    <w:p>
      <w:pPr>
        <w:pStyle w:val="ListParagraph"/>
        <w:numPr>
          <w:ilvl w:val="0"/>
          <w:numId w:val="2"/>
        </w:numPr>
        <w:spacing w:after="60"/>
      </w:pPr>
      <w:r>
        <w:rPr>
          <w:rFonts w:ascii="Arial" w:cs="Arial" w:eastAsia="Arial" w:hAnsi="Arial"/>
          <w:color w:val="374151"/>
          <w:sz w:val="20"/>
          <w:szCs w:val="20"/>
        </w:rPr>
        <w:t xml:space="preserve">They can be purchased in most ISA and pension fund accounts</w:t>
      </w:r>
    </w:p>
    <w:p>
      <w:pPr>
        <w:spacing w:before="80" w:after="0"/>
      </w:pPr>
      <w:r>
        <w:t xml:space="preserve"/>
      </w:r>
    </w:p>
    <w:p>
      <w:pPr>
        <w:spacing w:after="100"/>
      </w:pPr>
      <w:r>
        <w:rPr>
          <w:rFonts w:ascii="Arial" w:cs="Arial" w:eastAsia="Arial" w:hAnsi="Arial"/>
          <w:b w:val="false"/>
          <w:bCs w:val="false"/>
          <w:color w:val="374151"/>
          <w:sz w:val="20"/>
          <w:szCs w:val="20"/>
        </w:rPr>
        <w:t xml:space="preserve">The universe is divided into sectors — Global Base trackers, regional equity ETFs (UK, US, Europe, Japan, Asia-Pacific, Emerging Markets), thematic and sector ETFs (Technology, Healthcare, Defence, Property, Commodities, Mining, Bonds). Every week, every ETF in the universe is ranked against every other ETF using the same model, so signals reflect relative position — not just absolute performance.</w:t>
      </w:r>
    </w:p>
    <w:p>
      <w:pPr>
        <w:spacing w:before="80" w:after="0"/>
      </w:pPr>
      <w:r>
        <w:t xml:space="preserve"/>
      </w:r>
    </w:p>
    <w:p>
      <w:pPr>
        <w:pStyle w:val="Heading2"/>
        <w:spacing w:before="240" w:after="80"/>
      </w:pPr>
      <w:r>
        <w:rPr>
          <w:rFonts w:ascii="Arial" w:cs="Arial" w:eastAsia="Arial" w:hAnsi="Arial"/>
          <w:b/>
          <w:bCs/>
          <w:color w:val="1F6FEB"/>
          <w:sz w:val="26"/>
          <w:szCs w:val="26"/>
        </w:rPr>
        <w:t xml:space="preserve">The Benchmark</w:t>
      </w:r>
    </w:p>
    <w:p>
      <w:pPr>
        <w:spacing w:after="100"/>
      </w:pPr>
      <w:r>
        <w:rPr>
          <w:rFonts w:ascii="Arial" w:cs="Arial" w:eastAsia="Arial" w:hAnsi="Arial"/>
          <w:b w:val="false"/>
          <w:bCs w:val="false"/>
          <w:color w:val="374151"/>
          <w:sz w:val="20"/>
          <w:szCs w:val="20"/>
        </w:rPr>
        <w:t xml:space="preserve">All relative strength calculations use VWRP.L — the Vanguard FTSE All-World ETF — as the benchmark. This represents the entire global equity market. An ETF with positive relative strength is outperforming the whole world. An ETF with negative relative strength is lagging the world — capital may be rotating away from it.</w:t>
      </w:r>
    </w:p>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2 — The Five Signals</w:t>
      </w:r>
    </w:p>
    <w:p>
      <w:pPr>
        <w:spacing w:after="100"/>
      </w:pPr>
      <w:r>
        <w:rPr>
          <w:rFonts w:ascii="Arial" w:cs="Arial" w:eastAsia="Arial" w:hAnsi="Arial"/>
          <w:b w:val="false"/>
          <w:bCs w:val="false"/>
          <w:color w:val="374151"/>
          <w:sz w:val="20"/>
          <w:szCs w:val="20"/>
        </w:rPr>
        <w:t xml:space="preserve">Every ETF in the universe receives one of five signals each week. They are evaluated in priority order — once an ETF qualifies for a signal, evaluation stops.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D1D5DB" w:sz="1"/>
              <w:left w:val="single" w:color="D1D5DB" w:sz="1"/>
              <w:bottom w:val="single" w:color="D1D5DB" w:sz="1"/>
              <w:right w:val="single" w:color="D1D5DB" w:sz="1"/>
            </w:tcBorders>
            <w:shd w:fill="0D8050" w:val="clear"/>
            <w:tcMar>
              <w:top w:type="dxa" w:w="100"/>
              <w:left w:type="dxa" w:w="140"/>
              <w:bottom w:type="dxa" w:w="100"/>
              <w:right w:type="dxa" w:w="120"/>
            </w:tcMar>
          </w:tcPr>
          <w:p>
            <w:r>
              <w:rPr>
                <w:rFonts w:ascii="Arial" w:cs="Arial" w:eastAsia="Arial" w:hAnsi="Arial"/>
                <w:b/>
                <w:bCs/>
                <w:color w:val="FFFFFF"/>
                <w:sz w:val="21"/>
                <w:szCs w:val="21"/>
              </w:rPr>
              <w:t xml:space="preserve">STRONG BUY</w:t>
            </w:r>
          </w:p>
        </w:tc>
        <w:tc>
          <w:tcPr>
            <w:tcW w:type="dxa" w:w="6800"/>
            <w:tcBorders>
              <w:top w:val="single" w:color="D1D5DB" w:sz="1"/>
              <w:left w:val="single" w:color="D1D5DB" w:sz="1"/>
              <w:bottom w:val="single" w:color="D1D5DB" w:sz="1"/>
              <w:right w:val="single" w:color="D1D5DB" w:sz="1"/>
            </w:tcBorders>
            <w:tcMar>
              <w:top w:type="dxa" w:w="100"/>
              <w:left w:type="dxa" w:w="140"/>
              <w:bottom w:type="dxa" w:w="100"/>
              <w:right w:type="dxa" w:w="120"/>
            </w:tcMar>
          </w:tcPr>
          <w:p>
            <w:r>
              <w:rPr>
                <w:rFonts w:ascii="Arial" w:cs="Arial" w:eastAsia="Arial" w:hAnsi="Arial"/>
                <w:color w:val="374151"/>
                <w:sz w:val="19"/>
                <w:szCs w:val="19"/>
              </w:rPr>
              <w:t xml:space="preserve">Rotation score ≥72, trend ≥3/4, pressure positive, RS20 positive, and confidence ≥50. The strongest signal the model produces — all primary conditions are simultaneously satisfied. Treat as full conviction.</w:t>
            </w:r>
          </w:p>
        </w:tc>
      </w:tr>
      <w:tr>
        <w:tc>
          <w:tcPr>
            <w:tcW w:type="dxa" w:w="2200"/>
            <w:tcBorders>
              <w:top w:val="single" w:color="D1D5DB" w:sz="1"/>
              <w:left w:val="single" w:color="D1D5DB" w:sz="1"/>
              <w:bottom w:val="single" w:color="D1D5DB" w:sz="1"/>
              <w:right w:val="single" w:color="D1D5DB" w:sz="1"/>
            </w:tcBorders>
            <w:shd w:fill="2D7D46" w:val="clear"/>
            <w:tcMar>
              <w:top w:type="dxa" w:w="100"/>
              <w:left w:type="dxa" w:w="140"/>
              <w:bottom w:type="dxa" w:w="100"/>
              <w:right w:type="dxa" w:w="120"/>
            </w:tcMar>
          </w:tcPr>
          <w:p>
            <w:r>
              <w:rPr>
                <w:rFonts w:ascii="Arial" w:cs="Arial" w:eastAsia="Arial" w:hAnsi="Arial"/>
                <w:b/>
                <w:bCs/>
                <w:color w:val="FFFFFF"/>
                <w:sz w:val="19"/>
                <w:szCs w:val="19"/>
              </w:rPr>
              <w:t xml:space="preserve">ACCUMULATING / HOLD</w:t>
            </w:r>
          </w:p>
        </w:tc>
        <w:tc>
          <w:tcPr>
            <w:tcW w:type="dxa" w:w="6800"/>
            <w:tcBorders>
              <w:top w:val="single" w:color="D1D5DB" w:sz="1"/>
              <w:left w:val="single" w:color="D1D5DB" w:sz="1"/>
              <w:bottom w:val="single" w:color="D1D5DB" w:sz="1"/>
              <w:right w:val="single" w:color="D1D5DB" w:sz="1"/>
            </w:tcBorders>
            <w:tcMar>
              <w:top w:type="dxa" w:w="100"/>
              <w:left w:type="dxa" w:w="140"/>
              <w:bottom w:type="dxa" w:w="100"/>
              <w:right w:type="dxa" w:w="120"/>
            </w:tcMar>
          </w:tcPr>
          <w:p>
            <w:r>
              <w:rPr>
                <w:rFonts w:ascii="Arial" w:cs="Arial" w:eastAsia="Arial" w:hAnsi="Arial"/>
                <w:color w:val="374151"/>
                <w:sz w:val="19"/>
                <w:szCs w:val="19"/>
              </w:rPr>
              <w:t xml:space="preserve">Rotation score ≥60 and trend ≥3/4 but not quite STRONG BUY. Constructive — money is flowing in, conditions are positive, but not at peak conviction. Hold existing positions; accumulate on dips.</w:t>
            </w:r>
          </w:p>
        </w:tc>
      </w:tr>
      <w:tr>
        <w:tc>
          <w:tcPr>
            <w:tcW w:type="dxa" w:w="2200"/>
            <w:tcBorders>
              <w:top w:val="single" w:color="D1D5DB" w:sz="1"/>
              <w:left w:val="single" w:color="D1D5DB" w:sz="1"/>
              <w:bottom w:val="single" w:color="D1D5DB" w:sz="1"/>
              <w:right w:val="single" w:color="D1D5DB" w:sz="1"/>
            </w:tcBorders>
            <w:shd w:fill="B45309" w:val="clear"/>
            <w:tcMar>
              <w:top w:type="dxa" w:w="100"/>
              <w:left w:type="dxa" w:w="140"/>
              <w:bottom w:type="dxa" w:w="100"/>
              <w:right w:type="dxa" w:w="120"/>
            </w:tcMar>
          </w:tcPr>
          <w:p>
            <w:r>
              <w:rPr>
                <w:rFonts w:ascii="Arial" w:cs="Arial" w:eastAsia="Arial" w:hAnsi="Arial"/>
                <w:b/>
                <w:bCs/>
                <w:color w:val="FFFFFF"/>
                <w:sz w:val="19"/>
                <w:szCs w:val="19"/>
              </w:rPr>
              <w:t xml:space="preserve">EARLY ACCUMULATION</w:t>
            </w:r>
          </w:p>
        </w:tc>
        <w:tc>
          <w:tcPr>
            <w:tcW w:type="dxa" w:w="6800"/>
            <w:tcBorders>
              <w:top w:val="single" w:color="D1D5DB" w:sz="1"/>
              <w:left w:val="single" w:color="D1D5DB" w:sz="1"/>
              <w:bottom w:val="single" w:color="D1D5DB" w:sz="1"/>
              <w:right w:val="single" w:color="D1D5DB" w:sz="1"/>
            </w:tcBorders>
            <w:tcMar>
              <w:top w:type="dxa" w:w="100"/>
              <w:left w:type="dxa" w:w="140"/>
              <w:bottom w:type="dxa" w:w="100"/>
              <w:right w:type="dxa" w:w="120"/>
            </w:tcMar>
          </w:tcPr>
          <w:p>
            <w:r>
              <w:rPr>
                <w:rFonts w:ascii="Arial" w:cs="Arial" w:eastAsia="Arial" w:hAnsi="Arial"/>
                <w:color w:val="374151"/>
                <w:sz w:val="19"/>
                <w:szCs w:val="19"/>
              </w:rPr>
              <w:t xml:space="preserve">Pressure_20w has recently turned positive (from negative) but the full ACCUMULATING/HOLD criteria are not yet met. An early-stage signal — buying pressure is emerging. Monitor closely, especially for expanding turnover.</w:t>
            </w:r>
          </w:p>
        </w:tc>
      </w:tr>
      <w:tr>
        <w:tc>
          <w:tcPr>
            <w:tcW w:type="dxa" w:w="2200"/>
            <w:tcBorders>
              <w:top w:val="single" w:color="D1D5DB" w:sz="1"/>
              <w:left w:val="single" w:color="D1D5DB" w:sz="1"/>
              <w:bottom w:val="single" w:color="D1D5DB" w:sz="1"/>
              <w:right w:val="single" w:color="D1D5DB" w:sz="1"/>
            </w:tcBorders>
            <w:shd w:fill="6B7280" w:val="clear"/>
            <w:tcMar>
              <w:top w:type="dxa" w:w="100"/>
              <w:left w:type="dxa" w:w="140"/>
              <w:bottom w:type="dxa" w:w="100"/>
              <w:right w:type="dxa" w:w="120"/>
            </w:tcMar>
          </w:tcPr>
          <w:p>
            <w:r>
              <w:rPr>
                <w:rFonts w:ascii="Arial" w:cs="Arial" w:eastAsia="Arial" w:hAnsi="Arial"/>
                <w:b/>
                <w:bCs/>
                <w:color w:val="FFFFFF"/>
                <w:sz w:val="19"/>
                <w:szCs w:val="19"/>
              </w:rPr>
              <w:t xml:space="preserve">NEUTRAL</w:t>
            </w:r>
          </w:p>
        </w:tc>
        <w:tc>
          <w:tcPr>
            <w:tcW w:type="dxa" w:w="6800"/>
            <w:tcBorders>
              <w:top w:val="single" w:color="D1D5DB" w:sz="1"/>
              <w:left w:val="single" w:color="D1D5DB" w:sz="1"/>
              <w:bottom w:val="single" w:color="D1D5DB" w:sz="1"/>
              <w:right w:val="single" w:color="D1D5DB" w:sz="1"/>
            </w:tcBorders>
            <w:tcMar>
              <w:top w:type="dxa" w:w="100"/>
              <w:left w:type="dxa" w:w="140"/>
              <w:bottom w:type="dxa" w:w="100"/>
              <w:right w:type="dxa" w:w="120"/>
            </w:tcMar>
          </w:tcPr>
          <w:p>
            <w:r>
              <w:rPr>
                <w:rFonts w:ascii="Arial" w:cs="Arial" w:eastAsia="Arial" w:hAnsi="Arial"/>
                <w:color w:val="374151"/>
                <w:sz w:val="19"/>
                <w:szCs w:val="19"/>
              </w:rPr>
              <w:t xml:space="preserve">Mixed signals — no clear directional bias. The ETF is neither accumulating nor distributing with enough conviction to qualify for another signal. Watch, but do not act.</w:t>
            </w:r>
          </w:p>
        </w:tc>
      </w:tr>
      <w:tr>
        <w:tc>
          <w:tcPr>
            <w:tcW w:type="dxa" w:w="2200"/>
            <w:tcBorders>
              <w:top w:val="single" w:color="D1D5DB" w:sz="1"/>
              <w:left w:val="single" w:color="D1D5DB" w:sz="1"/>
              <w:bottom w:val="single" w:color="D1D5DB" w:sz="1"/>
              <w:right w:val="single" w:color="D1D5DB" w:sz="1"/>
            </w:tcBorders>
            <w:shd w:fill="991B1B" w:val="clear"/>
            <w:tcMar>
              <w:top w:type="dxa" w:w="100"/>
              <w:left w:type="dxa" w:w="140"/>
              <w:bottom w:type="dxa" w:w="100"/>
              <w:right w:type="dxa" w:w="120"/>
            </w:tcMar>
          </w:tcPr>
          <w:p>
            <w:r>
              <w:rPr>
                <w:rFonts w:ascii="Arial" w:cs="Arial" w:eastAsia="Arial" w:hAnsi="Arial"/>
                <w:b/>
                <w:bCs/>
                <w:color w:val="FFFFFF"/>
                <w:sz w:val="19"/>
                <w:szCs w:val="19"/>
              </w:rPr>
              <w:t xml:space="preserve">EXIT / DISTRIBUTION</w:t>
            </w:r>
          </w:p>
        </w:tc>
        <w:tc>
          <w:tcPr>
            <w:tcW w:type="dxa" w:w="6800"/>
            <w:tcBorders>
              <w:top w:val="single" w:color="D1D5DB" w:sz="1"/>
              <w:left w:val="single" w:color="D1D5DB" w:sz="1"/>
              <w:bottom w:val="single" w:color="D1D5DB" w:sz="1"/>
              <w:right w:val="single" w:color="D1D5DB" w:sz="1"/>
            </w:tcBorders>
            <w:tcMar>
              <w:top w:type="dxa" w:w="100"/>
              <w:left w:type="dxa" w:w="140"/>
              <w:bottom w:type="dxa" w:w="100"/>
              <w:right w:type="dxa" w:w="120"/>
            </w:tcMar>
          </w:tcPr>
          <w:p>
            <w:r>
              <w:rPr>
                <w:rFonts w:ascii="Arial" w:cs="Arial" w:eastAsia="Arial" w:hAnsi="Arial"/>
                <w:color w:val="374151"/>
                <w:sz w:val="19"/>
                <w:szCs w:val="19"/>
              </w:rPr>
              <w:t xml:space="preserve">Rotation score &lt;35 and trend ≤2/4. Multiple conditions negative simultaneously — selling pressure, underperformance, deteriorating trend. Institutional money appears to be leaving. Avoid new positions; consider reducing existing ones.</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Signal Confidence</w:t>
      </w:r>
    </w:p>
    <w:p>
      <w:pPr>
        <w:spacing w:after="100"/>
      </w:pPr>
      <w:r>
        <w:rPr>
          <w:rFonts w:ascii="Arial" w:cs="Arial" w:eastAsia="Arial" w:hAnsi="Arial"/>
          <w:b w:val="false"/>
          <w:bCs w:val="false"/>
          <w:color w:val="374151"/>
          <w:sz w:val="20"/>
          <w:szCs w:val="20"/>
        </w:rPr>
        <w:t xml:space="preserve">Every signal is accompanied by a confidence rating: HIGH, MODERATE, or LOW. Confidence measures how much you should trust the signal — not its direction.</w:t>
      </w:r>
    </w:p>
    <w:p>
      <w:pPr>
        <w:spacing w:before="80" w:after="0"/>
      </w:pPr>
      <w:r>
        <w:t xml:space="preserve"/>
      </w:r>
    </w:p>
    <w:p>
      <w:pPr>
        <w:pStyle w:val="ListParagraph"/>
        <w:numPr>
          <w:ilvl w:val="0"/>
          <w:numId w:val="2"/>
        </w:numPr>
        <w:spacing w:after="60"/>
      </w:pPr>
      <w:r>
        <w:rPr>
          <w:rFonts w:ascii="Arial" w:cs="Arial" w:eastAsia="Arial" w:hAnsi="Arial"/>
          <w:color w:val="374151"/>
          <w:sz w:val="20"/>
          <w:szCs w:val="20"/>
        </w:rPr>
        <w:t xml:space="preserve">HIGH (≥75): Liquid ETF (≥£5m weekly turnover), deep history (≥100 weeks), stable turnover, sector confirmed by peers. The model's best-quality output.</w:t>
      </w:r>
    </w:p>
    <w:p>
      <w:pPr>
        <w:pStyle w:val="ListParagraph"/>
        <w:numPr>
          <w:ilvl w:val="0"/>
          <w:numId w:val="2"/>
        </w:numPr>
        <w:spacing w:after="60"/>
      </w:pPr>
      <w:r>
        <w:rPr>
          <w:rFonts w:ascii="Arial" w:cs="Arial" w:eastAsia="Arial" w:hAnsi="Arial"/>
          <w:color w:val="374151"/>
          <w:sz w:val="20"/>
          <w:szCs w:val="20"/>
        </w:rPr>
        <w:t xml:space="preserve">MODERATE (50–74): One or more components partially satisfied. Exercise more caution before acting.</w:t>
      </w:r>
    </w:p>
    <w:p>
      <w:pPr>
        <w:pStyle w:val="ListParagraph"/>
        <w:numPr>
          <w:ilvl w:val="0"/>
          <w:numId w:val="2"/>
        </w:numPr>
        <w:spacing w:after="60"/>
      </w:pPr>
      <w:r>
        <w:rPr>
          <w:rFonts w:ascii="Arial" w:cs="Arial" w:eastAsia="Arial" w:hAnsi="Arial"/>
          <w:color w:val="374151"/>
          <w:sz w:val="20"/>
          <w:szCs w:val="20"/>
        </w:rPr>
        <w:t xml:space="preserve">LOW (&lt;50): A material deficiency exists — typically a new ETF with limited history, very thin trading volume, or an isolated sector with fewer than 3 peers. Treat as preliminary intelligence only.</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F6FEB" w:val="clear"/>
          </w:tcPr>
          <w:p>
            <w:r>
              <w:t xml:space="preserve"/>
            </w:r>
          </w:p>
        </w:tc>
        <w:tc>
          <w:tcPr>
            <w:tcW w:type="dxa" w:w="8800"/>
            <w:tcBorders>
              <w:top w:val="none" w:color="FFFFFF" w:sz="0"/>
              <w:left w:val="none" w:color="FFFFFF" w:sz="0"/>
              <w:bottom w:val="none" w:color="FFFFFF" w:sz="0"/>
              <w:right w:val="none" w:color="FFFFFF" w:sz="0"/>
            </w:tcBorders>
            <w:shd w:fill="EBF4FF" w:val="clear"/>
            <w:tcMar>
              <w:top w:type="dxa" w:w="80"/>
              <w:left w:type="dxa" w:w="140"/>
              <w:bottom w:type="dxa" w:w="80"/>
              <w:right w:type="dxa" w:w="120"/>
            </w:tcMar>
          </w:tcPr>
          <w:p>
            <w:pPr>
              <w:spacing w:after="0"/>
            </w:pPr>
            <w:r>
              <w:rPr>
                <w:rFonts w:ascii="Arial" w:cs="Arial" w:eastAsia="Arial" w:hAnsi="Arial"/>
                <w:color w:val="1E3A5F"/>
                <w:sz w:val="19"/>
                <w:szCs w:val="19"/>
              </w:rPr>
              <w:t xml:space="preserve">Example: A LOW confidence STRONG BUY in an ETF with only 30 weeks of history means: all the signals look positive, but the model has only 30 data points to work with. The direction is bullish, but the reliability is uncertain. Watch it for another 8–10 weeks.</w:t>
            </w:r>
          </w:p>
        </w:tc>
      </w:tr>
    </w:tbl>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3 — Understanding the Six KPIs</w:t>
      </w:r>
    </w:p>
    <w:p>
      <w:pPr>
        <w:spacing w:after="100"/>
      </w:pPr>
      <w:r>
        <w:rPr>
          <w:rFonts w:ascii="Arial" w:cs="Arial" w:eastAsia="Arial" w:hAnsi="Arial"/>
          <w:b w:val="false"/>
          <w:bCs w:val="false"/>
          <w:color w:val="374151"/>
          <w:sz w:val="20"/>
          <w:szCs w:val="20"/>
        </w:rPr>
        <w:t xml:space="preserve">Behind every signal are six KPI groups, each measuring a different aspect of market behaviour. Together they build a complete picture.</w:t>
      </w:r>
    </w:p>
    <w:p>
      <w:pPr>
        <w:spacing w:before="80" w:after="0"/>
      </w:pPr>
      <w:r>
        <w:t xml:space="preserve"/>
      </w:r>
    </w:p>
    <w:p>
      <w:pPr>
        <w:pStyle w:val="Heading2"/>
        <w:spacing w:before="240" w:after="80"/>
      </w:pPr>
      <w:r>
        <w:rPr>
          <w:rFonts w:ascii="Arial" w:cs="Arial" w:eastAsia="Arial" w:hAnsi="Arial"/>
          <w:b/>
          <w:bCs/>
          <w:color w:val="1F6FEB"/>
          <w:sz w:val="26"/>
          <w:szCs w:val="26"/>
        </w:rPr>
        <w:t xml:space="preserve">KPI 1 — Trend Score (0 to 4)</w:t>
      </w:r>
    </w:p>
    <w:p>
      <w:pPr>
        <w:spacing w:after="100"/>
      </w:pPr>
      <w:r>
        <w:rPr>
          <w:rFonts w:ascii="Arial" w:cs="Arial" w:eastAsia="Arial" w:hAnsi="Arial"/>
          <w:b w:val="false"/>
          <w:bCs w:val="false"/>
          <w:color w:val="374151"/>
          <w:sz w:val="20"/>
          <w:szCs w:val="20"/>
        </w:rPr>
        <w:t xml:space="preserve">Are the moving averages pointing in the right direction? The trend score checks four conditions, awarding one point for each that passes:</w:t>
      </w:r>
    </w:p>
    <w:p>
      <w:pPr>
        <w:pStyle w:val="ListParagraph"/>
        <w:numPr>
          <w:ilvl w:val="0"/>
          <w:numId w:val="2"/>
        </w:numPr>
        <w:spacing w:after="60"/>
      </w:pPr>
      <w:r>
        <w:rPr>
          <w:rFonts w:ascii="Arial" w:cs="Arial" w:eastAsia="Arial" w:hAnsi="Arial"/>
          <w:color w:val="374151"/>
          <w:sz w:val="20"/>
          <w:szCs w:val="20"/>
        </w:rPr>
        <w:t xml:space="preserve">Close price is above the 20-week moving average (short-term momentum positive)</w:t>
      </w:r>
    </w:p>
    <w:p>
      <w:pPr>
        <w:pStyle w:val="ListParagraph"/>
        <w:numPr>
          <w:ilvl w:val="0"/>
          <w:numId w:val="2"/>
        </w:numPr>
        <w:spacing w:after="60"/>
      </w:pPr>
      <w:r>
        <w:rPr>
          <w:rFonts w:ascii="Arial" w:cs="Arial" w:eastAsia="Arial" w:hAnsi="Arial"/>
          <w:color w:val="374151"/>
          <w:sz w:val="20"/>
          <w:szCs w:val="20"/>
        </w:rPr>
        <w:t xml:space="preserve">Close price is above the 100-week moving average (long-term structural trend intact)</w:t>
      </w:r>
    </w:p>
    <w:p>
      <w:pPr>
        <w:pStyle w:val="ListParagraph"/>
        <w:numPr>
          <w:ilvl w:val="0"/>
          <w:numId w:val="2"/>
        </w:numPr>
        <w:spacing w:after="60"/>
      </w:pPr>
      <w:r>
        <w:rPr>
          <w:rFonts w:ascii="Arial" w:cs="Arial" w:eastAsia="Arial" w:hAnsi="Arial"/>
          <w:color w:val="374151"/>
          <w:sz w:val="20"/>
          <w:szCs w:val="20"/>
        </w:rPr>
        <w:t xml:space="preserve">The 20-week MA is above the 100-week MA (short-term trend stronger than long-term — bullish alignment)</w:t>
      </w:r>
    </w:p>
    <w:p>
      <w:pPr>
        <w:pStyle w:val="ListParagraph"/>
        <w:numPr>
          <w:ilvl w:val="0"/>
          <w:numId w:val="2"/>
        </w:numPr>
        <w:spacing w:after="60"/>
      </w:pPr>
      <w:r>
        <w:rPr>
          <w:rFonts w:ascii="Arial" w:cs="Arial" w:eastAsia="Arial" w:hAnsi="Arial"/>
          <w:color w:val="374151"/>
          <w:sz w:val="20"/>
          <w:szCs w:val="20"/>
        </w:rPr>
        <w:t xml:space="preserve">The 100-week MA is higher now than it was 20 weeks ago (even the slow long-term average is rising — 'slow money confirmed')</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F6FEB" w:val="clear"/>
          </w:tcPr>
          <w:p>
            <w:r>
              <w:t xml:space="preserve"/>
            </w:r>
          </w:p>
        </w:tc>
        <w:tc>
          <w:tcPr>
            <w:tcW w:type="dxa" w:w="8800"/>
            <w:tcBorders>
              <w:top w:val="none" w:color="FFFFFF" w:sz="0"/>
              <w:left w:val="none" w:color="FFFFFF" w:sz="0"/>
              <w:bottom w:val="none" w:color="FFFFFF" w:sz="0"/>
              <w:right w:val="none" w:color="FFFFFF" w:sz="0"/>
            </w:tcBorders>
            <w:shd w:fill="EBF4FF" w:val="clear"/>
            <w:tcMar>
              <w:top w:type="dxa" w:w="80"/>
              <w:left w:type="dxa" w:w="140"/>
              <w:bottom w:type="dxa" w:w="80"/>
              <w:right w:type="dxa" w:w="120"/>
            </w:tcMar>
          </w:tcPr>
          <w:p>
            <w:pPr>
              <w:spacing w:after="0"/>
            </w:pPr>
            <w:r>
              <w:rPr>
                <w:rFonts w:ascii="Arial" w:cs="Arial" w:eastAsia="Arial" w:hAnsi="Arial"/>
                <w:color w:val="1E3A5F"/>
                <w:sz w:val="19"/>
                <w:szCs w:val="19"/>
              </w:rPr>
              <w:t xml:space="preserve">Example: An ETF scores 4/4 — all moving averages are aligned bullishly. This contributes 18% to its rotation score. An ETF scoring 0/4 is in a full downtrend on all timeframes.</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KPI 2 — Pressure 20W</w:t>
      </w:r>
    </w:p>
    <w:p>
      <w:pPr>
        <w:spacing w:after="100"/>
      </w:pPr>
      <w:r>
        <w:rPr>
          <w:rFonts w:ascii="Arial" w:cs="Arial" w:eastAsia="Arial" w:hAnsi="Arial"/>
          <w:b w:val="false"/>
          <w:bCs w:val="false"/>
          <w:color w:val="374151"/>
          <w:sz w:val="20"/>
          <w:szCs w:val="20"/>
        </w:rPr>
        <w:t xml:space="preserve">Which direction is institutional capital flowing? Pressure is calculated by multiplying two values together each week: the Close Location Value (CLV) and pound turnover.</w:t>
      </w:r>
    </w:p>
    <w:p>
      <w:pPr>
        <w:spacing w:before="80" w:after="0"/>
      </w:pPr>
      <w:r>
        <w:t xml:space="preserve"/>
      </w:r>
    </w:p>
    <w:p>
      <w:pPr>
        <w:spacing w:after="100"/>
      </w:pPr>
      <w:r>
        <w:rPr>
          <w:rFonts w:ascii="Arial" w:cs="Arial" w:eastAsia="Arial" w:hAnsi="Arial"/>
          <w:b w:val="false"/>
          <w:bCs w:val="false"/>
          <w:color w:val="374151"/>
          <w:sz w:val="20"/>
          <w:szCs w:val="20"/>
        </w:rPr>
        <w:t xml:space="preserve">CLV measures where the weekly close falls within the high-low range. If the ETF closes exactly at the week's high, CLV = +1.0 (maximum buying pressure — buyers pushed price to the top all week). If it closes at the week's low, CLV = -1.0 (maximum selling pressure). Multiplying by turnover weights this by the amount of money involved.</w:t>
      </w:r>
    </w:p>
    <w:p>
      <w:pPr>
        <w:spacing w:before="80" w:after="0"/>
      </w:pPr>
      <w:r>
        <w:t xml:space="preserve"/>
      </w:r>
    </w:p>
    <w:p>
      <w:pPr>
        <w:spacing w:after="100"/>
      </w:pPr>
      <w:r>
        <w:rPr>
          <w:rFonts w:ascii="Arial" w:cs="Arial" w:eastAsia="Arial" w:hAnsi="Arial"/>
          <w:b w:val="false"/>
          <w:bCs w:val="false"/>
          <w:color w:val="374151"/>
          <w:sz w:val="20"/>
          <w:szCs w:val="20"/>
        </w:rPr>
        <w:t xml:space="preserve">The 20-week sum of these values gives Pressure 20W. A positive number means net institutional buying over the last 20 weeks. A negative number means net selling — distribution is underway. The sign matters more than the size.</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F6FEB" w:val="clear"/>
          </w:tcPr>
          <w:p>
            <w:r>
              <w:t xml:space="preserve"/>
            </w:r>
          </w:p>
        </w:tc>
        <w:tc>
          <w:tcPr>
            <w:tcW w:type="dxa" w:w="8800"/>
            <w:tcBorders>
              <w:top w:val="none" w:color="FFFFFF" w:sz="0"/>
              <w:left w:val="none" w:color="FFFFFF" w:sz="0"/>
              <w:bottom w:val="none" w:color="FFFFFF" w:sz="0"/>
              <w:right w:val="none" w:color="FFFFFF" w:sz="0"/>
            </w:tcBorders>
            <w:shd w:fill="EBF4FF" w:val="clear"/>
            <w:tcMar>
              <w:top w:type="dxa" w:w="80"/>
              <w:left w:type="dxa" w:w="140"/>
              <w:bottom w:type="dxa" w:w="80"/>
              <w:right w:type="dxa" w:w="120"/>
            </w:tcMar>
          </w:tcPr>
          <w:p>
            <w:pPr>
              <w:spacing w:after="0"/>
            </w:pPr>
            <w:r>
              <w:rPr>
                <w:rFonts w:ascii="Arial" w:cs="Arial" w:eastAsia="Arial" w:hAnsi="Arial"/>
                <w:color w:val="1E3A5F"/>
                <w:sz w:val="19"/>
                <w:szCs w:val="19"/>
              </w:rPr>
              <w:t xml:space="preserve">Example: VUSA.L has Pressure 20W of +£84 million. This means that over the last 20 weeks, the cumulative signed capital flow was £84m to the buy side — buyers consistently pushed the weekly close toward the top of the weekly range, weighted by how much money was traded. A negative equivalent would suggest sustained distribution.</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KPI 3 &amp; 4 — Relative Strength (Raw and Vol-Adjusted)</w:t>
      </w:r>
    </w:p>
    <w:p>
      <w:pPr>
        <w:spacing w:after="100"/>
      </w:pPr>
      <w:r>
        <w:rPr>
          <w:rFonts w:ascii="Arial" w:cs="Arial" w:eastAsia="Arial" w:hAnsi="Arial"/>
          <w:b w:val="false"/>
          <w:bCs w:val="false"/>
          <w:color w:val="374151"/>
          <w:sz w:val="20"/>
          <w:szCs w:val="20"/>
        </w:rPr>
        <w:t xml:space="preserve">Is this ETF beating the global market — and is it doing so efficiently? Relative strength (RS) measures the ETF's return over a period minus the benchmark's (VWRP.L) return over the same period. Three timeframes are computed:</w:t>
      </w:r>
    </w:p>
    <w:p>
      <w:pPr>
        <w:pStyle w:val="ListParagraph"/>
        <w:numPr>
          <w:ilvl w:val="0"/>
          <w:numId w:val="2"/>
        </w:numPr>
        <w:spacing w:after="60"/>
      </w:pPr>
      <w:r>
        <w:rPr>
          <w:rFonts w:ascii="Arial" w:cs="Arial" w:eastAsia="Arial" w:hAnsi="Arial"/>
          <w:color w:val="374151"/>
          <w:sz w:val="20"/>
          <w:szCs w:val="20"/>
        </w:rPr>
        <w:t xml:space="preserve">RS4: 4-week return vs benchmark — what has happened in the last month?</w:t>
      </w:r>
    </w:p>
    <w:p>
      <w:pPr>
        <w:pStyle w:val="ListParagraph"/>
        <w:numPr>
          <w:ilvl w:val="0"/>
          <w:numId w:val="2"/>
        </w:numPr>
        <w:spacing w:after="60"/>
      </w:pPr>
      <w:r>
        <w:rPr>
          <w:rFonts w:ascii="Arial" w:cs="Arial" w:eastAsia="Arial" w:hAnsi="Arial"/>
          <w:color w:val="374151"/>
          <w:sz w:val="20"/>
          <w:szCs w:val="20"/>
        </w:rPr>
        <w:t xml:space="preserve">RS12: 12-week return vs benchmark — the last quarter?</w:t>
      </w:r>
    </w:p>
    <w:p>
      <w:pPr>
        <w:pStyle w:val="ListParagraph"/>
        <w:numPr>
          <w:ilvl w:val="0"/>
          <w:numId w:val="2"/>
        </w:numPr>
        <w:spacing w:after="60"/>
      </w:pPr>
      <w:r>
        <w:rPr>
          <w:rFonts w:ascii="Arial" w:cs="Arial" w:eastAsia="Arial" w:hAnsi="Arial"/>
          <w:color w:val="374151"/>
          <w:sz w:val="20"/>
          <w:szCs w:val="20"/>
        </w:rPr>
        <w:t xml:space="preserve">RS20: 20-week return vs benchmark — the last five months?</w:t>
      </w:r>
    </w:p>
    <w:p>
      <w:pPr>
        <w:spacing w:before="80" w:after="0"/>
      </w:pPr>
      <w:r>
        <w:t xml:space="preserve"/>
      </w:r>
    </w:p>
    <w:p>
      <w:pPr>
        <w:spacing w:after="100"/>
      </w:pPr>
      <w:r>
        <w:rPr>
          <w:rFonts w:ascii="Arial" w:cs="Arial" w:eastAsia="Arial" w:hAnsi="Arial"/>
          <w:b w:val="false"/>
          <w:bCs w:val="false"/>
          <w:color w:val="374151"/>
          <w:sz w:val="20"/>
          <w:szCs w:val="20"/>
        </w:rPr>
        <w:t xml:space="preserve">RS Acceleration compares RS4 to RS12. A positive acceleration means the ETF is outperforming the benchmark more over the recent month than over the last quarter — momentum is building.</w:t>
      </w:r>
    </w:p>
    <w:p>
      <w:pPr>
        <w:spacing w:before="80" w:after="0"/>
      </w:pPr>
      <w:r>
        <w:t xml:space="preserve"/>
      </w:r>
    </w:p>
    <w:p>
      <w:pPr>
        <w:spacing w:after="100"/>
      </w:pPr>
      <w:r>
        <w:rPr>
          <w:rFonts w:ascii="Arial" w:cs="Arial" w:eastAsia="Arial" w:hAnsi="Arial"/>
          <w:b w:val="false"/>
          <w:bCs w:val="false"/>
          <w:color w:val="374151"/>
          <w:sz w:val="20"/>
          <w:szCs w:val="20"/>
        </w:rPr>
        <w:t xml:space="preserve">Volatility-adjusted RS (KPI 4) divides the raw RS by the ETF's own 20-week realised volatility. This prevents high-volatility ETFs from dominating the rankings through sheer noise. An ETF with +4% RS and low volatility ranks higher than one with +8% RS but extreme volatility. All vol-adjusted figures are then cross-sectionally ranked (0–100th percentile) across the full universe.</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F6FEB" w:val="clear"/>
          </w:tcPr>
          <w:p>
            <w:r>
              <w:t xml:space="preserve"/>
            </w:r>
          </w:p>
        </w:tc>
        <w:tc>
          <w:tcPr>
            <w:tcW w:type="dxa" w:w="8800"/>
            <w:tcBorders>
              <w:top w:val="none" w:color="FFFFFF" w:sz="0"/>
              <w:left w:val="none" w:color="FFFFFF" w:sz="0"/>
              <w:bottom w:val="none" w:color="FFFFFF" w:sz="0"/>
              <w:right w:val="none" w:color="FFFFFF" w:sz="0"/>
            </w:tcBorders>
            <w:shd w:fill="EBF4FF" w:val="clear"/>
            <w:tcMar>
              <w:top w:type="dxa" w:w="80"/>
              <w:left w:type="dxa" w:w="140"/>
              <w:bottom w:type="dxa" w:w="80"/>
              <w:right w:type="dxa" w:w="120"/>
            </w:tcMar>
          </w:tcPr>
          <w:p>
            <w:pPr>
              <w:spacing w:after="0"/>
            </w:pPr>
            <w:r>
              <w:rPr>
                <w:rFonts w:ascii="Arial" w:cs="Arial" w:eastAsia="Arial" w:hAnsi="Arial"/>
                <w:color w:val="1E3A5F"/>
                <w:sz w:val="19"/>
                <w:szCs w:val="19"/>
              </w:rPr>
              <w:t xml:space="preserve">Example: SMGB.L (VanEck Semiconductors) shows RS20 of +18% but realised volatility of 4.2%/week — vol-adjusted RS is +4.3, ranking it 88th percentile. VNRG.L shows RS20 of +9% with volatility of 1.1%/week — vol-adjusted RS of +8.2, ranking 95th percentile. VNRG.L wins on risk-adjusted relative strength despite lower raw RS.</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KPI 5 — Turnover Block</w:t>
      </w:r>
    </w:p>
    <w:p>
      <w:pPr>
        <w:spacing w:after="100"/>
      </w:pPr>
      <w:r>
        <w:rPr>
          <w:rFonts w:ascii="Arial" w:cs="Arial" w:eastAsia="Arial" w:hAnsi="Arial"/>
          <w:b w:val="false"/>
          <w:bCs w:val="false"/>
          <w:color w:val="374151"/>
          <w:sz w:val="20"/>
          <w:szCs w:val="20"/>
        </w:rPr>
        <w:t xml:space="preserve">Is more institutional money moving than usual? Three sub-metrics:</w:t>
      </w:r>
    </w:p>
    <w:p>
      <w:pPr>
        <w:pStyle w:val="ListParagraph"/>
        <w:numPr>
          <w:ilvl w:val="0"/>
          <w:numId w:val="2"/>
        </w:numPr>
        <w:spacing w:after="60"/>
      </w:pPr>
      <w:r>
        <w:rPr>
          <w:rFonts w:ascii="Arial" w:cs="Arial" w:eastAsia="Arial" w:hAnsi="Arial"/>
          <w:color w:val="374151"/>
          <w:sz w:val="20"/>
          <w:szCs w:val="20"/>
        </w:rPr>
        <w:t xml:space="preserve">Turnover Ratio (20w / 100w): If the last 20 weeks of average weekly turnover exceeds the 100-week average, institutional interest is expanding. A ratio above 1.2 is meaningfully elevated.</w:t>
      </w:r>
    </w:p>
    <w:p>
      <w:pPr>
        <w:pStyle w:val="ListParagraph"/>
        <w:numPr>
          <w:ilvl w:val="0"/>
          <w:numId w:val="2"/>
        </w:numPr>
        <w:spacing w:after="60"/>
      </w:pPr>
      <w:r>
        <w:rPr>
          <w:rFonts w:ascii="Arial" w:cs="Arial" w:eastAsia="Arial" w:hAnsi="Arial"/>
          <w:color w:val="374151"/>
          <w:sz w:val="20"/>
          <w:szCs w:val="20"/>
        </w:rPr>
        <w:t xml:space="preserve">Turnover Z-score: Is this specific week anomalous? A z-score above +2 suggests a catalyst event or institutional block trade.</w:t>
      </w:r>
    </w:p>
    <w:p>
      <w:pPr>
        <w:pStyle w:val="ListParagraph"/>
        <w:numPr>
          <w:ilvl w:val="0"/>
          <w:numId w:val="2"/>
        </w:numPr>
        <w:spacing w:after="60"/>
      </w:pPr>
      <w:r>
        <w:rPr>
          <w:rFonts w:ascii="Arial" w:cs="Arial" w:eastAsia="Arial" w:hAnsi="Arial"/>
          <w:color w:val="374151"/>
          <w:sz w:val="20"/>
          <w:szCs w:val="20"/>
        </w:rPr>
        <w:t xml:space="preserve">Turnover CV (stability): Is volume consistent or choppy? High variability penalises the confidence score — erratic volume is a reliability warning.</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F6FEB" w:val="clear"/>
          </w:tcPr>
          <w:p>
            <w:r>
              <w:t xml:space="preserve"/>
            </w:r>
          </w:p>
        </w:tc>
        <w:tc>
          <w:tcPr>
            <w:tcW w:type="dxa" w:w="8800"/>
            <w:tcBorders>
              <w:top w:val="none" w:color="FFFFFF" w:sz="0"/>
              <w:left w:val="none" w:color="FFFFFF" w:sz="0"/>
              <w:bottom w:val="none" w:color="FFFFFF" w:sz="0"/>
              <w:right w:val="none" w:color="FFFFFF" w:sz="0"/>
            </w:tcBorders>
            <w:shd w:fill="EBF4FF" w:val="clear"/>
            <w:tcMar>
              <w:top w:type="dxa" w:w="80"/>
              <w:left w:type="dxa" w:w="140"/>
              <w:bottom w:type="dxa" w:w="80"/>
              <w:right w:type="dxa" w:w="120"/>
            </w:tcMar>
          </w:tcPr>
          <w:p>
            <w:pPr>
              <w:spacing w:after="0"/>
            </w:pPr>
            <w:r>
              <w:rPr>
                <w:rFonts w:ascii="Arial" w:cs="Arial" w:eastAsia="Arial" w:hAnsi="Arial"/>
                <w:color w:val="1E3A5F"/>
                <w:sz w:val="19"/>
                <w:szCs w:val="19"/>
              </w:rPr>
              <w:t xml:space="preserve">Example: An ETF with average weekly turnover of £180,000 will always receive LOW confidence regardless of its signal direction. The model simply cannot distinguish institutional signal from noise at this liquidity level. Compare this to VUSA.L at £600m+ weekly — every metric is statistically meaningful.</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KPI 6 — Sector Breadth &amp; Confirmation</w:t>
      </w:r>
    </w:p>
    <w:p>
      <w:pPr>
        <w:spacing w:after="100"/>
      </w:pPr>
      <w:r>
        <w:rPr>
          <w:rFonts w:ascii="Arial" w:cs="Arial" w:eastAsia="Arial" w:hAnsi="Arial"/>
          <w:b w:val="false"/>
          <w:bCs w:val="false"/>
          <w:color w:val="374151"/>
          <w:sz w:val="20"/>
          <w:szCs w:val="20"/>
        </w:rPr>
        <w:t xml:space="preserve">Is the whole sector participating, or is this ETF an outlier? Sector confirmation checks whether the ETF's peers are also showing positive relative strength and positive buying pressure. Confirmation requires:</w:t>
      </w:r>
    </w:p>
    <w:p>
      <w:pPr>
        <w:pStyle w:val="ListParagraph"/>
        <w:numPr>
          <w:ilvl w:val="0"/>
          <w:numId w:val="2"/>
        </w:numPr>
        <w:spacing w:after="60"/>
      </w:pPr>
      <w:r>
        <w:rPr>
          <w:rFonts w:ascii="Arial" w:cs="Arial" w:eastAsia="Arial" w:hAnsi="Arial"/>
          <w:color w:val="374151"/>
          <w:sz w:val="20"/>
          <w:szCs w:val="20"/>
        </w:rPr>
        <w:t xml:space="preserve">At least 3 ETFs in the same sector (to have statistical validity)</w:t>
      </w:r>
    </w:p>
    <w:p>
      <w:pPr>
        <w:pStyle w:val="ListParagraph"/>
        <w:numPr>
          <w:ilvl w:val="0"/>
          <w:numId w:val="2"/>
        </w:numPr>
        <w:spacing w:after="60"/>
      </w:pPr>
      <w:r>
        <w:rPr>
          <w:rFonts w:ascii="Arial" w:cs="Arial" w:eastAsia="Arial" w:hAnsi="Arial"/>
          <w:color w:val="374151"/>
          <w:sz w:val="20"/>
          <w:szCs w:val="20"/>
        </w:rPr>
        <w:t xml:space="preserve">60% or more of sector peers have positive RS12 (12-week outperformance)</w:t>
      </w:r>
    </w:p>
    <w:p>
      <w:pPr>
        <w:pStyle w:val="ListParagraph"/>
        <w:numPr>
          <w:ilvl w:val="0"/>
          <w:numId w:val="2"/>
        </w:numPr>
        <w:spacing w:after="60"/>
      </w:pPr>
      <w:r>
        <w:rPr>
          <w:rFonts w:ascii="Arial" w:cs="Arial" w:eastAsia="Arial" w:hAnsi="Arial"/>
          <w:color w:val="374151"/>
          <w:sz w:val="20"/>
          <w:szCs w:val="20"/>
        </w:rPr>
        <w:t xml:space="preserve">50% or more of sector peers have positive RS20 (20-week outperformance)</w:t>
      </w:r>
    </w:p>
    <w:p>
      <w:pPr>
        <w:pStyle w:val="ListParagraph"/>
        <w:numPr>
          <w:ilvl w:val="0"/>
          <w:numId w:val="2"/>
        </w:numPr>
        <w:spacing w:after="60"/>
      </w:pPr>
      <w:r>
        <w:rPr>
          <w:rFonts w:ascii="Arial" w:cs="Arial" w:eastAsia="Arial" w:hAnsi="Arial"/>
          <w:color w:val="374151"/>
          <w:sz w:val="20"/>
          <w:szCs w:val="20"/>
        </w:rPr>
        <w:t xml:space="preserve">60% or more of sector peers have positive Pressure 20W (net buying)</w:t>
      </w:r>
    </w:p>
    <w:p>
      <w:pPr>
        <w:spacing w:before="80" w:after="0"/>
      </w:pPr>
      <w:r>
        <w:t xml:space="preserve"/>
      </w:r>
    </w:p>
    <w:p>
      <w:pPr>
        <w:spacing w:after="100"/>
      </w:pPr>
      <w:r>
        <w:rPr>
          <w:rFonts w:ascii="Arial" w:cs="Arial" w:eastAsia="Arial" w:hAnsi="Arial"/>
          <w:b w:val="false"/>
          <w:bCs w:val="false"/>
          <w:color w:val="374151"/>
          <w:sz w:val="20"/>
          <w:szCs w:val="20"/>
        </w:rPr>
        <w:t xml:space="preserve">If all three conditions are met, the ETF's signal is sector-confirmed. This adds 5% directly to the rotation score and a significant boost to the confidence score.</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F6FEB" w:val="clear"/>
          </w:tcPr>
          <w:p>
            <w:r>
              <w:t xml:space="preserve"/>
            </w:r>
          </w:p>
        </w:tc>
        <w:tc>
          <w:tcPr>
            <w:tcW w:type="dxa" w:w="8800"/>
            <w:tcBorders>
              <w:top w:val="none" w:color="FFFFFF" w:sz="0"/>
              <w:left w:val="none" w:color="FFFFFF" w:sz="0"/>
              <w:bottom w:val="none" w:color="FFFFFF" w:sz="0"/>
              <w:right w:val="none" w:color="FFFFFF" w:sz="0"/>
            </w:tcBorders>
            <w:shd w:fill="EBF4FF" w:val="clear"/>
            <w:tcMar>
              <w:top w:type="dxa" w:w="80"/>
              <w:left w:type="dxa" w:w="140"/>
              <w:bottom w:type="dxa" w:w="80"/>
              <w:right w:type="dxa" w:w="120"/>
            </w:tcMar>
          </w:tcPr>
          <w:p>
            <w:pPr>
              <w:spacing w:after="0"/>
            </w:pPr>
            <w:r>
              <w:rPr>
                <w:rFonts w:ascii="Arial" w:cs="Arial" w:eastAsia="Arial" w:hAnsi="Arial"/>
                <w:color w:val="1E3A5F"/>
                <w:sz w:val="19"/>
                <w:szCs w:val="19"/>
              </w:rPr>
              <w:t xml:space="preserve">Example: You see a STRONG BUY on DFND.L (Aerospace &amp; Defence). Sector confirmation is active — meaning NATP.L and DFNG.L also show positive RS and positive pressure. The signal is not an anomaly in one name: the whole defence sleeve is seeing inflows. This is a much higher-conviction situation than if DFND.L were the only positive name in its sector.</w:t>
            </w:r>
          </w:p>
        </w:tc>
      </w:tr>
    </w:tbl>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4 — The Rotation Score</w:t>
      </w:r>
    </w:p>
    <w:p>
      <w:pPr>
        <w:spacing w:after="100"/>
      </w:pPr>
      <w:r>
        <w:rPr>
          <w:rFonts w:ascii="Arial" w:cs="Arial" w:eastAsia="Arial" w:hAnsi="Arial"/>
          <w:b w:val="false"/>
          <w:bCs w:val="false"/>
          <w:color w:val="374151"/>
          <w:sz w:val="20"/>
          <w:szCs w:val="20"/>
        </w:rPr>
        <w:t xml:space="preserve">The Rotation Score (0–100) is the primary number that drives signal classification. It combines the six KPI groups — all cross-sectionally ranked against the full universe — into a single weighted composite:</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pPr>
              <w:spacing w:after="0"/>
            </w:pPr>
            <w:r>
              <w:rPr>
                <w:rFonts w:ascii="Courier New" w:cs="Courier New" w:eastAsia="Courier New" w:hAnsi="Courier New"/>
                <w:color w:val="E2E8F0"/>
                <w:sz w:val="18"/>
                <w:szCs w:val="18"/>
              </w:rPr>
              <w:t xml:space="preserve">Rotation Score =</w:t>
            </w:r>
          </w:p>
          <w:p>
            <w:pPr>
              <w:spacing w:after="0"/>
            </w:pPr>
            <w:r>
              <w:rPr>
                <w:rFonts w:ascii="Courier New" w:cs="Courier New" w:eastAsia="Courier New" w:hAnsi="Courier New"/>
                <w:color w:val="E2E8F0"/>
                <w:sz w:val="18"/>
                <w:szCs w:val="18"/>
              </w:rPr>
              <w:t xml:space="preserve">  18%  ×  Trend Score (0–4 normalised to 0–100)</w:t>
            </w:r>
          </w:p>
          <w:p>
            <w:pPr>
              <w:spacing w:after="0"/>
            </w:pPr>
            <w:r>
              <w:rPr>
                <w:rFonts w:ascii="Courier New" w:cs="Courier New" w:eastAsia="Courier New" w:hAnsi="Courier New"/>
                <w:color w:val="E2E8F0"/>
                <w:sz w:val="18"/>
                <w:szCs w:val="18"/>
              </w:rPr>
              <w:t xml:space="preserve">  22%  ×  Vol-Adjusted RS20 (universe percentile rank)</w:t>
            </w:r>
          </w:p>
          <w:p>
            <w:pPr>
              <w:spacing w:after="0"/>
            </w:pPr>
            <w:r>
              <w:rPr>
                <w:rFonts w:ascii="Courier New" w:cs="Courier New" w:eastAsia="Courier New" w:hAnsi="Courier New"/>
                <w:color w:val="E2E8F0"/>
                <w:sz w:val="18"/>
                <w:szCs w:val="18"/>
              </w:rPr>
              <w:t xml:space="preserve">  15%  ×  Vol-Adjusted RS Acceleration (universe percentile rank)</w:t>
            </w:r>
          </w:p>
          <w:p>
            <w:pPr>
              <w:spacing w:after="0"/>
            </w:pPr>
            <w:r>
              <w:rPr>
                <w:rFonts w:ascii="Courier New" w:cs="Courier New" w:eastAsia="Courier New" w:hAnsi="Courier New"/>
                <w:color w:val="E2E8F0"/>
                <w:sz w:val="18"/>
                <w:szCs w:val="18"/>
              </w:rPr>
              <w:t xml:space="preserve">  15%  ×  Turnover Ratio 20w/100w (universe percentile rank)</w:t>
            </w:r>
          </w:p>
          <w:p>
            <w:pPr>
              <w:spacing w:after="0"/>
            </w:pPr>
            <w:r>
              <w:rPr>
                <w:rFonts w:ascii="Courier New" w:cs="Courier New" w:eastAsia="Courier New" w:hAnsi="Courier New"/>
                <w:color w:val="E2E8F0"/>
                <w:sz w:val="18"/>
                <w:szCs w:val="18"/>
              </w:rPr>
              <w:t xml:space="preserve">  15%  ×  Pressure 20W (universe percentile rank)</w:t>
            </w:r>
          </w:p>
          <w:p>
            <w:pPr>
              <w:spacing w:after="0"/>
            </w:pPr>
            <w:r>
              <w:rPr>
                <w:rFonts w:ascii="Courier New" w:cs="Courier New" w:eastAsia="Courier New" w:hAnsi="Courier New"/>
                <w:color w:val="E2E8F0"/>
                <w:sz w:val="18"/>
                <w:szCs w:val="18"/>
              </w:rPr>
              <w:t xml:space="preserve">  10%  ×  % weeks with positive pressure (last 20 weeks)</w:t>
            </w:r>
          </w:p>
          <w:p>
            <w:pPr>
              <w:spacing w:after="0"/>
            </w:pPr>
            <w:r>
              <w:rPr>
                <w:rFonts w:ascii="Courier New" w:cs="Courier New" w:eastAsia="Courier New" w:hAnsi="Courier New"/>
                <w:color w:val="E2E8F0"/>
                <w:sz w:val="18"/>
                <w:szCs w:val="18"/>
              </w:rPr>
              <w:t xml:space="preserve">   5%  ×  Sector Confirmation (100 if confirmed, 0 if not)</w:t>
            </w:r>
          </w:p>
        </w:tc>
      </w:tr>
    </w:tbl>
    <w:p>
      <w:pPr>
        <w:spacing w:before="80" w:after="0"/>
      </w:pPr>
      <w:r>
        <w:t xml:space="preserve"/>
      </w:r>
    </w:p>
    <w:p>
      <w:pPr>
        <w:spacing w:after="100"/>
      </w:pPr>
      <w:r>
        <w:rPr>
          <w:rFonts w:ascii="Arial" w:cs="Arial" w:eastAsia="Arial" w:hAnsi="Arial"/>
          <w:b w:val="false"/>
          <w:bCs w:val="false"/>
          <w:color w:val="374151"/>
          <w:sz w:val="20"/>
          <w:szCs w:val="20"/>
        </w:rPr>
        <w:t xml:space="preserve">Because every input is a percentile rank within the current universe, the rotation score is self-calibrating. If global markets deteriorate and every ETF weakens, the rankings adjust automatically — the best performers in a weak universe still surface near the top.</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F6FEB" w:val="clear"/>
          </w:tcPr>
          <w:p>
            <w:r>
              <w:t xml:space="preserve"/>
            </w:r>
          </w:p>
        </w:tc>
        <w:tc>
          <w:tcPr>
            <w:tcW w:type="dxa" w:w="8800"/>
            <w:tcBorders>
              <w:top w:val="none" w:color="FFFFFF" w:sz="0"/>
              <w:left w:val="none" w:color="FFFFFF" w:sz="0"/>
              <w:bottom w:val="none" w:color="FFFFFF" w:sz="0"/>
              <w:right w:val="none" w:color="FFFFFF" w:sz="0"/>
            </w:tcBorders>
            <w:shd w:fill="EBF4FF" w:val="clear"/>
            <w:tcMar>
              <w:top w:type="dxa" w:w="80"/>
              <w:left w:type="dxa" w:w="140"/>
              <w:bottom w:type="dxa" w:w="80"/>
              <w:right w:type="dxa" w:w="120"/>
            </w:tcMar>
          </w:tcPr>
          <w:p>
            <w:pPr>
              <w:spacing w:after="0"/>
            </w:pPr>
            <w:r>
              <w:rPr>
                <w:rFonts w:ascii="Arial" w:cs="Arial" w:eastAsia="Arial" w:hAnsi="Arial"/>
                <w:color w:val="1E3A5F"/>
                <w:sz w:val="19"/>
                <w:szCs w:val="19"/>
              </w:rPr>
              <w:t xml:space="preserve">Threshold guide: ≥72 = STRONG BUY zone. 60–71 = ACCUMULATING/HOLD zone. 35–59 = Neutral zone. &lt;35 = EXIT/DISTRIBUTION zone. Note: the trend score and other conditions are also checked — a score of 73 with only 2/4 trend points will not trigger STRONG BUY.</w:t>
            </w:r>
          </w:p>
        </w:tc>
      </w:tr>
    </w:tbl>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5 — The Application Pages</w:t>
      </w:r>
    </w:p>
    <w:p>
      <w:pPr>
        <w:pStyle w:val="Heading2"/>
        <w:spacing w:before="240" w:after="80"/>
      </w:pPr>
      <w:r>
        <w:rPr>
          <w:rFonts w:ascii="Arial" w:cs="Arial" w:eastAsia="Arial" w:hAnsi="Arial"/>
          <w:b/>
          <w:bCs/>
          <w:color w:val="1F6FEB"/>
          <w:sz w:val="26"/>
          <w:szCs w:val="26"/>
        </w:rPr>
        <w:t xml:space="preserve">Home Page</w:t>
      </w:r>
    </w:p>
    <w:p>
      <w:pPr>
        <w:spacing w:after="100"/>
      </w:pPr>
      <w:r>
        <w:rPr>
          <w:rFonts w:ascii="Arial" w:cs="Arial" w:eastAsia="Arial" w:hAnsi="Arial"/>
          <w:b w:val="false"/>
          <w:bCs w:val="false"/>
          <w:color w:val="374151"/>
          <w:sz w:val="20"/>
          <w:szCs w:val="20"/>
        </w:rPr>
        <w:t xml:space="preserve">The home page shows a quick summary: how many ETFs are in each signal category right now, and quick-access cards to each section of the app. Use it as your daily entry point.</w:t>
      </w:r>
    </w:p>
    <w:p>
      <w:pPr>
        <w:spacing w:before="80" w:after="0"/>
      </w:pPr>
      <w:r>
        <w:t xml:space="preserve"/>
      </w:r>
    </w:p>
    <w:p>
      <w:pPr>
        <w:pStyle w:val="Heading2"/>
        <w:spacing w:before="240" w:after="80"/>
      </w:pPr>
      <w:r>
        <w:rPr>
          <w:rFonts w:ascii="Arial" w:cs="Arial" w:eastAsia="Arial" w:hAnsi="Arial"/>
          <w:b/>
          <w:bCs/>
          <w:color w:val="1F6FEB"/>
          <w:sz w:val="26"/>
          <w:szCs w:val="26"/>
        </w:rPr>
        <w:t xml:space="preserve">Signal Dashboard</w:t>
      </w:r>
    </w:p>
    <w:p>
      <w:pPr>
        <w:spacing w:after="100"/>
      </w:pPr>
      <w:r>
        <w:rPr>
          <w:rFonts w:ascii="Arial" w:cs="Arial" w:eastAsia="Arial" w:hAnsi="Arial"/>
          <w:b w:val="false"/>
          <w:bCs w:val="false"/>
          <w:color w:val="374151"/>
          <w:sz w:val="20"/>
          <w:szCs w:val="20"/>
        </w:rPr>
        <w:t xml:space="preserve">The main weekly review screen. Shows all ETFs as cards, each displaying:</w:t>
      </w:r>
    </w:p>
    <w:p>
      <w:pPr>
        <w:pStyle w:val="ListParagraph"/>
        <w:numPr>
          <w:ilvl w:val="0"/>
          <w:numId w:val="2"/>
        </w:numPr>
        <w:spacing w:after="60"/>
      </w:pPr>
      <w:r>
        <w:rPr>
          <w:rFonts w:ascii="Arial" w:cs="Arial" w:eastAsia="Arial" w:hAnsi="Arial"/>
          <w:color w:val="374151"/>
          <w:sz w:val="20"/>
          <w:szCs w:val="20"/>
        </w:rPr>
        <w:t xml:space="preserve">The signal badge (colour-coded)</w:t>
      </w:r>
    </w:p>
    <w:p>
      <w:pPr>
        <w:pStyle w:val="ListParagraph"/>
        <w:numPr>
          <w:ilvl w:val="0"/>
          <w:numId w:val="2"/>
        </w:numPr>
        <w:spacing w:after="60"/>
      </w:pPr>
      <w:r>
        <w:rPr>
          <w:rFonts w:ascii="Arial" w:cs="Arial" w:eastAsia="Arial" w:hAnsi="Arial"/>
          <w:color w:val="374151"/>
          <w:sz w:val="20"/>
          <w:szCs w:val="20"/>
        </w:rPr>
        <w:t xml:space="preserve">Close price, RS20%, Trend Score dots, Turnover Ratio, Pressure 20W, Average Turnover, and a price sparkline</w:t>
      </w:r>
    </w:p>
    <w:p>
      <w:pPr>
        <w:spacing w:before="80" w:after="0"/>
      </w:pPr>
      <w:r>
        <w:t xml:space="preserve"/>
      </w:r>
    </w:p>
    <w:p>
      <w:pPr>
        <w:spacing w:after="100"/>
      </w:pPr>
      <w:r>
        <w:rPr>
          <w:rFonts w:ascii="Arial" w:cs="Arial" w:eastAsia="Arial" w:hAnsi="Arial"/>
          <w:b w:val="false"/>
          <w:bCs w:val="false"/>
          <w:color w:val="374151"/>
          <w:sz w:val="20"/>
          <w:szCs w:val="20"/>
        </w:rPr>
        <w:t xml:space="preserve">At the top are three filter bars:</w:t>
      </w:r>
    </w:p>
    <w:p>
      <w:pPr>
        <w:pStyle w:val="ListParagraph"/>
        <w:numPr>
          <w:ilvl w:val="0"/>
          <w:numId w:val="2"/>
        </w:numPr>
        <w:spacing w:after="60"/>
      </w:pPr>
      <w:r>
        <w:rPr>
          <w:rFonts w:ascii="Arial" w:cs="Arial" w:eastAsia="Arial" w:hAnsi="Arial"/>
          <w:color w:val="374151"/>
          <w:sz w:val="20"/>
          <w:szCs w:val="20"/>
        </w:rPr>
        <w:t xml:space="preserve">Signal filter — narrow to just STRONG BUY, EARLY ACCUMULATION etc.</w:t>
      </w:r>
    </w:p>
    <w:p>
      <w:pPr>
        <w:pStyle w:val="ListParagraph"/>
        <w:numPr>
          <w:ilvl w:val="0"/>
          <w:numId w:val="2"/>
        </w:numPr>
        <w:spacing w:after="60"/>
      </w:pPr>
      <w:r>
        <w:rPr>
          <w:rFonts w:ascii="Arial" w:cs="Arial" w:eastAsia="Arial" w:hAnsi="Arial"/>
          <w:color w:val="374151"/>
          <w:sz w:val="20"/>
          <w:szCs w:val="20"/>
        </w:rPr>
        <w:t xml:space="preserve">Sector filter — narrow to a specific sector (e.g. Technology, Defence)</w:t>
      </w:r>
    </w:p>
    <w:p>
      <w:pPr>
        <w:pStyle w:val="ListParagraph"/>
        <w:numPr>
          <w:ilvl w:val="0"/>
          <w:numId w:val="2"/>
        </w:numPr>
        <w:spacing w:after="60"/>
      </w:pPr>
      <w:r>
        <w:rPr>
          <w:rFonts w:ascii="Arial" w:cs="Arial" w:eastAsia="Arial" w:hAnsi="Arial"/>
          <w:color w:val="374151"/>
          <w:sz w:val="20"/>
          <w:szCs w:val="20"/>
        </w:rPr>
        <w:t xml:space="preserve">Pension Fund filter — if you have mapped pension funds, narrow to only the ETF proxies for that fund</w:t>
      </w:r>
    </w:p>
    <w:p>
      <w:pPr>
        <w:spacing w:before="80" w:after="0"/>
      </w:pPr>
      <w:r>
        <w:t xml:space="preserve"/>
      </w:r>
    </w:p>
    <w:p>
      <w:pPr>
        <w:spacing w:after="100"/>
      </w:pPr>
      <w:r>
        <w:rPr>
          <w:rFonts w:ascii="Arial" w:cs="Arial" w:eastAsia="Arial" w:hAnsi="Arial"/>
          <w:b w:val="false"/>
          <w:bCs w:val="false"/>
          <w:color w:val="374151"/>
          <w:sz w:val="20"/>
          <w:szCs w:val="20"/>
        </w:rPr>
        <w:t xml:space="preserve">Click any card to open the detail panel on the right, which shows all KPI values in full, a larger sparkline, and the signal reason text.</w:t>
      </w:r>
    </w:p>
    <w:p>
      <w:pPr>
        <w:spacing w:before="80" w:after="0"/>
      </w:pPr>
      <w:r>
        <w:t xml:space="preserve"/>
      </w:r>
    </w:p>
    <w:p>
      <w:pPr>
        <w:spacing w:after="100"/>
      </w:pPr>
      <w:r>
        <w:rPr>
          <w:rFonts w:ascii="Arial" w:cs="Arial" w:eastAsia="Arial" w:hAnsi="Arial"/>
          <w:b w:val="false"/>
          <w:bCs w:val="false"/>
          <w:color w:val="374151"/>
          <w:sz w:val="20"/>
          <w:szCs w:val="20"/>
        </w:rPr>
        <w:t xml:space="preserve">The Sort bar lets you reorder cards by: Signal strength, Ticker A–Z, Rotation Score, RS20%, Turnover Ratio, Trend, or Weekly Turnover size.</w:t>
      </w:r>
    </w:p>
    <w:p>
      <w:pPr>
        <w:spacing w:before="80" w:after="0"/>
      </w:pPr>
      <w:r>
        <w:t xml:space="preserve"/>
      </w:r>
    </w:p>
    <w:p>
      <w:pPr>
        <w:pStyle w:val="Heading2"/>
        <w:spacing w:before="240" w:after="80"/>
      </w:pPr>
      <w:r>
        <w:rPr>
          <w:rFonts w:ascii="Arial" w:cs="Arial" w:eastAsia="Arial" w:hAnsi="Arial"/>
          <w:b/>
          <w:bCs/>
          <w:color w:val="1F6FEB"/>
          <w:sz w:val="26"/>
          <w:szCs w:val="26"/>
        </w:rPr>
        <w:t xml:space="preserve">KPI Heatmap</w:t>
      </w:r>
    </w:p>
    <w:p>
      <w:pPr>
        <w:spacing w:after="100"/>
      </w:pPr>
      <w:r>
        <w:rPr>
          <w:rFonts w:ascii="Arial" w:cs="Arial" w:eastAsia="Arial" w:hAnsi="Arial"/>
          <w:b w:val="false"/>
          <w:bCs w:val="false"/>
          <w:color w:val="374151"/>
          <w:sz w:val="20"/>
          <w:szCs w:val="20"/>
        </w:rPr>
        <w:t xml:space="preserve">A compact table showing every ETF and every KPI metric in a grid. Cells are colour-coded by value (green = high, red = low). Use this for a fast full-universe scan and cross-ETF comparison. The pension fund filter applies here too.</w:t>
      </w:r>
    </w:p>
    <w:p>
      <w:pPr>
        <w:spacing w:before="80" w:after="0"/>
      </w:pPr>
      <w:r>
        <w:t xml:space="preserve"/>
      </w:r>
    </w:p>
    <w:p>
      <w:pPr>
        <w:spacing w:after="100"/>
      </w:pPr>
      <w:r>
        <w:rPr>
          <w:rFonts w:ascii="Arial" w:cs="Arial" w:eastAsia="Arial" w:hAnsi="Arial"/>
          <w:b w:val="false"/>
          <w:bCs w:val="false"/>
          <w:color w:val="374151"/>
          <w:sz w:val="20"/>
          <w:szCs w:val="20"/>
        </w:rPr>
        <w:t xml:space="preserve">Sort the heatmap by any column by clicking the column header. Sorting by RS VOL-ADJ or ROTATION surfaces the strongest names immediately.</w:t>
      </w:r>
    </w:p>
    <w:p>
      <w:pPr>
        <w:spacing w:before="80" w:after="0"/>
      </w:pPr>
      <w:r>
        <w:t xml:space="preserve"/>
      </w:r>
    </w:p>
    <w:p>
      <w:pPr>
        <w:pStyle w:val="Heading2"/>
        <w:spacing w:before="240" w:after="80"/>
      </w:pPr>
      <w:r>
        <w:rPr>
          <w:rFonts w:ascii="Arial" w:cs="Arial" w:eastAsia="Arial" w:hAnsi="Arial"/>
          <w:b/>
          <w:bCs/>
          <w:color w:val="1F6FEB"/>
          <w:sz w:val="26"/>
          <w:szCs w:val="26"/>
        </w:rPr>
        <w:t xml:space="preserve">Signal History</w:t>
      </w:r>
    </w:p>
    <w:p>
      <w:pPr>
        <w:spacing w:after="100"/>
      </w:pPr>
      <w:r>
        <w:rPr>
          <w:rFonts w:ascii="Arial" w:cs="Arial" w:eastAsia="Arial" w:hAnsi="Arial"/>
          <w:b w:val="false"/>
          <w:bCs w:val="false"/>
          <w:color w:val="374151"/>
          <w:sz w:val="20"/>
          <w:szCs w:val="20"/>
        </w:rPr>
        <w:t xml:space="preserve">Shows the complete history of signal changes for every ETF. Use this to understand how long an ETF has been in its current signal, and to spot transition patterns (e.g. NEUTRAL → EARLY ACCUMULATION → ACCUMULATING/HOLD → STRONG BUY over four consecutive weeks, which is the most reliable progression).</w:t>
      </w:r>
    </w:p>
    <w:p>
      <w:pPr>
        <w:spacing w:before="80" w:after="0"/>
      </w:pPr>
      <w:r>
        <w:t xml:space="preserve"/>
      </w:r>
    </w:p>
    <w:p>
      <w:pPr>
        <w:spacing w:after="100"/>
      </w:pPr>
      <w:r>
        <w:rPr>
          <w:rFonts w:ascii="Arial" w:cs="Arial" w:eastAsia="Arial" w:hAnsi="Arial"/>
          <w:b w:val="false"/>
          <w:bCs w:val="false"/>
          <w:color w:val="374151"/>
          <w:sz w:val="20"/>
          <w:szCs w:val="20"/>
        </w:rPr>
        <w:t xml:space="preserve">You can also click the price history button on each ETF to see a table of every weekly close, volume, and turnover recorded in the database.</w:t>
      </w:r>
    </w:p>
    <w:p>
      <w:pPr>
        <w:spacing w:before="80" w:after="0"/>
      </w:pPr>
      <w:r>
        <w:t xml:space="preserve"/>
      </w:r>
    </w:p>
    <w:p>
      <w:pPr>
        <w:pStyle w:val="Heading2"/>
        <w:spacing w:before="240" w:after="80"/>
      </w:pPr>
      <w:r>
        <w:rPr>
          <w:rFonts w:ascii="Arial" w:cs="Arial" w:eastAsia="Arial" w:hAnsi="Arial"/>
          <w:b/>
          <w:bCs/>
          <w:color w:val="1F6FEB"/>
          <w:sz w:val="26"/>
          <w:szCs w:val="26"/>
        </w:rPr>
        <w:t xml:space="preserve">Data Entry</w:t>
      </w:r>
    </w:p>
    <w:p>
      <w:pPr>
        <w:spacing w:after="100"/>
      </w:pPr>
      <w:r>
        <w:rPr>
          <w:rFonts w:ascii="Arial" w:cs="Arial" w:eastAsia="Arial" w:hAnsi="Arial"/>
          <w:b w:val="false"/>
          <w:bCs w:val="false"/>
          <w:color w:val="374151"/>
          <w:sz w:val="20"/>
          <w:szCs w:val="20"/>
        </w:rPr>
        <w:t xml:space="preserve">Where you enter weekly prices. See Part 6 for the full weekly workflow.</w:t>
      </w:r>
    </w:p>
    <w:p>
      <w:pPr>
        <w:spacing w:before="80" w:after="0"/>
      </w:pPr>
      <w:r>
        <w:t xml:space="preserve"/>
      </w:r>
    </w:p>
    <w:p>
      <w:pPr>
        <w:pStyle w:val="Heading2"/>
        <w:spacing w:before="240" w:after="80"/>
      </w:pPr>
      <w:r>
        <w:rPr>
          <w:rFonts w:ascii="Arial" w:cs="Arial" w:eastAsia="Arial" w:hAnsi="Arial"/>
          <w:b/>
          <w:bCs/>
          <w:color w:val="1F6FEB"/>
          <w:sz w:val="26"/>
          <w:szCs w:val="26"/>
        </w:rPr>
        <w:t xml:space="preserve">Admin</w:t>
      </w:r>
    </w:p>
    <w:p>
      <w:pPr>
        <w:spacing w:after="100"/>
      </w:pPr>
      <w:r>
        <w:rPr>
          <w:rFonts w:ascii="Arial" w:cs="Arial" w:eastAsia="Arial" w:hAnsi="Arial"/>
          <w:b w:val="false"/>
          <w:bCs w:val="false"/>
          <w:color w:val="374151"/>
          <w:sz w:val="20"/>
          <w:szCs w:val="20"/>
        </w:rPr>
        <w:t xml:space="preserve">Where you manage the ETF universe and pension fund mappings. See Part 7 for step-by-step instructions.</w:t>
      </w:r>
    </w:p>
    <w:p>
      <w:pPr>
        <w:spacing w:before="80" w:after="0"/>
      </w:pPr>
      <w:r>
        <w:t xml:space="preserve"/>
      </w:r>
    </w:p>
    <w:p>
      <w:pPr>
        <w:pStyle w:val="Heading2"/>
        <w:spacing w:before="240" w:after="80"/>
      </w:pPr>
      <w:r>
        <w:rPr>
          <w:rFonts w:ascii="Arial" w:cs="Arial" w:eastAsia="Arial" w:hAnsi="Arial"/>
          <w:b/>
          <w:bCs/>
          <w:color w:val="1F6FEB"/>
          <w:sz w:val="26"/>
          <w:szCs w:val="26"/>
        </w:rPr>
        <w:t xml:space="preserve">KPI Guide</w:t>
      </w:r>
    </w:p>
    <w:p>
      <w:pPr>
        <w:spacing w:after="100"/>
      </w:pPr>
      <w:r>
        <w:rPr>
          <w:rFonts w:ascii="Arial" w:cs="Arial" w:eastAsia="Arial" w:hAnsi="Arial"/>
          <w:b w:val="false"/>
          <w:bCs w:val="false"/>
          <w:color w:val="374151"/>
          <w:sz w:val="20"/>
          <w:szCs w:val="20"/>
        </w:rPr>
        <w:t xml:space="preserve">The in-tool reference guide covering all KPIs and signal logic in compact form. The document you are reading now is the extended version.</w:t>
      </w:r>
    </w:p>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6 — The Weekly Workflow</w:t>
      </w:r>
    </w:p>
    <w:p>
      <w:pPr>
        <w:spacing w:after="100"/>
      </w:pPr>
      <w:r>
        <w:rPr>
          <w:rFonts w:ascii="Arial" w:cs="Arial" w:eastAsia="Arial" w:hAnsi="Arial"/>
          <w:b w:val="false"/>
          <w:bCs w:val="false"/>
          <w:color w:val="374151"/>
          <w:sz w:val="20"/>
          <w:szCs w:val="20"/>
        </w:rPr>
        <w:t xml:space="preserve">Every week (typically Saturday or Sunday after Friday's market close), follow these steps to update the system and generate fresh signals.</w:t>
      </w:r>
    </w:p>
    <w:p>
      <w:pPr>
        <w:spacing w:before="80" w:after="0"/>
      </w:pPr>
      <w:r>
        <w:t xml:space="preserve"/>
      </w:r>
    </w:p>
    <w:p>
      <w:pPr>
        <w:pStyle w:val="Heading2"/>
        <w:spacing w:before="240" w:after="80"/>
      </w:pPr>
      <w:r>
        <w:rPr>
          <w:rFonts w:ascii="Arial" w:cs="Arial" w:eastAsia="Arial" w:hAnsi="Arial"/>
          <w:b/>
          <w:bCs/>
          <w:color w:val="1F6FEB"/>
          <w:sz w:val="26"/>
          <w:szCs w:val="26"/>
        </w:rPr>
        <w:t xml:space="preserve">Method A — LSEG Bulk Import (recommended)</w:t>
      </w:r>
    </w:p>
    <w:p>
      <w:pPr>
        <w:spacing w:after="100"/>
      </w:pPr>
      <w:r>
        <w:rPr>
          <w:rFonts w:ascii="Arial" w:cs="Arial" w:eastAsia="Arial" w:hAnsi="Arial"/>
          <w:b w:val="false"/>
          <w:bCs w:val="false"/>
          <w:color w:val="374151"/>
          <w:sz w:val="20"/>
          <w:szCs w:val="20"/>
        </w:rPr>
        <w:t xml:space="preserve">If you have access to LSEG (formerly Refinitiv) Datastream or Eikon, you can export weekly OHLCV data for multiple ETFs at once and import them in bulk.</w:t>
      </w:r>
    </w:p>
    <w:p>
      <w:pPr>
        <w:spacing w:before="80" w:after="0"/>
      </w:pPr>
      <w:r>
        <w:t xml:space="preserve"/>
      </w:r>
    </w:p>
    <w:p>
      <w:pPr>
        <w:pStyle w:val="ListParagraph"/>
        <w:numPr>
          <w:ilvl w:val="0"/>
          <w:numId w:val="3"/>
        </w:numPr>
        <w:spacing w:after="80"/>
      </w:pPr>
      <w:r>
        <w:rPr>
          <w:rFonts w:ascii="Arial" w:cs="Arial" w:eastAsia="Arial" w:hAnsi="Arial"/>
          <w:color w:val="374151"/>
          <w:sz w:val="20"/>
          <w:szCs w:val="20"/>
        </w:rPr>
        <w:t xml:space="preserve">Log into LSEG Datastream or Eikon.</w:t>
      </w:r>
    </w:p>
    <w:p>
      <w:pPr>
        <w:pStyle w:val="ListParagraph"/>
        <w:numPr>
          <w:ilvl w:val="0"/>
          <w:numId w:val="3"/>
        </w:numPr>
        <w:spacing w:after="80"/>
      </w:pPr>
      <w:r>
        <w:rPr>
          <w:rFonts w:ascii="Arial" w:cs="Arial" w:eastAsia="Arial" w:hAnsi="Arial"/>
          <w:color w:val="374151"/>
          <w:sz w:val="20"/>
          <w:szCs w:val="20"/>
        </w:rPr>
        <w:t xml:space="preserve">Run a weekly OHLCV export for your ETF universe. The export must contain columns: Exchange Date, Open, High, Low, Close, Volume.</w:t>
      </w:r>
    </w:p>
    <w:p>
      <w:pPr>
        <w:pStyle w:val="ListParagraph"/>
        <w:numPr>
          <w:ilvl w:val="0"/>
          <w:numId w:val="3"/>
        </w:numPr>
        <w:spacing w:after="80"/>
      </w:pPr>
      <w:r>
        <w:rPr>
          <w:rFonts w:ascii="Arial" w:cs="Arial" w:eastAsia="Arial" w:hAnsi="Arial"/>
          <w:color w:val="374151"/>
          <w:sz w:val="20"/>
          <w:szCs w:val="20"/>
        </w:rPr>
        <w:t xml:space="preserve">Save the export as an Excel file (.xlsx).</w:t>
      </w:r>
    </w:p>
    <w:p>
      <w:pPr>
        <w:pStyle w:val="ListParagraph"/>
        <w:numPr>
          <w:ilvl w:val="0"/>
          <w:numId w:val="3"/>
        </w:numPr>
        <w:spacing w:after="80"/>
      </w:pPr>
      <w:r>
        <w:rPr>
          <w:rFonts w:ascii="Arial" w:cs="Arial" w:eastAsia="Arial" w:hAnsi="Arial"/>
          <w:color w:val="374151"/>
          <w:sz w:val="20"/>
          <w:szCs w:val="20"/>
        </w:rPr>
        <w:t xml:space="preserve">In Footprints, go to Data Entry.</w:t>
      </w:r>
    </w:p>
    <w:p>
      <w:pPr>
        <w:pStyle w:val="ListParagraph"/>
        <w:numPr>
          <w:ilvl w:val="0"/>
          <w:numId w:val="3"/>
        </w:numPr>
        <w:spacing w:after="80"/>
      </w:pPr>
      <w:r>
        <w:rPr>
          <w:rFonts w:ascii="Arial" w:cs="Arial" w:eastAsia="Arial" w:hAnsi="Arial"/>
          <w:color w:val="374151"/>
          <w:sz w:val="20"/>
          <w:szCs w:val="20"/>
        </w:rPr>
        <w:t xml:space="preserve">In the  Import from LSEG  section, enter the ticker and select the file, then click Import. Repeat for each ticker, or if your export contains one ticker per file, import one at a time.</w:t>
      </w:r>
    </w:p>
    <w:p>
      <w:pPr>
        <w:pStyle w:val="ListParagraph"/>
        <w:numPr>
          <w:ilvl w:val="0"/>
          <w:numId w:val="3"/>
        </w:numPr>
        <w:spacing w:after="80"/>
      </w:pPr>
      <w:r>
        <w:rPr>
          <w:rFonts w:ascii="Arial" w:cs="Arial" w:eastAsia="Arial" w:hAnsi="Arial"/>
          <w:color w:val="374151"/>
          <w:sz w:val="20"/>
          <w:szCs w:val="20"/>
        </w:rPr>
        <w:t xml:space="preserve">After all imports, click  Recompute Signals. The model runs across the full universe and all signals update.</w:t>
      </w:r>
    </w:p>
    <w:p>
      <w:pPr>
        <w:pStyle w:val="ListParagraph"/>
        <w:numPr>
          <w:ilvl w:val="0"/>
          <w:numId w:val="3"/>
        </w:numPr>
        <w:spacing w:after="80"/>
      </w:pPr>
      <w:r>
        <w:rPr>
          <w:rFonts w:ascii="Arial" w:cs="Arial" w:eastAsia="Arial" w:hAnsi="Arial"/>
          <w:color w:val="374151"/>
          <w:sz w:val="20"/>
          <w:szCs w:val="20"/>
        </w:rPr>
        <w:t xml:space="preserve">Go to the Dashboard to review the results.</w:t>
      </w:r>
    </w:p>
    <w:p>
      <w:pPr>
        <w:spacing w:before="80" w:after="0"/>
      </w:pPr>
      <w:r>
        <w:t xml:space="preserve"/>
      </w:r>
    </w:p>
    <w:p>
      <w:pPr>
        <w:pStyle w:val="Heading2"/>
        <w:spacing w:before="240" w:after="80"/>
      </w:pPr>
      <w:r>
        <w:rPr>
          <w:rFonts w:ascii="Arial" w:cs="Arial" w:eastAsia="Arial" w:hAnsi="Arial"/>
          <w:b/>
          <w:bCs/>
          <w:color w:val="1F6FEB"/>
          <w:sz w:val="26"/>
          <w:szCs w:val="26"/>
        </w:rPr>
        <w:t xml:space="preserve">Method B — Manual Entry</w:t>
      </w:r>
    </w:p>
    <w:p>
      <w:pPr>
        <w:spacing w:after="100"/>
      </w:pPr>
      <w:r>
        <w:rPr>
          <w:rFonts w:ascii="Arial" w:cs="Arial" w:eastAsia="Arial" w:hAnsi="Arial"/>
          <w:b w:val="false"/>
          <w:bCs w:val="false"/>
          <w:color w:val="374151"/>
          <w:sz w:val="20"/>
          <w:szCs w:val="20"/>
        </w:rPr>
        <w:t xml:space="preserve">If you do not have LSEG access, enter prices manually from any data source (Yahoo Finance, Google Finance, your broker).</w:t>
      </w:r>
    </w:p>
    <w:p>
      <w:pPr>
        <w:spacing w:before="80" w:after="0"/>
      </w:pPr>
      <w:r>
        <w:t xml:space="preserve"/>
      </w:r>
    </w:p>
    <w:p>
      <w:pPr>
        <w:pStyle w:val="ListParagraph"/>
        <w:numPr>
          <w:ilvl w:val="0"/>
          <w:numId w:val="3"/>
        </w:numPr>
        <w:spacing w:after="80"/>
      </w:pPr>
      <w:r>
        <w:rPr>
          <w:rFonts w:ascii="Arial" w:cs="Arial" w:eastAsia="Arial" w:hAnsi="Arial"/>
          <w:color w:val="374151"/>
          <w:sz w:val="20"/>
          <w:szCs w:val="20"/>
        </w:rPr>
        <w:t xml:space="preserve">Go to Data Entry.</w:t>
      </w:r>
    </w:p>
    <w:p>
      <w:pPr>
        <w:pStyle w:val="ListParagraph"/>
        <w:numPr>
          <w:ilvl w:val="0"/>
          <w:numId w:val="3"/>
        </w:numPr>
        <w:spacing w:after="80"/>
      </w:pPr>
      <w:r>
        <w:rPr>
          <w:rFonts w:ascii="Arial" w:cs="Arial" w:eastAsia="Arial" w:hAnsi="Arial"/>
          <w:color w:val="374151"/>
          <w:sz w:val="20"/>
          <w:szCs w:val="20"/>
        </w:rPr>
        <w:t xml:space="preserve">Set the  Week ending date  to the most recent Friday.</w:t>
      </w:r>
    </w:p>
    <w:p>
      <w:pPr>
        <w:pStyle w:val="ListParagraph"/>
        <w:numPr>
          <w:ilvl w:val="0"/>
          <w:numId w:val="3"/>
        </w:numPr>
        <w:spacing w:after="80"/>
      </w:pPr>
      <w:r>
        <w:rPr>
          <w:rFonts w:ascii="Arial" w:cs="Arial" w:eastAsia="Arial" w:hAnsi="Arial"/>
          <w:color w:val="374151"/>
          <w:sz w:val="20"/>
          <w:szCs w:val="20"/>
        </w:rPr>
        <w:t xml:space="preserve">For each ETF in the list, enter the Close price. Open, High, Low, and Volume are optional but improve signal quality (particularly the Pressure calculation, which requires High and Low).</w:t>
      </w:r>
    </w:p>
    <w:p>
      <w:pPr>
        <w:pStyle w:val="ListParagraph"/>
        <w:numPr>
          <w:ilvl w:val="0"/>
          <w:numId w:val="3"/>
        </w:numPr>
        <w:spacing w:after="80"/>
      </w:pPr>
      <w:r>
        <w:rPr>
          <w:rFonts w:ascii="Arial" w:cs="Arial" w:eastAsia="Arial" w:hAnsi="Arial"/>
          <w:color w:val="374151"/>
          <w:sz w:val="20"/>
          <w:szCs w:val="20"/>
        </w:rPr>
        <w:t xml:space="preserve">Click  Save Prices.</w:t>
      </w:r>
    </w:p>
    <w:p>
      <w:pPr>
        <w:pStyle w:val="ListParagraph"/>
        <w:numPr>
          <w:ilvl w:val="0"/>
          <w:numId w:val="3"/>
        </w:numPr>
        <w:spacing w:after="80"/>
      </w:pPr>
      <w:r>
        <w:rPr>
          <w:rFonts w:ascii="Arial" w:cs="Arial" w:eastAsia="Arial" w:hAnsi="Arial"/>
          <w:color w:val="374151"/>
          <w:sz w:val="20"/>
          <w:szCs w:val="20"/>
        </w:rPr>
        <w:t xml:space="preserve">Click  Recompute Signals.</w:t>
      </w:r>
    </w:p>
    <w:p>
      <w:pPr>
        <w:pStyle w:val="ListParagraph"/>
        <w:numPr>
          <w:ilvl w:val="0"/>
          <w:numId w:val="3"/>
        </w:numPr>
        <w:spacing w:after="80"/>
      </w:pPr>
      <w:r>
        <w:rPr>
          <w:rFonts w:ascii="Arial" w:cs="Arial" w:eastAsia="Arial" w:hAnsi="Arial"/>
          <w:color w:val="374151"/>
          <w:sz w:val="20"/>
          <w:szCs w:val="20"/>
        </w:rPr>
        <w:t xml:space="preserve">Review the Dashboard.</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B45309" w:val="clear"/>
          </w:tcPr>
          <w:p>
            <w:r>
              <w:t xml:space="preserve"/>
            </w:r>
          </w:p>
        </w:tc>
        <w:tc>
          <w:tcPr>
            <w:tcW w:type="dxa" w:w="8800"/>
            <w:tcBorders>
              <w:top w:val="none" w:color="FFFFFF" w:sz="0"/>
              <w:left w:val="none" w:color="FFFFFF" w:sz="0"/>
              <w:bottom w:val="none" w:color="FFFFFF" w:sz="0"/>
              <w:right w:val="none" w:color="FFFFFF" w:sz="0"/>
            </w:tcBorders>
            <w:shd w:fill="FFFBEB" w:val="clear"/>
            <w:tcMar>
              <w:top w:type="dxa" w:w="80"/>
              <w:left w:type="dxa" w:w="140"/>
              <w:bottom w:type="dxa" w:w="80"/>
              <w:right w:type="dxa" w:w="120"/>
            </w:tcMar>
          </w:tcPr>
          <w:p>
            <w:pPr>
              <w:spacing w:after="0"/>
            </w:pPr>
            <w:r>
              <w:rPr>
                <w:rFonts w:ascii="Arial" w:cs="Arial" w:eastAsia="Arial" w:hAnsi="Arial"/>
                <w:color w:val="1E3A5F"/>
                <w:sz w:val="19"/>
                <w:szCs w:val="19"/>
              </w:rPr>
              <w:t xml:space="preserve">GBp vs GBP: Many LSE ETFs quote prices in GBp (pence), not GBP (pounds). If you are entering prices manually from your broker, check whether prices are shown in pence. If so, divide by 100 before entering. The system expects all prices in pounds. Incorrect entry is the most common data error.</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Method C — Excel Template</w:t>
      </w:r>
    </w:p>
    <w:p>
      <w:pPr>
        <w:spacing w:after="100"/>
      </w:pPr>
      <w:r>
        <w:rPr>
          <w:rFonts w:ascii="Arial" w:cs="Arial" w:eastAsia="Arial" w:hAnsi="Arial"/>
          <w:b w:val="false"/>
          <w:bCs w:val="false"/>
          <w:color w:val="374151"/>
          <w:sz w:val="20"/>
          <w:szCs w:val="20"/>
        </w:rPr>
        <w:t xml:space="preserve">For users who prefer to work in Excel:</w:t>
      </w:r>
    </w:p>
    <w:p>
      <w:pPr>
        <w:pStyle w:val="ListParagraph"/>
        <w:numPr>
          <w:ilvl w:val="0"/>
          <w:numId w:val="3"/>
        </w:numPr>
        <w:spacing w:after="80"/>
      </w:pPr>
      <w:r>
        <w:rPr>
          <w:rFonts w:ascii="Arial" w:cs="Arial" w:eastAsia="Arial" w:hAnsi="Arial"/>
          <w:color w:val="374151"/>
          <w:sz w:val="20"/>
          <w:szCs w:val="20"/>
        </w:rPr>
        <w:t xml:space="preserve">Go to Data Entry and click  Export Template. An Excel file downloads with all active ETFs listed.</w:t>
      </w:r>
    </w:p>
    <w:p>
      <w:pPr>
        <w:pStyle w:val="ListParagraph"/>
        <w:numPr>
          <w:ilvl w:val="0"/>
          <w:numId w:val="3"/>
        </w:numPr>
        <w:spacing w:after="80"/>
      </w:pPr>
      <w:r>
        <w:rPr>
          <w:rFonts w:ascii="Arial" w:cs="Arial" w:eastAsia="Arial" w:hAnsi="Arial"/>
          <w:color w:val="374151"/>
          <w:sz w:val="20"/>
          <w:szCs w:val="20"/>
        </w:rPr>
        <w:t xml:space="preserve">Fill in the Close column (and optionally Open, High, Low, Volume) for each ETF.</w:t>
      </w:r>
    </w:p>
    <w:p>
      <w:pPr>
        <w:pStyle w:val="ListParagraph"/>
        <w:numPr>
          <w:ilvl w:val="0"/>
          <w:numId w:val="3"/>
        </w:numPr>
        <w:spacing w:after="80"/>
      </w:pPr>
      <w:r>
        <w:rPr>
          <w:rFonts w:ascii="Arial" w:cs="Arial" w:eastAsia="Arial" w:hAnsi="Arial"/>
          <w:color w:val="374151"/>
          <w:sz w:val="20"/>
          <w:szCs w:val="20"/>
        </w:rPr>
        <w:t xml:space="preserve">Save the file.</w:t>
      </w:r>
    </w:p>
    <w:p>
      <w:pPr>
        <w:pStyle w:val="ListParagraph"/>
        <w:numPr>
          <w:ilvl w:val="0"/>
          <w:numId w:val="3"/>
        </w:numPr>
        <w:spacing w:after="80"/>
      </w:pPr>
      <w:r>
        <w:rPr>
          <w:rFonts w:ascii="Arial" w:cs="Arial" w:eastAsia="Arial" w:hAnsi="Arial"/>
          <w:color w:val="374151"/>
          <w:sz w:val="20"/>
          <w:szCs w:val="20"/>
        </w:rPr>
        <w:t xml:space="preserve">Go back to Data Entry and use  Import Template  to upload the completed file.</w:t>
      </w:r>
    </w:p>
    <w:p>
      <w:pPr>
        <w:pStyle w:val="ListParagraph"/>
        <w:numPr>
          <w:ilvl w:val="0"/>
          <w:numId w:val="3"/>
        </w:numPr>
        <w:spacing w:after="80"/>
      </w:pPr>
      <w:r>
        <w:rPr>
          <w:rFonts w:ascii="Arial" w:cs="Arial" w:eastAsia="Arial" w:hAnsi="Arial"/>
          <w:color w:val="374151"/>
          <w:sz w:val="20"/>
          <w:szCs w:val="20"/>
        </w:rPr>
        <w:t xml:space="preserve">Prices are loaded into the entry form. Review, then click  Save Prices  and  Recompute.</w:t>
      </w:r>
    </w:p>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7 — Managing ETFs and Pension Funds (Admin)</w:t>
      </w:r>
    </w:p>
    <w:p>
      <w:pPr>
        <w:pStyle w:val="Heading2"/>
        <w:spacing w:before="240" w:after="80"/>
      </w:pPr>
      <w:r>
        <w:rPr>
          <w:rFonts w:ascii="Arial" w:cs="Arial" w:eastAsia="Arial" w:hAnsi="Arial"/>
          <w:b/>
          <w:bCs/>
          <w:color w:val="1F6FEB"/>
          <w:sz w:val="26"/>
          <w:szCs w:val="26"/>
        </w:rPr>
        <w:t xml:space="preserve">Adding a New ETF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tcBorders>
              <w:top w:val="single" w:color="D1D5DB" w:sz="1"/>
              <w:left w:val="single" w:color="D1D5DB" w:sz="1"/>
              <w:bottom w:val="single" w:color="D1D5DB" w:sz="1"/>
              <w:right w:val="single" w:color="D1D5DB" w:sz="1"/>
            </w:tcBorders>
            <w:shd w:fill="1F6FE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300"/>
            <w:tcBorders>
              <w:top w:val="single" w:color="D1D5DB" w:sz="1"/>
              <w:left w:val="single" w:color="D1D5DB" w:sz="1"/>
              <w:bottom w:val="single" w:color="D1D5DB" w:sz="1"/>
              <w:right w:val="single" w:color="D1D5DB" w:sz="1"/>
            </w:tcBorders>
            <w:tcMar>
              <w:top w:type="dxa" w:w="80"/>
              <w:left w:type="dxa" w:w="140"/>
              <w:bottom w:type="dxa" w:w="80"/>
              <w:right w:type="dxa" w:w="120"/>
            </w:tcMar>
          </w:tcPr>
          <w:p>
            <w:pPr>
              <w:spacing w:after="40"/>
            </w:pPr>
            <w:r>
              <w:rPr>
                <w:rFonts w:ascii="Arial" w:cs="Arial" w:eastAsia="Arial" w:hAnsi="Arial"/>
                <w:b/>
                <w:bCs/>
                <w:color w:val="111827"/>
                <w:sz w:val="20"/>
                <w:szCs w:val="20"/>
              </w:rPr>
              <w:t xml:space="preserve">Go to Admin</w:t>
            </w:r>
          </w:p>
          <w:p>
            <w:pPr>
              <w:spacing w:after="0"/>
            </w:pPr>
            <w:r>
              <w:rPr>
                <w:rFonts w:ascii="Arial" w:cs="Arial" w:eastAsia="Arial" w:hAnsi="Arial"/>
                <w:color w:val="374151"/>
                <w:sz w:val="19"/>
                <w:szCs w:val="19"/>
              </w:rPr>
              <w:t xml:space="preserve">Click Admin in the navigation bar.</w:t>
            </w:r>
          </w:p>
        </w:tc>
      </w:tr>
      <w:tr>
        <w:tc>
          <w:tcPr>
            <w:tcW w:type="dxa" w:w="700"/>
            <w:tcBorders>
              <w:top w:val="single" w:color="D1D5DB" w:sz="1"/>
              <w:left w:val="single" w:color="D1D5DB" w:sz="1"/>
              <w:bottom w:val="single" w:color="D1D5DB" w:sz="1"/>
              <w:right w:val="single" w:color="D1D5DB" w:sz="1"/>
            </w:tcBorders>
            <w:shd w:fill="1F6FE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300"/>
            <w:tcBorders>
              <w:top w:val="single" w:color="D1D5DB" w:sz="1"/>
              <w:left w:val="single" w:color="D1D5DB" w:sz="1"/>
              <w:bottom w:val="single" w:color="D1D5DB" w:sz="1"/>
              <w:right w:val="single" w:color="D1D5DB" w:sz="1"/>
            </w:tcBorders>
            <w:tcMar>
              <w:top w:type="dxa" w:w="80"/>
              <w:left w:type="dxa" w:w="140"/>
              <w:bottom w:type="dxa" w:w="80"/>
              <w:right w:type="dxa" w:w="120"/>
            </w:tcMar>
          </w:tcPr>
          <w:p>
            <w:pPr>
              <w:spacing w:after="40"/>
            </w:pPr>
            <w:r>
              <w:rPr>
                <w:rFonts w:ascii="Arial" w:cs="Arial" w:eastAsia="Arial" w:hAnsi="Arial"/>
                <w:b/>
                <w:bCs/>
                <w:color w:val="111827"/>
                <w:sz w:val="20"/>
                <w:szCs w:val="20"/>
              </w:rPr>
              <w:t xml:space="preserve">Fill in the Add ETF form (left column)</w:t>
            </w:r>
          </w:p>
          <w:p>
            <w:pPr>
              <w:spacing w:after="0"/>
            </w:pPr>
            <w:r>
              <w:rPr>
                <w:rFonts w:ascii="Arial" w:cs="Arial" w:eastAsia="Arial" w:hAnsi="Arial"/>
                <w:color w:val="374151"/>
                <w:sz w:val="19"/>
                <w:szCs w:val="19"/>
              </w:rPr>
              <w:t xml:space="preserve">Enter: Ticker (e.g. VUSA.L — always include the .L suffix for LSE ETFs), Name (the full descriptive name), Sector (choose from the dropdown), Benchmark (leave as VWRP.L unless this ETF needs a different benchmark), Display Order (a number controlling its position in sorted views — use 99 if unsure).</w:t>
            </w:r>
          </w:p>
        </w:tc>
      </w:tr>
      <w:tr>
        <w:tc>
          <w:tcPr>
            <w:tcW w:type="dxa" w:w="700"/>
            <w:tcBorders>
              <w:top w:val="single" w:color="D1D5DB" w:sz="1"/>
              <w:left w:val="single" w:color="D1D5DB" w:sz="1"/>
              <w:bottom w:val="single" w:color="D1D5DB" w:sz="1"/>
              <w:right w:val="single" w:color="D1D5DB" w:sz="1"/>
            </w:tcBorders>
            <w:shd w:fill="1F6FE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8300"/>
            <w:tcBorders>
              <w:top w:val="single" w:color="D1D5DB" w:sz="1"/>
              <w:left w:val="single" w:color="D1D5DB" w:sz="1"/>
              <w:bottom w:val="single" w:color="D1D5DB" w:sz="1"/>
              <w:right w:val="single" w:color="D1D5DB" w:sz="1"/>
            </w:tcBorders>
            <w:tcMar>
              <w:top w:type="dxa" w:w="80"/>
              <w:left w:type="dxa" w:w="140"/>
              <w:bottom w:type="dxa" w:w="80"/>
              <w:right w:type="dxa" w:w="120"/>
            </w:tcMar>
          </w:tcPr>
          <w:p>
            <w:pPr>
              <w:spacing w:after="40"/>
            </w:pPr>
            <w:r>
              <w:rPr>
                <w:rFonts w:ascii="Arial" w:cs="Arial" w:eastAsia="Arial" w:hAnsi="Arial"/>
                <w:b/>
                <w:bCs/>
                <w:color w:val="111827"/>
                <w:sz w:val="20"/>
                <w:szCs w:val="20"/>
              </w:rPr>
              <w:t xml:space="preserve">Optionally attach historical price data</w:t>
            </w:r>
          </w:p>
          <w:p>
            <w:pPr>
              <w:spacing w:after="0"/>
            </w:pPr>
            <w:r>
              <w:rPr>
                <w:rFonts w:ascii="Arial" w:cs="Arial" w:eastAsia="Arial" w:hAnsi="Arial"/>
                <w:color w:val="374151"/>
                <w:sz w:val="19"/>
                <w:szCs w:val="19"/>
              </w:rPr>
              <w:t xml:space="preserve">If you have an LSEG export for this ETF's history, attach it using the LSEG file field. This pre-loads months or years of weekly data instantly. Without it, signals will only become available once you have entered enough weeks manually (minimum 21 weeks for RS calculations, 100 weeks for full confidence).</w:t>
            </w:r>
          </w:p>
        </w:tc>
      </w:tr>
      <w:tr>
        <w:tc>
          <w:tcPr>
            <w:tcW w:type="dxa" w:w="700"/>
            <w:tcBorders>
              <w:top w:val="single" w:color="D1D5DB" w:sz="1"/>
              <w:left w:val="single" w:color="D1D5DB" w:sz="1"/>
              <w:bottom w:val="single" w:color="D1D5DB" w:sz="1"/>
              <w:right w:val="single" w:color="D1D5DB" w:sz="1"/>
            </w:tcBorders>
            <w:shd w:fill="1F6FE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8300"/>
            <w:tcBorders>
              <w:top w:val="single" w:color="D1D5DB" w:sz="1"/>
              <w:left w:val="single" w:color="D1D5DB" w:sz="1"/>
              <w:bottom w:val="single" w:color="D1D5DB" w:sz="1"/>
              <w:right w:val="single" w:color="D1D5DB" w:sz="1"/>
            </w:tcBorders>
            <w:tcMar>
              <w:top w:type="dxa" w:w="80"/>
              <w:left w:type="dxa" w:w="140"/>
              <w:bottom w:type="dxa" w:w="80"/>
              <w:right w:type="dxa" w:w="120"/>
            </w:tcMar>
          </w:tcPr>
          <w:p>
            <w:pPr>
              <w:spacing w:after="40"/>
            </w:pPr>
            <w:r>
              <w:rPr>
                <w:rFonts w:ascii="Arial" w:cs="Arial" w:eastAsia="Arial" w:hAnsi="Arial"/>
                <w:b/>
                <w:bCs/>
                <w:color w:val="111827"/>
                <w:sz w:val="20"/>
                <w:szCs w:val="20"/>
              </w:rPr>
              <w:t xml:space="preserve">Click Add ETF</w:t>
            </w:r>
          </w:p>
          <w:p>
            <w:pPr>
              <w:spacing w:after="0"/>
            </w:pPr>
            <w:r>
              <w:rPr>
                <w:rFonts w:ascii="Arial" w:cs="Arial" w:eastAsia="Arial" w:hAnsi="Arial"/>
                <w:color w:val="374151"/>
                <w:sz w:val="19"/>
                <w:szCs w:val="19"/>
              </w:rPr>
              <w:t xml:space="preserve">The ETF appears in the universe tile grid on the right. It is immediately active and will appear on the Dashboard and Heatmap.</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Suspending an ETF</w:t>
      </w:r>
    </w:p>
    <w:p>
      <w:pPr>
        <w:spacing w:after="100"/>
      </w:pPr>
      <w:r>
        <w:rPr>
          <w:rFonts w:ascii="Arial" w:cs="Arial" w:eastAsia="Arial" w:hAnsi="Arial"/>
          <w:b w:val="false"/>
          <w:bCs w:val="false"/>
          <w:color w:val="374151"/>
          <w:sz w:val="20"/>
          <w:szCs w:val="20"/>
        </w:rPr>
        <w:t xml:space="preserve">Suspending an ETF keeps it in the database and retains all its price history, but excludes it from the weekly signal computation and from the Dashboard display. Use this when an ETF is temporarily unavailable (e.g. during a restructuring or merger) or when you want to pause monitoring without losing data.</w:t>
      </w:r>
    </w:p>
    <w:p>
      <w:pPr>
        <w:spacing w:before="80" w:after="0"/>
      </w:pPr>
      <w:r>
        <w:t xml:space="preserve"/>
      </w:r>
    </w:p>
    <w:p>
      <w:pPr>
        <w:pStyle w:val="ListParagraph"/>
        <w:numPr>
          <w:ilvl w:val="0"/>
          <w:numId w:val="3"/>
        </w:numPr>
        <w:spacing w:after="80"/>
      </w:pPr>
      <w:r>
        <w:rPr>
          <w:rFonts w:ascii="Arial" w:cs="Arial" w:eastAsia="Arial" w:hAnsi="Arial"/>
          <w:color w:val="374151"/>
          <w:sz w:val="20"/>
          <w:szCs w:val="20"/>
        </w:rPr>
        <w:t xml:space="preserve">Find the ETF tile in the ETF Universe grid on the Admin page.</w:t>
      </w:r>
    </w:p>
    <w:p>
      <w:pPr>
        <w:pStyle w:val="ListParagraph"/>
        <w:numPr>
          <w:ilvl w:val="0"/>
          <w:numId w:val="3"/>
        </w:numPr>
        <w:spacing w:after="80"/>
      </w:pPr>
      <w:r>
        <w:rPr>
          <w:rFonts w:ascii="Arial" w:cs="Arial" w:eastAsia="Arial" w:hAnsi="Arial"/>
          <w:color w:val="374151"/>
          <w:sz w:val="20"/>
          <w:szCs w:val="20"/>
        </w:rPr>
        <w:t xml:space="preserve">Click the  Suspend  button on the tile.</w:t>
      </w:r>
    </w:p>
    <w:p>
      <w:pPr>
        <w:pStyle w:val="ListParagraph"/>
        <w:numPr>
          <w:ilvl w:val="0"/>
          <w:numId w:val="3"/>
        </w:numPr>
        <w:spacing w:after="80"/>
      </w:pPr>
      <w:r>
        <w:rPr>
          <w:rFonts w:ascii="Arial" w:cs="Arial" w:eastAsia="Arial" w:hAnsi="Arial"/>
          <w:color w:val="374151"/>
          <w:sz w:val="20"/>
          <w:szCs w:val="20"/>
        </w:rPr>
        <w:t xml:space="preserve">The tile changes to a yellow border. The ETF disappears from the Dashboard.</w:t>
      </w:r>
    </w:p>
    <w:p>
      <w:pPr>
        <w:pStyle w:val="ListParagraph"/>
        <w:numPr>
          <w:ilvl w:val="0"/>
          <w:numId w:val="3"/>
        </w:numPr>
        <w:spacing w:after="80"/>
      </w:pPr>
      <w:r>
        <w:rPr>
          <w:rFonts w:ascii="Arial" w:cs="Arial" w:eastAsia="Arial" w:hAnsi="Arial"/>
          <w:color w:val="374151"/>
          <w:sz w:val="20"/>
          <w:szCs w:val="20"/>
        </w:rPr>
        <w:t xml:space="preserve">To reinstate it: click  Reinstate  on the same tile.</w:t>
      </w:r>
    </w:p>
    <w:p>
      <w:pPr>
        <w:spacing w:before="80" w:after="0"/>
      </w:pPr>
      <w:r>
        <w:t xml:space="preserve"/>
      </w:r>
    </w:p>
    <w:p>
      <w:pPr>
        <w:pStyle w:val="Heading2"/>
        <w:spacing w:before="240" w:after="80"/>
      </w:pPr>
      <w:r>
        <w:rPr>
          <w:rFonts w:ascii="Arial" w:cs="Arial" w:eastAsia="Arial" w:hAnsi="Arial"/>
          <w:b/>
          <w:bCs/>
          <w:color w:val="1F6FEB"/>
          <w:sz w:val="26"/>
          <w:szCs w:val="26"/>
        </w:rPr>
        <w:t xml:space="preserve">Excluding an ETF</w:t>
      </w:r>
    </w:p>
    <w:p>
      <w:pPr>
        <w:spacing w:after="100"/>
      </w:pPr>
      <w:r>
        <w:rPr>
          <w:rFonts w:ascii="Arial" w:cs="Arial" w:eastAsia="Arial" w:hAnsi="Arial"/>
          <w:b w:val="false"/>
          <w:bCs w:val="false"/>
          <w:color w:val="374151"/>
          <w:sz w:val="20"/>
          <w:szCs w:val="20"/>
        </w:rPr>
        <w:t xml:space="preserve">Excluding is stronger than suspending. An excluded ETF is completely removed from all views and calculations — it remains in the database but is treated as if it does not exist until re-included.</w:t>
      </w:r>
    </w:p>
    <w:p>
      <w:pPr>
        <w:pStyle w:val="ListParagraph"/>
        <w:numPr>
          <w:ilvl w:val="0"/>
          <w:numId w:val="3"/>
        </w:numPr>
        <w:spacing w:after="80"/>
      </w:pPr>
      <w:r>
        <w:rPr>
          <w:rFonts w:ascii="Arial" w:cs="Arial" w:eastAsia="Arial" w:hAnsi="Arial"/>
          <w:color w:val="374151"/>
          <w:sz w:val="20"/>
          <w:szCs w:val="20"/>
        </w:rPr>
        <w:t xml:space="preserve">Click  Exclude  on the ETF tile.</w:t>
      </w:r>
    </w:p>
    <w:p>
      <w:pPr>
        <w:pStyle w:val="ListParagraph"/>
        <w:numPr>
          <w:ilvl w:val="0"/>
          <w:numId w:val="3"/>
        </w:numPr>
        <w:spacing w:after="80"/>
      </w:pPr>
      <w:r>
        <w:rPr>
          <w:rFonts w:ascii="Arial" w:cs="Arial" w:eastAsia="Arial" w:hAnsi="Arial"/>
          <w:color w:val="374151"/>
          <w:sz w:val="20"/>
          <w:szCs w:val="20"/>
        </w:rPr>
        <w:t xml:space="preserve">The tile shows a grey border. The ETF is absent from all pages.</w:t>
      </w:r>
    </w:p>
    <w:p>
      <w:pPr>
        <w:pStyle w:val="ListParagraph"/>
        <w:numPr>
          <w:ilvl w:val="0"/>
          <w:numId w:val="3"/>
        </w:numPr>
        <w:spacing w:after="80"/>
      </w:pPr>
      <w:r>
        <w:rPr>
          <w:rFonts w:ascii="Arial" w:cs="Arial" w:eastAsia="Arial" w:hAnsi="Arial"/>
          <w:color w:val="374151"/>
          <w:sz w:val="20"/>
          <w:szCs w:val="20"/>
        </w:rPr>
        <w:t xml:space="preserve">To re-include: click  Include.</w:t>
      </w:r>
    </w:p>
    <w:p>
      <w:pPr>
        <w:spacing w:before="80" w:after="0"/>
      </w:pPr>
      <w:r>
        <w:t xml:space="preserve"/>
      </w:r>
    </w:p>
    <w:p>
      <w:pPr>
        <w:pStyle w:val="Heading2"/>
        <w:spacing w:before="240" w:after="80"/>
      </w:pPr>
      <w:r>
        <w:rPr>
          <w:rFonts w:ascii="Arial" w:cs="Arial" w:eastAsia="Arial" w:hAnsi="Arial"/>
          <w:b/>
          <w:bCs/>
          <w:color w:val="1F6FEB"/>
          <w:sz w:val="26"/>
          <w:szCs w:val="26"/>
        </w:rPr>
        <w:t xml:space="preserve">Adding a Pension Fund and Mapping Proxy ETFs</w:t>
      </w:r>
    </w:p>
    <w:p>
      <w:pPr>
        <w:spacing w:after="100"/>
      </w:pPr>
      <w:r>
        <w:rPr>
          <w:rFonts w:ascii="Arial" w:cs="Arial" w:eastAsia="Arial" w:hAnsi="Arial"/>
          <w:b w:val="false"/>
          <w:bCs w:val="false"/>
          <w:color w:val="374151"/>
          <w:sz w:val="20"/>
          <w:szCs w:val="20"/>
        </w:rPr>
        <w:t xml:space="preserve">The pension fund feature lets you map your L&amp;G (or other) pension fund choices to the LSE-traded ETFs in the universe. This allows the Dashboard and Heatmap pension fund filter to show only the relevant proxy ETFs for a given fund — making it easy to assess which fund option is strongest at any moment.</w:t>
      </w:r>
    </w:p>
    <w:p>
      <w:pPr>
        <w:spacing w:before="80" w:after="0"/>
      </w:pPr>
      <w:r>
        <w:t xml:space="preserve"/>
      </w:r>
    </w:p>
    <w:p>
      <w:pPr>
        <w:pStyle w:val="ListParagraph"/>
        <w:numPr>
          <w:ilvl w:val="0"/>
          <w:numId w:val="3"/>
        </w:numPr>
        <w:spacing w:after="80"/>
      </w:pPr>
      <w:r>
        <w:rPr>
          <w:rFonts w:ascii="Arial" w:cs="Arial" w:eastAsia="Arial" w:hAnsi="Arial"/>
          <w:color w:val="374151"/>
          <w:sz w:val="20"/>
          <w:szCs w:val="20"/>
        </w:rPr>
        <w:t xml:space="preserve">Scroll to the Pension Funds section on the Admin page.</w:t>
      </w:r>
    </w:p>
    <w:p>
      <w:pPr>
        <w:pStyle w:val="ListParagraph"/>
        <w:numPr>
          <w:ilvl w:val="0"/>
          <w:numId w:val="3"/>
        </w:numPr>
        <w:spacing w:after="80"/>
      </w:pPr>
      <w:r>
        <w:rPr>
          <w:rFonts w:ascii="Arial" w:cs="Arial" w:eastAsia="Arial" w:hAnsi="Arial"/>
          <w:color w:val="374151"/>
          <w:sz w:val="20"/>
          <w:szCs w:val="20"/>
        </w:rPr>
        <w:t xml:space="preserve">In the Add Fund form: enter the fund's short code (e.g. GLOB-EQ) and its full name (e.g. L&amp;G PMC Global Equity Fixed Weights Fund). Click  Add Fund.</w:t>
      </w:r>
    </w:p>
    <w:p>
      <w:pPr>
        <w:pStyle w:val="ListParagraph"/>
        <w:numPr>
          <w:ilvl w:val="0"/>
          <w:numId w:val="3"/>
        </w:numPr>
        <w:spacing w:after="80"/>
      </w:pPr>
      <w:r>
        <w:rPr>
          <w:rFonts w:ascii="Arial" w:cs="Arial" w:eastAsia="Arial" w:hAnsi="Arial"/>
          <w:color w:val="374151"/>
          <w:sz w:val="20"/>
          <w:szCs w:val="20"/>
        </w:rPr>
        <w:t xml:space="preserve">The new fund tile appears in the Pension Funds grid on the right.</w:t>
      </w:r>
    </w:p>
    <w:p>
      <w:pPr>
        <w:pStyle w:val="ListParagraph"/>
        <w:numPr>
          <w:ilvl w:val="0"/>
          <w:numId w:val="3"/>
        </w:numPr>
        <w:spacing w:after="80"/>
      </w:pPr>
      <w:r>
        <w:rPr>
          <w:rFonts w:ascii="Arial" w:cs="Arial" w:eastAsia="Arial" w:hAnsi="Arial"/>
          <w:color w:val="374151"/>
          <w:sz w:val="20"/>
          <w:szCs w:val="20"/>
        </w:rPr>
        <w:t xml:space="preserve">To add proxy ETFs: on the fund tile, use the dropdown selector to pick an ETF from your universe, then click the + button. Repeat for each proxy ETF.</w:t>
      </w:r>
    </w:p>
    <w:p>
      <w:pPr>
        <w:pStyle w:val="ListParagraph"/>
        <w:numPr>
          <w:ilvl w:val="0"/>
          <w:numId w:val="3"/>
        </w:numPr>
        <w:spacing w:after="80"/>
      </w:pPr>
      <w:r>
        <w:rPr>
          <w:rFonts w:ascii="Arial" w:cs="Arial" w:eastAsia="Arial" w:hAnsi="Arial"/>
          <w:color w:val="374151"/>
          <w:sz w:val="20"/>
          <w:szCs w:val="20"/>
        </w:rPr>
        <w:t xml:space="preserve">To remove a proxy: hover over the proxy chip on the tile. It turns red. Click it to remove.</w:t>
      </w:r>
    </w:p>
    <w:p>
      <w:pPr>
        <w:spacing w:before="80" w:after="0"/>
      </w:pPr>
      <w:r>
        <w:t xml:space="preserve"/>
      </w:r>
    </w:p>
    <w:p>
      <w:pPr>
        <w:pStyle w:val="Heading2"/>
        <w:spacing w:before="240" w:after="80"/>
      </w:pPr>
      <w:r>
        <w:rPr>
          <w:rFonts w:ascii="Arial" w:cs="Arial" w:eastAsia="Arial" w:hAnsi="Arial"/>
          <w:b/>
          <w:bCs/>
          <w:color w:val="1F6FEB"/>
          <w:sz w:val="26"/>
          <w:szCs w:val="26"/>
        </w:rPr>
        <w:t xml:space="preserve">Filling Price History Gaps</w:t>
      </w:r>
    </w:p>
    <w:p>
      <w:pPr>
        <w:spacing w:after="100"/>
      </w:pPr>
      <w:r>
        <w:rPr>
          <w:rFonts w:ascii="Arial" w:cs="Arial" w:eastAsia="Arial" w:hAnsi="Arial"/>
          <w:b w:val="false"/>
          <w:bCs w:val="false"/>
          <w:color w:val="374151"/>
          <w:sz w:val="20"/>
          <w:szCs w:val="20"/>
        </w:rPr>
        <w:t xml:space="preserve">If an ETF's price history has gaps (e.g. you added it recently but have an old LSEG file covering earlier dates), you can back-fill using the gap import feature on the Admin page. The system only inserts rows for dates not already in the database — it will not overwrite existing data.</w:t>
      </w:r>
    </w:p>
    <w:p>
      <w:pPr>
        <w:spacing w:before="80" w:after="0"/>
      </w:pPr>
      <w:r>
        <w:t xml:space="preserve"/>
      </w:r>
    </w:p>
    <w:p>
      <w:pPr>
        <w:pStyle w:val="ListParagraph"/>
        <w:numPr>
          <w:ilvl w:val="0"/>
          <w:numId w:val="3"/>
        </w:numPr>
        <w:spacing w:after="80"/>
      </w:pPr>
      <w:r>
        <w:rPr>
          <w:rFonts w:ascii="Arial" w:cs="Arial" w:eastAsia="Arial" w:hAnsi="Arial"/>
          <w:color w:val="374151"/>
          <w:sz w:val="20"/>
          <w:szCs w:val="20"/>
        </w:rPr>
        <w:t xml:space="preserve">On the Admin page, find the ETF tile.</w:t>
      </w:r>
    </w:p>
    <w:p>
      <w:pPr>
        <w:pStyle w:val="ListParagraph"/>
        <w:numPr>
          <w:ilvl w:val="0"/>
          <w:numId w:val="3"/>
        </w:numPr>
        <w:spacing w:after="80"/>
      </w:pPr>
      <w:r>
        <w:rPr>
          <w:rFonts w:ascii="Arial" w:cs="Arial" w:eastAsia="Arial" w:hAnsi="Arial"/>
          <w:color w:val="374151"/>
          <w:sz w:val="20"/>
          <w:szCs w:val="20"/>
        </w:rPr>
        <w:t xml:space="preserve">Click  Gap Fill  (this option appears in the tile actions, or use the Data Entry LSEG import which also back-fills gaps automatically).</w:t>
      </w:r>
    </w:p>
    <w:p>
      <w:pPr>
        <w:pStyle w:val="ListParagraph"/>
        <w:numPr>
          <w:ilvl w:val="0"/>
          <w:numId w:val="3"/>
        </w:numPr>
        <w:spacing w:after="80"/>
      </w:pPr>
      <w:r>
        <w:rPr>
          <w:rFonts w:ascii="Arial" w:cs="Arial" w:eastAsia="Arial" w:hAnsi="Arial"/>
          <w:color w:val="374151"/>
          <w:sz w:val="20"/>
          <w:szCs w:val="20"/>
        </w:rPr>
        <w:t xml:space="preserve">Select the LSEG history file for that ETF.</w:t>
      </w:r>
    </w:p>
    <w:p>
      <w:pPr>
        <w:pStyle w:val="ListParagraph"/>
        <w:numPr>
          <w:ilvl w:val="0"/>
          <w:numId w:val="3"/>
        </w:numPr>
        <w:spacing w:after="80"/>
      </w:pPr>
      <w:r>
        <w:rPr>
          <w:rFonts w:ascii="Arial" w:cs="Arial" w:eastAsia="Arial" w:hAnsi="Arial"/>
          <w:color w:val="374151"/>
          <w:sz w:val="20"/>
          <w:szCs w:val="20"/>
        </w:rPr>
        <w:t xml:space="preserve">Click Import. The system inserts missing rows only.</w:t>
      </w:r>
    </w:p>
    <w:p>
      <w:pPr>
        <w:pStyle w:val="ListParagraph"/>
        <w:numPr>
          <w:ilvl w:val="0"/>
          <w:numId w:val="3"/>
        </w:numPr>
        <w:spacing w:after="80"/>
      </w:pPr>
      <w:r>
        <w:rPr>
          <w:rFonts w:ascii="Arial" w:cs="Arial" w:eastAsia="Arial" w:hAnsi="Arial"/>
          <w:color w:val="374151"/>
          <w:sz w:val="20"/>
          <w:szCs w:val="20"/>
        </w:rPr>
        <w:t xml:space="preserve">Recompute signals after the import.</w:t>
      </w:r>
    </w:p>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8 — Reading and Acting on Signals</w:t>
      </w:r>
    </w:p>
    <w:p>
      <w:pPr>
        <w:pStyle w:val="Heading2"/>
        <w:spacing w:before="240" w:after="80"/>
      </w:pPr>
      <w:r>
        <w:rPr>
          <w:rFonts w:ascii="Arial" w:cs="Arial" w:eastAsia="Arial" w:hAnsi="Arial"/>
          <w:b/>
          <w:bCs/>
          <w:color w:val="1F6FEB"/>
          <w:sz w:val="26"/>
          <w:szCs w:val="26"/>
        </w:rPr>
        <w:t xml:space="preserve">The Weekly Review Process</w:t>
      </w:r>
    </w:p>
    <w:p>
      <w:pPr>
        <w:spacing w:after="100"/>
      </w:pPr>
      <w:r>
        <w:rPr>
          <w:rFonts w:ascii="Arial" w:cs="Arial" w:eastAsia="Arial" w:hAnsi="Arial"/>
          <w:b w:val="false"/>
          <w:bCs w:val="false"/>
          <w:color w:val="374151"/>
          <w:sz w:val="20"/>
          <w:szCs w:val="20"/>
        </w:rPr>
        <w:t xml:space="preserve">After entering prices and recomputing, follow this sequence:</w:t>
      </w:r>
    </w:p>
    <w:p>
      <w:pPr>
        <w:spacing w:before="80" w:after="0"/>
      </w:pPr>
      <w:r>
        <w:t xml:space="preserve"/>
      </w:r>
    </w:p>
    <w:p>
      <w:pPr>
        <w:pStyle w:val="ListParagraph"/>
        <w:numPr>
          <w:ilvl w:val="0"/>
          <w:numId w:val="3"/>
        </w:numPr>
        <w:spacing w:after="80"/>
      </w:pPr>
      <w:r>
        <w:rPr>
          <w:rFonts w:ascii="Arial" w:cs="Arial" w:eastAsia="Arial" w:hAnsi="Arial"/>
          <w:color w:val="374151"/>
          <w:sz w:val="20"/>
          <w:szCs w:val="20"/>
        </w:rPr>
        <w:t xml:space="preserve">Dashboard — check the signal filter chips at the top. How many STRONG BUYs? How many EXITs? What changed from last week?</w:t>
      </w:r>
    </w:p>
    <w:p>
      <w:pPr>
        <w:pStyle w:val="ListParagraph"/>
        <w:numPr>
          <w:ilvl w:val="0"/>
          <w:numId w:val="3"/>
        </w:numPr>
        <w:spacing w:after="80"/>
      </w:pPr>
      <w:r>
        <w:rPr>
          <w:rFonts w:ascii="Arial" w:cs="Arial" w:eastAsia="Arial" w:hAnsi="Arial"/>
          <w:color w:val="374151"/>
          <w:sz w:val="20"/>
          <w:szCs w:val="20"/>
        </w:rPr>
        <w:t xml:space="preserve">For every ETF that changed signal from last week — open its detail card. Read the signal reason. Has pressure turned positive? Has the rotation score crossed a threshold?</w:t>
      </w:r>
    </w:p>
    <w:p>
      <w:pPr>
        <w:pStyle w:val="ListParagraph"/>
        <w:numPr>
          <w:ilvl w:val="0"/>
          <w:numId w:val="3"/>
        </w:numPr>
        <w:spacing w:after="80"/>
      </w:pPr>
      <w:r>
        <w:rPr>
          <w:rFonts w:ascii="Arial" w:cs="Arial" w:eastAsia="Arial" w:hAnsi="Arial"/>
          <w:color w:val="374151"/>
          <w:sz w:val="20"/>
          <w:szCs w:val="20"/>
        </w:rPr>
        <w:t xml:space="preserve">For EARLY ACCUMULATION signals — this is the most actionable early signal. Check: is turnover expanding (ratio &gt; 1.0)? Is RS acceleration positive? Both together with a pressure flip is the highest-conviction early entry signal.</w:t>
      </w:r>
    </w:p>
    <w:p>
      <w:pPr>
        <w:pStyle w:val="ListParagraph"/>
        <w:numPr>
          <w:ilvl w:val="0"/>
          <w:numId w:val="3"/>
        </w:numPr>
        <w:spacing w:after="80"/>
      </w:pPr>
      <w:r>
        <w:rPr>
          <w:rFonts w:ascii="Arial" w:cs="Arial" w:eastAsia="Arial" w:hAnsi="Arial"/>
          <w:color w:val="374151"/>
          <w:sz w:val="20"/>
          <w:szCs w:val="20"/>
        </w:rPr>
        <w:t xml:space="preserve">Heatmap — sort by ROTATION descending. Note the top 10. Are they concentrated in one sector? If defence ETFs dominate the top 10, consider whether to rotate toward that sector.</w:t>
      </w:r>
    </w:p>
    <w:p>
      <w:pPr>
        <w:pStyle w:val="ListParagraph"/>
        <w:numPr>
          <w:ilvl w:val="0"/>
          <w:numId w:val="3"/>
        </w:numPr>
        <w:spacing w:after="80"/>
      </w:pPr>
      <w:r>
        <w:rPr>
          <w:rFonts w:ascii="Arial" w:cs="Arial" w:eastAsia="Arial" w:hAnsi="Arial"/>
          <w:color w:val="374151"/>
          <w:sz w:val="20"/>
          <w:szCs w:val="20"/>
        </w:rPr>
        <w:t xml:space="preserve">History — for any ETF you are considering acting on, check how many consecutive weeks it has been at its current signal. A fresh STRONG BUY (1 week) is lower conviction than a persistent one (8 weeks).</w:t>
      </w:r>
    </w:p>
    <w:p>
      <w:pPr>
        <w:spacing w:before="80" w:after="0"/>
      </w:pPr>
      <w:r>
        <w:t xml:space="preserve"/>
      </w:r>
    </w:p>
    <w:p>
      <w:pPr>
        <w:pStyle w:val="Heading2"/>
        <w:spacing w:before="240" w:after="80"/>
      </w:pPr>
      <w:r>
        <w:rPr>
          <w:rFonts w:ascii="Arial" w:cs="Arial" w:eastAsia="Arial" w:hAnsi="Arial"/>
          <w:b/>
          <w:bCs/>
          <w:color w:val="1F6FEB"/>
          <w:sz w:val="26"/>
          <w:szCs w:val="26"/>
        </w:rPr>
        <w:t xml:space="preserve">Using the Confidence Rating</w:t>
      </w:r>
    </w:p>
    <w:p>
      <w:pPr>
        <w:pStyle w:val="ListParagraph"/>
        <w:numPr>
          <w:ilvl w:val="0"/>
          <w:numId w:val="2"/>
        </w:numPr>
        <w:spacing w:after="60"/>
      </w:pPr>
      <w:r>
        <w:rPr>
          <w:rFonts w:ascii="Arial" w:cs="Arial" w:eastAsia="Arial" w:hAnsi="Arial"/>
          <w:color w:val="374151"/>
          <w:sz w:val="20"/>
          <w:szCs w:val="20"/>
        </w:rPr>
        <w:t xml:space="preserve">HIGH confidence STRONG BUY — act with full conviction if it fits your strategy</w:t>
      </w:r>
    </w:p>
    <w:p>
      <w:pPr>
        <w:pStyle w:val="ListParagraph"/>
        <w:numPr>
          <w:ilvl w:val="0"/>
          <w:numId w:val="2"/>
        </w:numPr>
        <w:spacing w:after="60"/>
      </w:pPr>
      <w:r>
        <w:rPr>
          <w:rFonts w:ascii="Arial" w:cs="Arial" w:eastAsia="Arial" w:hAnsi="Arial"/>
          <w:color w:val="374151"/>
          <w:sz w:val="20"/>
          <w:szCs w:val="20"/>
        </w:rPr>
        <w:t xml:space="preserve">MODERATE confidence STRONG BUY — reduce position size slightly; one metric is partially degraded</w:t>
      </w:r>
    </w:p>
    <w:p>
      <w:pPr>
        <w:pStyle w:val="ListParagraph"/>
        <w:numPr>
          <w:ilvl w:val="0"/>
          <w:numId w:val="2"/>
        </w:numPr>
        <w:spacing w:after="60"/>
      </w:pPr>
      <w:r>
        <w:rPr>
          <w:rFonts w:ascii="Arial" w:cs="Arial" w:eastAsia="Arial" w:hAnsi="Arial"/>
          <w:color w:val="374151"/>
          <w:sz w:val="20"/>
          <w:szCs w:val="20"/>
        </w:rPr>
        <w:t xml:space="preserve">LOW confidence STRONG BUY — watch only; do not act until confidence improves. Review what is causing the low confidence (usually history depth or thin liquidity)</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1F6FEB" w:val="clear"/>
          </w:tcPr>
          <w:p>
            <w:r>
              <w:t xml:space="preserve"/>
            </w:r>
          </w:p>
        </w:tc>
        <w:tc>
          <w:tcPr>
            <w:tcW w:type="dxa" w:w="8800"/>
            <w:tcBorders>
              <w:top w:val="none" w:color="FFFFFF" w:sz="0"/>
              <w:left w:val="none" w:color="FFFFFF" w:sz="0"/>
              <w:bottom w:val="none" w:color="FFFFFF" w:sz="0"/>
              <w:right w:val="none" w:color="FFFFFF" w:sz="0"/>
            </w:tcBorders>
            <w:shd w:fill="EBF4FF" w:val="clear"/>
            <w:tcMar>
              <w:top w:type="dxa" w:w="80"/>
              <w:left w:type="dxa" w:w="140"/>
              <w:bottom w:type="dxa" w:w="80"/>
              <w:right w:type="dxa" w:w="120"/>
            </w:tcMar>
          </w:tcPr>
          <w:p>
            <w:pPr>
              <w:spacing w:after="0"/>
            </w:pPr>
            <w:r>
              <w:rPr>
                <w:rFonts w:ascii="Arial" w:cs="Arial" w:eastAsia="Arial" w:hAnsi="Arial"/>
                <w:color w:val="1E3A5F"/>
                <w:sz w:val="19"/>
                <w:szCs w:val="19"/>
              </w:rPr>
              <w:t xml:space="preserve">Practical example: Week 1 — AINF.L moves from NEUTRAL to EARLY ACCUMULATION (MODERATE confidence). LOW confidence because only 28 weeks of history. Action: watch. Week 6 — AINF.L moves to ACCUMULATING/HOLD (HIGH confidence, 34 weeks history, sector confirmed). Action: add a small position. Week 10 — AINF.L reaches STRONG BUY (HIGH confidence, RS20 +12%, pressure strongly positive, sector confirmed, trend 4/4). Action: full position size.</w:t>
            </w:r>
          </w:p>
        </w:tc>
      </w:tr>
    </w:tbl>
    <w:p>
      <w:pPr>
        <w:spacing w:before="80" w:after="0"/>
      </w:pPr>
      <w:r>
        <w:t xml:space="preserve"/>
      </w:r>
    </w:p>
    <w:p>
      <w:pPr>
        <w:pStyle w:val="Heading2"/>
        <w:spacing w:before="240" w:after="80"/>
      </w:pPr>
      <w:r>
        <w:rPr>
          <w:rFonts w:ascii="Arial" w:cs="Arial" w:eastAsia="Arial" w:hAnsi="Arial"/>
          <w:b/>
          <w:bCs/>
          <w:color w:val="1F6FEB"/>
          <w:sz w:val="26"/>
          <w:szCs w:val="26"/>
        </w:rPr>
        <w:t xml:space="preserve">What Signals Mean for Pension Fund Switching</w:t>
      </w:r>
    </w:p>
    <w:p>
      <w:pPr>
        <w:spacing w:after="100"/>
      </w:pPr>
      <w:r>
        <w:rPr>
          <w:rFonts w:ascii="Arial" w:cs="Arial" w:eastAsia="Arial" w:hAnsi="Arial"/>
          <w:b w:val="false"/>
          <w:bCs w:val="false"/>
          <w:color w:val="374151"/>
          <w:sz w:val="20"/>
          <w:szCs w:val="20"/>
        </w:rPr>
        <w:t xml:space="preserve">If you use Footprints to inform pension fund switches, the pension fund filter is the most important feature. Apply it to see only the ETF proxies relevant to your fund universe. Then:</w:t>
      </w:r>
    </w:p>
    <w:p>
      <w:pPr>
        <w:pStyle w:val="ListParagraph"/>
        <w:numPr>
          <w:ilvl w:val="0"/>
          <w:numId w:val="2"/>
        </w:numPr>
        <w:spacing w:after="60"/>
      </w:pPr>
      <w:r>
        <w:rPr>
          <w:rFonts w:ascii="Arial" w:cs="Arial" w:eastAsia="Arial" w:hAnsi="Arial"/>
          <w:color w:val="374151"/>
          <w:sz w:val="20"/>
          <w:szCs w:val="20"/>
        </w:rPr>
        <w:t xml:space="preserve">Switch toward funds whose proxy ETFs show STRONG BUY or ACCUMULATING/HOLD</w:t>
      </w:r>
    </w:p>
    <w:p>
      <w:pPr>
        <w:pStyle w:val="ListParagraph"/>
        <w:numPr>
          <w:ilvl w:val="0"/>
          <w:numId w:val="2"/>
        </w:numPr>
        <w:spacing w:after="60"/>
      </w:pPr>
      <w:r>
        <w:rPr>
          <w:rFonts w:ascii="Arial" w:cs="Arial" w:eastAsia="Arial" w:hAnsi="Arial"/>
          <w:color w:val="374151"/>
          <w:sz w:val="20"/>
          <w:szCs w:val="20"/>
        </w:rPr>
        <w:t xml:space="preserve">Switch away from funds whose proxy ETFs show EXIT/DISTRIBUTION</w:t>
      </w:r>
    </w:p>
    <w:p>
      <w:pPr>
        <w:pStyle w:val="ListParagraph"/>
        <w:numPr>
          <w:ilvl w:val="0"/>
          <w:numId w:val="2"/>
        </w:numPr>
        <w:spacing w:after="60"/>
      </w:pPr>
      <w:r>
        <w:rPr>
          <w:rFonts w:ascii="Arial" w:cs="Arial" w:eastAsia="Arial" w:hAnsi="Arial"/>
          <w:color w:val="374151"/>
          <w:sz w:val="20"/>
          <w:szCs w:val="20"/>
        </w:rPr>
        <w:t xml:space="preserve">Move to a cash or low-risk option when no proxy ETF shows a positive signal</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
        <w:gridCol w:w="8800"/>
      </w:tblGrid>
      <w:tr>
        <w:tc>
          <w:tcPr>
            <w:tcW w:type="dxa" w:w="200"/>
            <w:tcBorders>
              <w:top w:val="none" w:color="FFFFFF" w:sz="0"/>
              <w:left w:val="none" w:color="FFFFFF" w:sz="0"/>
              <w:bottom w:val="none" w:color="FFFFFF" w:sz="0"/>
              <w:right w:val="none" w:color="FFFFFF" w:sz="0"/>
            </w:tcBorders>
            <w:shd w:fill="B45309" w:val="clear"/>
          </w:tcPr>
          <w:p>
            <w:r>
              <w:t xml:space="preserve"/>
            </w:r>
          </w:p>
        </w:tc>
        <w:tc>
          <w:tcPr>
            <w:tcW w:type="dxa" w:w="8800"/>
            <w:tcBorders>
              <w:top w:val="none" w:color="FFFFFF" w:sz="0"/>
              <w:left w:val="none" w:color="FFFFFF" w:sz="0"/>
              <w:bottom w:val="none" w:color="FFFFFF" w:sz="0"/>
              <w:right w:val="none" w:color="FFFFFF" w:sz="0"/>
            </w:tcBorders>
            <w:shd w:fill="FFFBEB" w:val="clear"/>
            <w:tcMar>
              <w:top w:type="dxa" w:w="80"/>
              <w:left w:type="dxa" w:w="140"/>
              <w:bottom w:type="dxa" w:w="80"/>
              <w:right w:type="dxa" w:w="120"/>
            </w:tcMar>
          </w:tcPr>
          <w:p>
            <w:pPr>
              <w:spacing w:after="0"/>
            </w:pPr>
            <w:r>
              <w:rPr>
                <w:rFonts w:ascii="Arial" w:cs="Arial" w:eastAsia="Arial" w:hAnsi="Arial"/>
                <w:color w:val="1E3A5F"/>
                <w:sz w:val="19"/>
                <w:szCs w:val="19"/>
              </w:rPr>
              <w:t xml:space="preserve">Pension fund switches typically take 1–3 working days to settle. Do not switch based on a single week's signal — require at least 2–3 consecutive weeks of a positive signal before acting, and 2–3 weeks of EXIT before switching out. The History page makes this easy to verify.</w:t>
            </w:r>
          </w:p>
        </w:tc>
      </w:tr>
    </w:tbl>
    <w:p>
      <w:pPr>
        <w:spacing w:before="80" w:after="0"/>
      </w:pPr>
      <w:r>
        <w:t xml:space="preserve"/>
      </w:r>
    </w:p>
    <w:p>
      <w:pPr>
        <w:pStyle w:val="Heading1"/>
        <w:pBdr>
          <w:bottom w:val="single" w:color="1F6FEB" w:sz="6" w:space="4"/>
        </w:pBdr>
        <w:spacing w:before="320" w:after="120"/>
      </w:pPr>
      <w:r>
        <w:rPr>
          <w:rFonts w:ascii="Arial" w:cs="Arial" w:eastAsia="Arial" w:hAnsi="Arial"/>
          <w:b/>
          <w:bCs/>
          <w:color w:val="111827"/>
          <w:sz w:val="32"/>
          <w:szCs w:val="32"/>
        </w:rPr>
        <w:t xml:space="preserve">Part 9 —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D1D5DB" w:sz="1"/>
              <w:left w:val="single" w:color="D1D5DB" w:sz="1"/>
              <w:bottom w:val="single" w:color="D1D5DB" w:sz="1"/>
              <w:right w:val="single" w:color="D1D5D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600"/>
            <w:tcBorders>
              <w:top w:val="single" w:color="D1D5DB" w:sz="1"/>
              <w:left w:val="single" w:color="D1D5DB" w:sz="1"/>
              <w:bottom w:val="single" w:color="D1D5DB" w:sz="1"/>
              <w:right w:val="single" w:color="D1D5DB"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9"/>
                <w:szCs w:val="19"/>
              </w:rPr>
              <w:t xml:space="preserve">ETF</w:t>
            </w:r>
          </w:p>
        </w:tc>
        <w:tc>
          <w:tcPr>
            <w:tcW w:type="dxa" w:w="6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Exchange-Traded Fund — a basket of assets (e.g. all FTSE 100 stocks) that trades on a stock exchange like a single share.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9"/>
                <w:szCs w:val="19"/>
              </w:rPr>
              <w:t xml:space="preserve">OHLCV</w:t>
            </w:r>
          </w:p>
        </w:tc>
        <w:tc>
          <w:tcPr>
            <w:tcW w:type="dxa" w:w="6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Open, High, Low, Close, Volume — the five standard price/volume data points recorded each trading period.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9"/>
                <w:szCs w:val="19"/>
              </w:rPr>
              <w:t xml:space="preserve">Benchmark (VWRP.L)</w:t>
            </w:r>
          </w:p>
        </w:tc>
        <w:tc>
          <w:tcPr>
            <w:tcW w:type="dxa" w:w="6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The reference ETF against which all relative strength is measured — the Vanguard FTSE All-World fund, representing the entire global equity market.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9"/>
                <w:szCs w:val="19"/>
              </w:rPr>
              <w:t xml:space="preserve">RS / Relative Strength</w:t>
            </w:r>
          </w:p>
        </w:tc>
        <w:tc>
          <w:tcPr>
            <w:tcW w:type="dxa" w:w="6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The ETF's return minus the benchmark's return over a defined period. Positive = outperforming the world.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9"/>
                <w:szCs w:val="19"/>
              </w:rPr>
              <w:t xml:space="preserve">CLV</w:t>
            </w:r>
          </w:p>
        </w:tc>
        <w:tc>
          <w:tcPr>
            <w:tcW w:type="dxa" w:w="6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Close Location Value. +1.0 = close at the week's high; -1.0 = close at the week's low. Measures buying vs selling pressure within the week.</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9"/>
                <w:szCs w:val="19"/>
              </w:rPr>
              <w:t xml:space="preserve">Pressure 20W</w:t>
            </w:r>
          </w:p>
        </w:tc>
        <w:tc>
          <w:tcPr>
            <w:tcW w:type="dxa" w:w="6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The 20-week cumulative sum of CLV × £ turnover. Positive = net institutional buying. Negative = net selling.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9"/>
                <w:szCs w:val="19"/>
              </w:rPr>
              <w:t xml:space="preserve">Rotation Score</w:t>
            </w:r>
          </w:p>
        </w:tc>
        <w:tc>
          <w:tcPr>
            <w:tcW w:type="dxa" w:w="6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A composite score 0–100 combining all KPIs, cross-sectionally ranked. Drives signal classification.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9"/>
                <w:szCs w:val="19"/>
              </w:rPr>
              <w:t xml:space="preserve">Cross-sectional rank</w:t>
            </w:r>
          </w:p>
        </w:tc>
        <w:tc>
          <w:tcPr>
            <w:tcW w:type="dxa" w:w="6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Ranked relative to all other ETFs in the universe on the same date — not an absolute threshold.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9"/>
                <w:szCs w:val="19"/>
              </w:rPr>
              <w:t xml:space="preserve">Winsorisation</w:t>
            </w:r>
          </w:p>
        </w:tc>
        <w:tc>
          <w:tcPr>
            <w:tcW w:type="dxa" w:w="6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Capping extreme values at the 2nd and 98th percentile to prevent outliers from distorting rankings.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9"/>
                <w:szCs w:val="19"/>
              </w:rPr>
              <w:t xml:space="preserve">GBp vs GBP</w:t>
            </w:r>
          </w:p>
        </w:tc>
        <w:tc>
          <w:tcPr>
            <w:tcW w:type="dxa" w:w="6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GBp = pence (1/100th of a pound). Many LSE ETFs quote in GBp. The system expects all prices in GBP (pounds). Divide GBp prices by 100.</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9"/>
                <w:szCs w:val="19"/>
              </w:rPr>
              <w:t xml:space="preserve">venv</w:t>
            </w:r>
          </w:p>
        </w:tc>
        <w:tc>
          <w:tcPr>
            <w:tcW w:type="dxa" w:w="6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Virtual environment — an isolated Python installation for one project, preventing dependency conflicts.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11827"/>
                <w:sz w:val="19"/>
                <w:szCs w:val="19"/>
              </w:rPr>
              <w:t xml:space="preserve">LSEG</w:t>
            </w:r>
          </w:p>
        </w:tc>
        <w:tc>
          <w:tcPr>
            <w:tcW w:type="dxa" w:w="6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London Stock Exchange Group — formerly Refinitiv. Provides professional-grade market data including OHLCV exports.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lowerLetter"/>
      <w:lvlText w:val="%2."/>
      <w:lvlJc w:val="left"/>
      <w:pPr>
        <w:ind w:left="9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2026-03-08T19:16:33.093Z</dcterms:created>
  <dcterms:modified xsi:type="dcterms:W3CDTF">2026-03-08T19:16:33.093Z</dcterms:modified>
</cp:coreProperties>
</file>

<file path=docProps/custom.xml><?xml version="1.0" encoding="utf-8"?>
<Properties xmlns="http://schemas.openxmlformats.org/officeDocument/2006/custom-properties" xmlns:vt="http://schemas.openxmlformats.org/officeDocument/2006/docPropsVTypes"/>
</file>