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ED0B5" w14:textId="14823ABA" w:rsidR="00B16A32" w:rsidRDefault="00B16A32" w:rsidP="00B16A32">
      <w:pPr>
        <w:pStyle w:val="Heading1"/>
      </w:pPr>
      <w:r>
        <w:t>Topics</w:t>
      </w:r>
    </w:p>
    <w:p w14:paraId="5D930055" w14:textId="772E5FD1" w:rsidR="00B6210D" w:rsidRDefault="00B6210D" w:rsidP="00B16A32">
      <w:pPr>
        <w:pStyle w:val="Heading2"/>
      </w:pPr>
      <w:r>
        <w:t xml:space="preserve">Topic 1: Sentiment Analysis on </w:t>
      </w:r>
      <w:r w:rsidR="00711E9E">
        <w:t>the same news article across multiple outlets</w:t>
      </w:r>
    </w:p>
    <w:p w14:paraId="4E05086B" w14:textId="2097F683" w:rsidR="00B6210D" w:rsidRDefault="00B6210D">
      <w:r>
        <w:t>We often read news articles across multiple outlets to get the complete story of an event in time. The idea of this project is to use sentiment analysis to see how different outlets cover the same topic differently. This would tell us</w:t>
      </w:r>
      <w:r w:rsidR="00711E9E">
        <w:t>, how the article is trying to steer the emotions of its readers.</w:t>
      </w:r>
    </w:p>
    <w:p w14:paraId="00D8D4CA" w14:textId="638F4688" w:rsidR="00711E9E" w:rsidRDefault="00711E9E" w:rsidP="00B16A32">
      <w:pPr>
        <w:pStyle w:val="Heading3"/>
      </w:pPr>
      <w:r>
        <w:t>References</w:t>
      </w:r>
    </w:p>
    <w:p w14:paraId="09700CDF" w14:textId="16846D46" w:rsidR="00711E9E" w:rsidRDefault="00AC7A88" w:rsidP="00AC7A88">
      <w:pPr>
        <w:pStyle w:val="ListParagraph"/>
        <w:numPr>
          <w:ilvl w:val="0"/>
          <w:numId w:val="2"/>
        </w:numPr>
      </w:pPr>
      <w:r>
        <w:fldChar w:fldCharType="begin" w:fldLock="1"/>
      </w:r>
      <w:r w:rsidR="00E03DAB">
        <w:instrText>ADDIN CSL_CITATION {"citationItems":[{"id":"ITEM-1","itemData":{"DOI":"10.11591/ijece.v10i6.pp5917-5922","ISSN":"20888708","abstract":"Social media platforms are witnessing a significant growth in both size and purpose. One specific aspect of social media platforms is sentiment analysis, by which insights into the emotions and feelings of a person can be inferred from their posted text. Research related to sentiment analysis is acquiring substantial interest as it is a promising filed that can improve user experience and provide countless personalized services. Twitter is one of the most popular social media platforms, it has users from different regions with a variety of cultures and languages. It can thus provide valuable information for a diverse and large amount of data to be used to improve decision making. In this paper, the sentiment orientation of the textual features and emoji-based components is studied targeting \"Tweets\"and comments posted in Arabic on Twitter, during the 2018 world cup event. This study also measures the significance of analyzing texts including or excluding emojis. The data is obtained from thousands of extracted tweets, to find the results of sentiment analysis for texts and emojis separately. Results show that emojis support the sentiment orientation of the texts and those texts or emojis cannot separately provide reliable information as they complement each other to give the intended meaning.","author":[{"dropping-particle":"","family":"Alrumaih","given":"Abdulrahman","non-dropping-particle":"","parse-names":false,"suffix":""},{"dropping-particle":"","family":"Al-Sabbagh","given":"Ali","non-dropping-particle":"","parse-names":false,"suffix":""},{"dropping-particle":"","family":"Alsabah","given":"Ruaa","non-dropping-particle":"","parse-names":false,"suffix":""},{"dropping-particle":"","family":"Kharrufa","given":"Harith","non-dropping-particle":"","parse-names":false,"suffix":""},{"dropping-particle":"","family":"Baldwin","given":"James","non-dropping-particle":"","parse-names":false,"suffix":""}],"container-title":"International Journal of Electrical and Computer Engineering","id":"ITEM-1","issue":"6","issued":{"date-parts":[["2020","12","1"]]},"page":"5917-5922","publisher":"Institute of Advanced Engineering and Science","title":"Sentiment analysis of comments in social media","type":"article-journal","volume":"10"},"uris":["http://www.mendeley.com/documents/?uuid=d321b248-d291-3cb6-bc82-ef109946145c"]}],"mendeley":{"formattedCitation":"(Alrumaih et al., 2020)","plainTextFormattedCitation":"(Alrumaih et al., 2020)","previouslyFormattedCitation":"(Alrumaih et al., 2020)"},"properties":{"noteIndex":0},"schema":"https://github.com/citation-style-language/schema/raw/master/csl-citation.json"}</w:instrText>
      </w:r>
      <w:r>
        <w:fldChar w:fldCharType="separate"/>
      </w:r>
      <w:r w:rsidRPr="00AC7A88">
        <w:rPr>
          <w:noProof/>
        </w:rPr>
        <w:t>(Alrumaih et al., 2020)</w:t>
      </w:r>
      <w:r>
        <w:fldChar w:fldCharType="end"/>
      </w:r>
    </w:p>
    <w:p w14:paraId="1F763863" w14:textId="6DF0CDC8" w:rsidR="00AC7A88" w:rsidRDefault="00AC7A88" w:rsidP="00AC7A88">
      <w:pPr>
        <w:pStyle w:val="ListParagraph"/>
        <w:numPr>
          <w:ilvl w:val="0"/>
          <w:numId w:val="2"/>
        </w:numPr>
      </w:pPr>
      <w:r>
        <w:fldChar w:fldCharType="begin" w:fldLock="1"/>
      </w:r>
      <w:r w:rsidR="00E03DAB">
        <w:instrText>ADDIN CSL_CITATION {"citationItems":[{"id":"ITEM-1","itemData":{"DOI":"10.1016/J.KNOSYS.2014.04.022","ISSN":"0950-7051","abstract":"Financial news articles are believed to have impacts on stock price return. Previous works model news pieces in bag-of-words space, which analyzes the latent relationship between word statistical patterns and stock price movements. However, news sentiment, which is an important ring on the chain of mapping from the word patterns to the price movements, is rarely touched. In this paper, we first implement a generic stock price prediction framework, and plug in six different models with different analyzing approaches. To take one step further, we use Harvard psychological dictionary and Loughran-McDonald financial sentiment dictionary to construct a sentiment space. Textual news articles are then quantitatively measured and projected onto the sentiment space. Instance labeling method is rigorously discussed and tested. We evaluate the models' prediction accuracy and empirically compare their performance at different market classification levels. Experiments are conducted on five years historical Hong Kong Stock Exchange prices and news articles. Results show that (1) at individual stock, sector and index levels, the models with sentiment analysis outperform the bag-of-words model in both validation set and independent testing set; (2) the models which use sentiment polarity cannot provide useful predictions; (3) there is a minor difference between the models using two different sentiment dictionaries.","author":[{"dropping-particle":"","family":"Li","given":"Xiaodong","non-dropping-particle":"","parse-names":false,"suffix":""},{"dropping-particle":"","family":"Xie","given":"Haoran","non-dropping-particle":"","parse-names":false,"suffix":""},{"dropping-particle":"","family":"Chen","given":"Li","non-dropping-particle":"","parse-names":false,"suffix":""},{"dropping-particle":"","family":"Wang","given":"Jianping","non-dropping-particle":"","parse-names":false,"suffix":""},{"dropping-particle":"","family":"Deng","given":"Xiaotie","non-dropping-particle":"","parse-names":false,"suffix":""}],"container-title":"Knowledge-Based Systems","id":"ITEM-1","issue":"1","issued":{"date-parts":[["2014","10","1"]]},"page":"14-23","publisher":"Elsevier","title":"News impact on stock price return via sentiment analysis","type":"article-journal","volume":"69"},"uris":["http://www.mendeley.com/documents/?uuid=d42102ae-29aa-3ad1-92e9-2ae65f306a4b"]}],"mendeley":{"formattedCitation":"(Li et al., 2014)","plainTextFormattedCitation":"(Li et al., 2014)","previouslyFormattedCitation":"(Li et al., 2014)"},"properties":{"noteIndex":0},"schema":"https://github.com/citation-style-language/schema/raw/master/csl-citation.json"}</w:instrText>
      </w:r>
      <w:r>
        <w:fldChar w:fldCharType="separate"/>
      </w:r>
      <w:r w:rsidRPr="00AC7A88">
        <w:rPr>
          <w:noProof/>
        </w:rPr>
        <w:t>(Li et al., 2014)</w:t>
      </w:r>
      <w:r>
        <w:fldChar w:fldCharType="end"/>
      </w:r>
    </w:p>
    <w:p w14:paraId="050540B3" w14:textId="44184311" w:rsidR="00AC7A88" w:rsidRDefault="00AC7A88" w:rsidP="00B16A32">
      <w:pPr>
        <w:pStyle w:val="Heading2"/>
      </w:pPr>
      <w:r>
        <w:t xml:space="preserve">Topic 2: Travel without </w:t>
      </w:r>
      <w:r w:rsidR="00E03DAB">
        <w:t>Drivers</w:t>
      </w:r>
    </w:p>
    <w:p w14:paraId="71D1C58E" w14:textId="760BD95F" w:rsidR="00E03DAB" w:rsidRDefault="00E03DAB" w:rsidP="00AC7A88">
      <w:r>
        <w:t xml:space="preserve">A comprehensive study of how autonomous vehicles, </w:t>
      </w:r>
      <w:r w:rsidR="00336ED2">
        <w:t xml:space="preserve">the </w:t>
      </w:r>
      <w:r>
        <w:t xml:space="preserve">internet of things, and existing traffic laws. I wish to answer questions like, how feasible is autonomy in </w:t>
      </w:r>
      <w:r w:rsidR="00336ED2">
        <w:t xml:space="preserve">the </w:t>
      </w:r>
      <w:r>
        <w:t>vehicular mode of transportation? Carbon neutrality and a world without traffic and how will it take to get there. This project requires a lot of reading of autonomous road vehicles, flights, naval travel ships</w:t>
      </w:r>
      <w:r w:rsidR="00336ED2">
        <w:t>,</w:t>
      </w:r>
      <w:r>
        <w:t xml:space="preserve"> and speed of automation.</w:t>
      </w:r>
    </w:p>
    <w:p w14:paraId="4A2DAC19" w14:textId="5D00CC75" w:rsidR="00E03DAB" w:rsidRDefault="00E03DAB" w:rsidP="00B16A32">
      <w:pPr>
        <w:pStyle w:val="Heading3"/>
      </w:pPr>
      <w:r>
        <w:t>References I started with:</w:t>
      </w:r>
    </w:p>
    <w:p w14:paraId="7E5761CD" w14:textId="531C4700" w:rsidR="00E03DAB" w:rsidRDefault="00E03DAB" w:rsidP="00E03DAB">
      <w:pPr>
        <w:pStyle w:val="ListParagraph"/>
        <w:numPr>
          <w:ilvl w:val="0"/>
          <w:numId w:val="3"/>
        </w:numPr>
      </w:pPr>
      <w:r>
        <w:fldChar w:fldCharType="begin" w:fldLock="1"/>
      </w:r>
      <w:r>
        <w:instrText>ADDIN CSL_CITATION {"citationItems":[{"id":"ITEM-1","itemData":{"DOI":"10.1080/0267257X.2021.1886156","abstract":"The Internet of Things (IoT) describes a promising future in which anyone and anything can be connected at any time and any place. This study aims to explore how users’ Internet-based predispositio...","author":[{"dropping-particle":"","family":"Lu","given":"Yang","non-dropping-particle":"","parse-names":false,"suffix":""},{"dropping-particle":"","family":"Papagiannidis","given":"Savvas","non-dropping-particle":"","parse-names":false,"suffix":""},{"dropping-particle":"","family":"Alamanos","given":"Eleftherios","non-dropping-particle":"","parse-names":false,"suffix":""}],"container-title":"https://doi.org/10.1080/0267257X.2021.1886156","id":"ITEM-1","issue":"7-8","issued":{"date-parts":[["2021"]]},"page":"626-650","publisher":"Routledge","title":"Adding ‘things’ to the internet: exploring the spillover effect of technology acceptance","type":"article-journal","volume":"37"},"uris":["http://www.mendeley.com/documents/?uuid=b32c1e1b-1323-3434-927e-16dc92227d18"]}],"mendeley":{"formattedCitation":"(Lu et al., 2021)","plainTextFormattedCitation":"(Lu et al., 2021)","previouslyFormattedCitation":"(Lu et al., 2021)"},"properties":{"noteIndex":0},"schema":"https://github.com/citation-style-language/schema/raw/master/csl-citation.json"}</w:instrText>
      </w:r>
      <w:r>
        <w:fldChar w:fldCharType="separate"/>
      </w:r>
      <w:r w:rsidRPr="00E03DAB">
        <w:rPr>
          <w:noProof/>
        </w:rPr>
        <w:t>(Lu et al., 2021)</w:t>
      </w:r>
      <w:r>
        <w:fldChar w:fldCharType="end"/>
      </w:r>
    </w:p>
    <w:p w14:paraId="2CF9E420" w14:textId="4FC33B2C" w:rsidR="00E03DAB" w:rsidRDefault="00E03DAB" w:rsidP="00E03DAB">
      <w:pPr>
        <w:pStyle w:val="ListParagraph"/>
        <w:numPr>
          <w:ilvl w:val="0"/>
          <w:numId w:val="3"/>
        </w:numPr>
      </w:pPr>
      <w:r>
        <w:fldChar w:fldCharType="begin" w:fldLock="1"/>
      </w:r>
      <w:r w:rsidR="00B16A32">
        <w:instrText>ADDIN CSL_CITATION {"citationItems":[{"id":"ITEM-1","itemData":{"DOI":"10.1111/cgf.13803","ISSN":"14678659","abstract":"Virtualized traffic via various simulation models and real-world traffic data are promising approaches to reconstruct detailed traffic flows. A variety of applications can benefit from the virtual traffic, including, but not limited to, video games, virtual reality, traffic engineering and autonomous driving. In this survey, we provide a comprehensive review on the state-of-the-art techniques for traffic simulation and animation. We start with a discussion on three classes of traffic simulation models applied at different levels of detail. Then, we introduce various data-driven animation techniques, including existing data collection methods, and the validation and evaluation of simulated traffic flows. Next, we discuss how traffic simulations can benefit the training and testing of autonomous vehicles. Finally, we discuss the current states of traffic simulation and animation and suggest future research directions.","author":[{"dropping-particle":"","family":"Chao","given":"Qianwen","non-dropping-particle":"","parse-names":false,"suffix":""},{"dropping-particle":"","family":"Bi","given":"Huikun","non-dropping-particle":"","parse-names":false,"suffix":""},{"dropping-particle":"","family":"Li","given":"Weizi","non-dropping-particle":"","parse-names":false,"suffix":""},{"dropping-particle":"","family":"Mao","given":"Tianlu","non-dropping-particle":"","parse-names":false,"suffix":""},{"dropping-particle":"","family":"Wang","given":"Zhaoqi","non-dropping-particle":"","parse-names":false,"suffix":""},{"dropping-particle":"","family":"Lin","given":"Ming C.","non-dropping-particle":"","parse-names":false,"suffix":""},{"dropping-particle":"","family":"Deng","given":"Zhigang","non-dropping-particle":"","parse-names":false,"suffix":""}],"container-title":"Computer Graphics Forum","id":"ITEM-1","issue":"1","issued":{"date-parts":[["2019"]]},"page":"287-308","title":"A Survey on Visual Traffic Simulation: Models, Evaluations, and Applications in Autonomous Driving","type":"article-journal","volume":"39"},"uris":["http://www.mendeley.com/documents/?uuid=8982b55c-1975-4c88-b41d-bd8b0c2733fb"]}],"mendeley":{"formattedCitation":"(Chao et al., 2019)","plainTextFormattedCitation":"(Chao et al., 2019)","previouslyFormattedCitation":"(Chao et al., 2019)"},"properties":{"noteIndex":0},"schema":"https://github.com/citation-style-language/schema/raw/master/csl-citation.json"}</w:instrText>
      </w:r>
      <w:r>
        <w:fldChar w:fldCharType="separate"/>
      </w:r>
      <w:r w:rsidRPr="00E03DAB">
        <w:rPr>
          <w:noProof/>
        </w:rPr>
        <w:t>(Chao et al., 2019)</w:t>
      </w:r>
      <w:r>
        <w:fldChar w:fldCharType="end"/>
      </w:r>
    </w:p>
    <w:p w14:paraId="69BFFCEA" w14:textId="4017A712" w:rsidR="00E03DAB" w:rsidRDefault="00E03DAB" w:rsidP="00B16A32">
      <w:pPr>
        <w:pStyle w:val="Heading2"/>
      </w:pPr>
      <w:r>
        <w:t xml:space="preserve">Topic 3: </w:t>
      </w:r>
      <w:r w:rsidR="00B16A32">
        <w:t>Automation and education</w:t>
      </w:r>
    </w:p>
    <w:p w14:paraId="66712E3C" w14:textId="5249C451" w:rsidR="00B16A32" w:rsidRDefault="00B16A32" w:rsidP="00E03DAB">
      <w:r>
        <w:t xml:space="preserve">Automation impacts our jobs every day. But how does it affect the next generation of students and teachers? Automation impacts every generation differently; current jobs are either highly technical or not at all. What happens when one of those areas </w:t>
      </w:r>
      <w:r w:rsidR="00336ED2">
        <w:t>is</w:t>
      </w:r>
      <w:r>
        <w:t xml:space="preserve"> deemed worthy of automation?</w:t>
      </w:r>
    </w:p>
    <w:p w14:paraId="3611FC92" w14:textId="49A28EE5" w:rsidR="00B16A32" w:rsidRDefault="00B16A32" w:rsidP="00B16A32">
      <w:pPr>
        <w:pStyle w:val="Heading3"/>
      </w:pPr>
      <w:r>
        <w:t>References so far:</w:t>
      </w:r>
    </w:p>
    <w:p w14:paraId="7C50D0E9" w14:textId="1DA3BAD0" w:rsidR="00B16A32" w:rsidRDefault="00B16A32" w:rsidP="00B16A32">
      <w:pPr>
        <w:pStyle w:val="ListParagraph"/>
        <w:numPr>
          <w:ilvl w:val="0"/>
          <w:numId w:val="4"/>
        </w:numPr>
      </w:pPr>
      <w:r>
        <w:fldChar w:fldCharType="begin" w:fldLock="1"/>
      </w:r>
      <w:r>
        <w:instrText>ADDIN CSL_CITATION {"citationItems":[{"id":"ITEM-1","itemData":{"DOI":"10.2139/ssrn.3007972","ISSN":"00440094","abstract":"Will advances in robotics, artificial intelligence, and machine learning put vast swaths of the labor force out of work or into fierce competition for the jobs that remain? Or, as in the past, will new jobs absorb workers displaced by automation? These hotly debated questions have profound implications for the fortress of rights and benefits that has been constructed on the foundation of the employment relationship. This Article charts a path for reforming that body of law in the face of justified anxiety and uncertainty about the future impact of automation on jobs. Many of the forces that drive automation—including law-related labor costs—also drive firms’ decisions about “fissuring,” or replacing employees with outside contractors. Fissuring has already transformed the landscape of work and contributed to weaker labor standards and growing inequality. A sensible response to automation should have in mind this adjacent problem, and vice versa. Unfortunately, the dominant legal responses to fissuring—which aim to extend firms’ legal responsibility for the workers whose labor they rely on—do not meet the distinctive challenge of automation, and even modestly exacerbate it. Automation offers the ultimate exit from the costs and risks associated with human labor. As technology becomes an ever-more-capable and costeffective substitute for human workers, it enables firms to circumvent prevailing legal strategies for protecting workers and shoring up the fortress of employment. The question is how to protect workers’ rights and entitlements while reducing firms’ incentive both to replace employees with contractors and to replace human workers with machines. The answer, I argue, begins with separating the issue of what workers’ entitlements should be from the issue of where their economic burdens should fall. Some worker rights and entitlements necessarily entail employer duties and burdens. But for those that do not, we should look for ways to shift their costs off of employer payrolls or to extend the entitlements themselves beyond employment. The existing fortress of employment-based rights and benefits is under assault from fissuring and automation; it is failing to protect those who remain outside its walls and erecting barriers to some who seek to enter. We should dismantle some of its fortifications and construct in its place a broader foundation of economic security for all, including those who cannot or do not make their living through steady employm…","author":[{"dropping-particle":"","family":"Estlund","given":"Cynthia","non-dropping-particle":"","parse-names":false,"suffix":""}],"container-title":"Yale Law Journal","id":"ITEM-1","issue":"2","issued":{"date-parts":[["2018"]]},"page":"254-326","title":"What should we do after work? Automation and employment law","type":"article-journal","volume":"128"},"uris":["http://www.mendeley.com/documents/?uuid=13ea3168-b096-4adb-b4a7-7c27d0f97a32"]}],"mendeley":{"formattedCitation":"(Estlund, 2018)","plainTextFormattedCitation":"(Estlund, 2018)","previouslyFormattedCitation":"(Estlund, 2018)"},"properties":{"noteIndex":0},"schema":"https://github.com/citation-style-language/schema/raw/master/csl-citation.json"}</w:instrText>
      </w:r>
      <w:r>
        <w:fldChar w:fldCharType="separate"/>
      </w:r>
      <w:r w:rsidRPr="00B16A32">
        <w:rPr>
          <w:noProof/>
        </w:rPr>
        <w:t>(Estlund, 2018)</w:t>
      </w:r>
      <w:r>
        <w:fldChar w:fldCharType="end"/>
      </w:r>
    </w:p>
    <w:p w14:paraId="27E76A33" w14:textId="2B1F3EB8" w:rsidR="00B16A32" w:rsidRDefault="00B16A32" w:rsidP="00B16A32">
      <w:pPr>
        <w:pStyle w:val="ListParagraph"/>
        <w:numPr>
          <w:ilvl w:val="0"/>
          <w:numId w:val="4"/>
        </w:numPr>
      </w:pPr>
      <w:r>
        <w:fldChar w:fldCharType="begin" w:fldLock="1"/>
      </w:r>
      <w:r>
        <w:instrText>ADDIN CSL_CITATION {"citationItems":[{"id":"ITEM-1","itemData":{"DOI":"10.13140/RG.2.2.21433.06241","abstract":"A selective survey of recent papers in the area of technological change, automation and employment is presented. The objective is to convey analytical ideas and the empirical evidence that have informed studies in this area of contemporary policy relevance. Automation occurs when a machine does work that might previously have been done by a person. How robots and automation affect the availability of jobs for labor force? There are very few emerging studies that address the issue with detailed data on robots usage and employment in different sectors of the economy. Based on our review of available studies and empirical evidence the following statements can be made: (1) Increasing automation and robots adoption do not seem to cause loss of employment in the aggregate (2) Low skilled workers in routine jobs are more likely to suffer job losses. (3) There will be demand for new types of skilled workers or new specializations within occupations. Prospective automation intensifies the degree of uncertainty in labor markets across countries.","author":[{"dropping-particle":"V","family":"Ramaswamy","given":"K","non-dropping-particle":"","parse-names":false,"suffix":""}],"container-title":"Indira Gandhi Institute of Development Research","id":"ITEM-1","issue":"2","issued":{"date-parts":[["2018"]]},"page":"27","title":"Technological Change, Automation and Employment: A Short Review of Theory and Evidence","type":"article-journal"},"uris":["http://www.mendeley.com/documents/?uuid=5e9ea775-2bf6-41c2-859c-1f86f21bf9e9"]}],"mendeley":{"formattedCitation":"(Ramaswamy, 2018)","plainTextFormattedCitation":"(Ramaswamy, 2018)","previouslyFormattedCitation":"(Ramaswamy, 2018)"},"properties":{"noteIndex":0},"schema":"https://github.com/citation-style-language/schema/raw/master/csl-citation.json"}</w:instrText>
      </w:r>
      <w:r>
        <w:fldChar w:fldCharType="separate"/>
      </w:r>
      <w:r w:rsidRPr="00B16A32">
        <w:rPr>
          <w:noProof/>
        </w:rPr>
        <w:t>(Ramaswamy, 2018)</w:t>
      </w:r>
      <w:r>
        <w:fldChar w:fldCharType="end"/>
      </w:r>
    </w:p>
    <w:p w14:paraId="0EA3F09B" w14:textId="26C5657E" w:rsidR="005B0C8D" w:rsidRDefault="005B0C8D" w:rsidP="005B0C8D">
      <w:pPr>
        <w:pStyle w:val="Heading2"/>
      </w:pPr>
      <w:r>
        <w:t>Comments:</w:t>
      </w:r>
    </w:p>
    <w:p w14:paraId="32BF2B22" w14:textId="3F28C2E3" w:rsidR="005B0C8D" w:rsidRDefault="005B0C8D" w:rsidP="005B0C8D">
      <w:r>
        <w:t xml:space="preserve">For now, I have chosen the topic of travel without drivers (topic 2). I have yet to read a lot about this topic, but the connected eco-structure around automated vehicles </w:t>
      </w:r>
      <w:proofErr w:type="gramStart"/>
      <w:r>
        <w:t>fascinate</w:t>
      </w:r>
      <w:r w:rsidR="00336ED2">
        <w:t>s</w:t>
      </w:r>
      <w:proofErr w:type="gramEnd"/>
      <w:r>
        <w:t xml:space="preserve"> me. How road conditions, weather conditions, technical limitations</w:t>
      </w:r>
      <w:r w:rsidR="00336ED2">
        <w:t>,</w:t>
      </w:r>
      <w:r>
        <w:t xml:space="preserve"> etc., come into play would be a great research topic. Also, not everyone is aware of the automation which already has stepped in</w:t>
      </w:r>
      <w:r w:rsidR="00336ED2">
        <w:t>to</w:t>
      </w:r>
      <w:r>
        <w:t xml:space="preserve"> our day-to-day, it would be an insightful area for research.</w:t>
      </w:r>
    </w:p>
    <w:p w14:paraId="5DBA8995" w14:textId="77777777" w:rsidR="00336ED2" w:rsidRDefault="00336ED2">
      <w:pPr>
        <w:rPr>
          <w:rFonts w:asciiTheme="majorHAnsi" w:eastAsiaTheme="majorEastAsia" w:hAnsiTheme="majorHAnsi" w:cstheme="majorBidi"/>
          <w:color w:val="2F5496" w:themeColor="accent1" w:themeShade="BF"/>
          <w:sz w:val="32"/>
          <w:szCs w:val="32"/>
        </w:rPr>
      </w:pPr>
      <w:r>
        <w:br w:type="page"/>
      </w:r>
    </w:p>
    <w:p w14:paraId="70033A79" w14:textId="19C961D3" w:rsidR="00B16A32" w:rsidRDefault="00B16A32" w:rsidP="00B16A32">
      <w:pPr>
        <w:pStyle w:val="Heading1"/>
      </w:pPr>
      <w:r>
        <w:lastRenderedPageBreak/>
        <w:t>Bibliography</w:t>
      </w:r>
    </w:p>
    <w:p w14:paraId="7AB89C57" w14:textId="3B60149A" w:rsidR="00B16A32" w:rsidRPr="00B16A32" w:rsidRDefault="00B16A32" w:rsidP="00B16A32">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Pr="00B16A32">
        <w:rPr>
          <w:rFonts w:ascii="Calibri" w:hAnsi="Calibri" w:cs="Calibri"/>
          <w:noProof/>
          <w:szCs w:val="24"/>
        </w:rPr>
        <w:t xml:space="preserve">Alrumaih, A., Al-Sabbagh, A., Alsabah, R., Kharrufa, H., &amp; Baldwin, J. (2020). Sentiment analysis of comments in social media. </w:t>
      </w:r>
      <w:r w:rsidRPr="00B16A32">
        <w:rPr>
          <w:rFonts w:ascii="Calibri" w:hAnsi="Calibri" w:cs="Calibri"/>
          <w:i/>
          <w:iCs/>
          <w:noProof/>
          <w:szCs w:val="24"/>
        </w:rPr>
        <w:t>International Journal of Electrical and Computer Engineering</w:t>
      </w:r>
      <w:r w:rsidRPr="00B16A32">
        <w:rPr>
          <w:rFonts w:ascii="Calibri" w:hAnsi="Calibri" w:cs="Calibri"/>
          <w:noProof/>
          <w:szCs w:val="24"/>
        </w:rPr>
        <w:t xml:space="preserve">, </w:t>
      </w:r>
      <w:r w:rsidRPr="00B16A32">
        <w:rPr>
          <w:rFonts w:ascii="Calibri" w:hAnsi="Calibri" w:cs="Calibri"/>
          <w:i/>
          <w:iCs/>
          <w:noProof/>
          <w:szCs w:val="24"/>
        </w:rPr>
        <w:t>10</w:t>
      </w:r>
      <w:r w:rsidRPr="00B16A32">
        <w:rPr>
          <w:rFonts w:ascii="Calibri" w:hAnsi="Calibri" w:cs="Calibri"/>
          <w:noProof/>
          <w:szCs w:val="24"/>
        </w:rPr>
        <w:t>(6), 5917–5922. https://doi.org/10.11591/ijece.v10i6.pp5917-5922</w:t>
      </w:r>
    </w:p>
    <w:p w14:paraId="1752B1B1" w14:textId="77777777" w:rsidR="00B16A32" w:rsidRPr="00B16A32" w:rsidRDefault="00B16A32" w:rsidP="00B16A32">
      <w:pPr>
        <w:widowControl w:val="0"/>
        <w:autoSpaceDE w:val="0"/>
        <w:autoSpaceDN w:val="0"/>
        <w:adjustRightInd w:val="0"/>
        <w:spacing w:line="240" w:lineRule="auto"/>
        <w:ind w:left="480" w:hanging="480"/>
        <w:rPr>
          <w:rFonts w:ascii="Calibri" w:hAnsi="Calibri" w:cs="Calibri"/>
          <w:noProof/>
          <w:szCs w:val="24"/>
        </w:rPr>
      </w:pPr>
      <w:r w:rsidRPr="00336ED2">
        <w:rPr>
          <w:rFonts w:ascii="Calibri" w:hAnsi="Calibri" w:cs="Calibri"/>
          <w:noProof/>
          <w:szCs w:val="24"/>
          <w:lang w:val="de-DE"/>
        </w:rPr>
        <w:t xml:space="preserve">Chao, Q., Bi, H., Li, W., Mao, T., Wang, Z., Lin, M. C., &amp; Deng, Z. (2019). </w:t>
      </w:r>
      <w:r w:rsidRPr="00B16A32">
        <w:rPr>
          <w:rFonts w:ascii="Calibri" w:hAnsi="Calibri" w:cs="Calibri"/>
          <w:noProof/>
          <w:szCs w:val="24"/>
        </w:rPr>
        <w:t xml:space="preserve">A Survey on Visual Traffic Simulation: Models, Evaluations, and Applications in Autonomous Driving. </w:t>
      </w:r>
      <w:r w:rsidRPr="00B16A32">
        <w:rPr>
          <w:rFonts w:ascii="Calibri" w:hAnsi="Calibri" w:cs="Calibri"/>
          <w:i/>
          <w:iCs/>
          <w:noProof/>
          <w:szCs w:val="24"/>
        </w:rPr>
        <w:t>Computer Graphics Forum</w:t>
      </w:r>
      <w:r w:rsidRPr="00B16A32">
        <w:rPr>
          <w:rFonts w:ascii="Calibri" w:hAnsi="Calibri" w:cs="Calibri"/>
          <w:noProof/>
          <w:szCs w:val="24"/>
        </w:rPr>
        <w:t xml:space="preserve">, </w:t>
      </w:r>
      <w:r w:rsidRPr="00B16A32">
        <w:rPr>
          <w:rFonts w:ascii="Calibri" w:hAnsi="Calibri" w:cs="Calibri"/>
          <w:i/>
          <w:iCs/>
          <w:noProof/>
          <w:szCs w:val="24"/>
        </w:rPr>
        <w:t>39</w:t>
      </w:r>
      <w:r w:rsidRPr="00B16A32">
        <w:rPr>
          <w:rFonts w:ascii="Calibri" w:hAnsi="Calibri" w:cs="Calibri"/>
          <w:noProof/>
          <w:szCs w:val="24"/>
        </w:rPr>
        <w:t>(1), 287–308. https://doi.org/10.1111/cgf.13803</w:t>
      </w:r>
    </w:p>
    <w:p w14:paraId="5A777EFC" w14:textId="77777777" w:rsidR="00B16A32" w:rsidRPr="00B16A32" w:rsidRDefault="00B16A32" w:rsidP="00B16A32">
      <w:pPr>
        <w:widowControl w:val="0"/>
        <w:autoSpaceDE w:val="0"/>
        <w:autoSpaceDN w:val="0"/>
        <w:adjustRightInd w:val="0"/>
        <w:spacing w:line="240" w:lineRule="auto"/>
        <w:ind w:left="480" w:hanging="480"/>
        <w:rPr>
          <w:rFonts w:ascii="Calibri" w:hAnsi="Calibri" w:cs="Calibri"/>
          <w:noProof/>
          <w:szCs w:val="24"/>
        </w:rPr>
      </w:pPr>
      <w:r w:rsidRPr="00B16A32">
        <w:rPr>
          <w:rFonts w:ascii="Calibri" w:hAnsi="Calibri" w:cs="Calibri"/>
          <w:noProof/>
          <w:szCs w:val="24"/>
        </w:rPr>
        <w:t xml:space="preserve">Estlund, C. (2018). What should we do after work? Automation and employment law. </w:t>
      </w:r>
      <w:r w:rsidRPr="00B16A32">
        <w:rPr>
          <w:rFonts w:ascii="Calibri" w:hAnsi="Calibri" w:cs="Calibri"/>
          <w:i/>
          <w:iCs/>
          <w:noProof/>
          <w:szCs w:val="24"/>
        </w:rPr>
        <w:t>Yale Law Journal</w:t>
      </w:r>
      <w:r w:rsidRPr="00B16A32">
        <w:rPr>
          <w:rFonts w:ascii="Calibri" w:hAnsi="Calibri" w:cs="Calibri"/>
          <w:noProof/>
          <w:szCs w:val="24"/>
        </w:rPr>
        <w:t xml:space="preserve">, </w:t>
      </w:r>
      <w:r w:rsidRPr="00B16A32">
        <w:rPr>
          <w:rFonts w:ascii="Calibri" w:hAnsi="Calibri" w:cs="Calibri"/>
          <w:i/>
          <w:iCs/>
          <w:noProof/>
          <w:szCs w:val="24"/>
        </w:rPr>
        <w:t>128</w:t>
      </w:r>
      <w:r w:rsidRPr="00B16A32">
        <w:rPr>
          <w:rFonts w:ascii="Calibri" w:hAnsi="Calibri" w:cs="Calibri"/>
          <w:noProof/>
          <w:szCs w:val="24"/>
        </w:rPr>
        <w:t>(2), 254–326. https://doi.org/10.2139/ssrn.3007972</w:t>
      </w:r>
    </w:p>
    <w:p w14:paraId="354F5F6A" w14:textId="77777777" w:rsidR="00B16A32" w:rsidRPr="00B16A32" w:rsidRDefault="00B16A32" w:rsidP="00B16A32">
      <w:pPr>
        <w:widowControl w:val="0"/>
        <w:autoSpaceDE w:val="0"/>
        <w:autoSpaceDN w:val="0"/>
        <w:adjustRightInd w:val="0"/>
        <w:spacing w:line="240" w:lineRule="auto"/>
        <w:ind w:left="480" w:hanging="480"/>
        <w:rPr>
          <w:rFonts w:ascii="Calibri" w:hAnsi="Calibri" w:cs="Calibri"/>
          <w:noProof/>
          <w:szCs w:val="24"/>
        </w:rPr>
      </w:pPr>
      <w:r w:rsidRPr="00336ED2">
        <w:rPr>
          <w:rFonts w:ascii="Calibri" w:hAnsi="Calibri" w:cs="Calibri"/>
          <w:noProof/>
          <w:szCs w:val="24"/>
          <w:lang w:val="de-DE"/>
        </w:rPr>
        <w:t xml:space="preserve">Li, X., Xie, H., Chen, L., Wang, J., &amp; Deng, X. (2014). </w:t>
      </w:r>
      <w:r w:rsidRPr="00B16A32">
        <w:rPr>
          <w:rFonts w:ascii="Calibri" w:hAnsi="Calibri" w:cs="Calibri"/>
          <w:noProof/>
          <w:szCs w:val="24"/>
        </w:rPr>
        <w:t xml:space="preserve">News impact on stock price return via sentiment analysis. </w:t>
      </w:r>
      <w:r w:rsidRPr="00B16A32">
        <w:rPr>
          <w:rFonts w:ascii="Calibri" w:hAnsi="Calibri" w:cs="Calibri"/>
          <w:i/>
          <w:iCs/>
          <w:noProof/>
          <w:szCs w:val="24"/>
        </w:rPr>
        <w:t>Knowledge-Based Systems</w:t>
      </w:r>
      <w:r w:rsidRPr="00B16A32">
        <w:rPr>
          <w:rFonts w:ascii="Calibri" w:hAnsi="Calibri" w:cs="Calibri"/>
          <w:noProof/>
          <w:szCs w:val="24"/>
        </w:rPr>
        <w:t xml:space="preserve">, </w:t>
      </w:r>
      <w:r w:rsidRPr="00B16A32">
        <w:rPr>
          <w:rFonts w:ascii="Calibri" w:hAnsi="Calibri" w:cs="Calibri"/>
          <w:i/>
          <w:iCs/>
          <w:noProof/>
          <w:szCs w:val="24"/>
        </w:rPr>
        <w:t>69</w:t>
      </w:r>
      <w:r w:rsidRPr="00B16A32">
        <w:rPr>
          <w:rFonts w:ascii="Calibri" w:hAnsi="Calibri" w:cs="Calibri"/>
          <w:noProof/>
          <w:szCs w:val="24"/>
        </w:rPr>
        <w:t>(1), 14–23. https://doi.org/10.1016/J.KNOSYS.2014.04.022</w:t>
      </w:r>
    </w:p>
    <w:p w14:paraId="410C457E" w14:textId="77777777" w:rsidR="00B16A32" w:rsidRPr="00336ED2" w:rsidRDefault="00B16A32" w:rsidP="00B16A32">
      <w:pPr>
        <w:widowControl w:val="0"/>
        <w:autoSpaceDE w:val="0"/>
        <w:autoSpaceDN w:val="0"/>
        <w:adjustRightInd w:val="0"/>
        <w:spacing w:line="240" w:lineRule="auto"/>
        <w:ind w:left="480" w:hanging="480"/>
        <w:rPr>
          <w:rFonts w:ascii="Calibri" w:hAnsi="Calibri" w:cs="Calibri"/>
          <w:noProof/>
          <w:szCs w:val="24"/>
          <w:lang w:val="nl-NL"/>
        </w:rPr>
      </w:pPr>
      <w:r w:rsidRPr="00B16A32">
        <w:rPr>
          <w:rFonts w:ascii="Calibri" w:hAnsi="Calibri" w:cs="Calibri"/>
          <w:noProof/>
          <w:szCs w:val="24"/>
        </w:rPr>
        <w:t xml:space="preserve">Lu, Y., Papagiannidis, S., &amp; Alamanos, E. (2021). Adding ‘things’ to the internet: exploring the spillover effect of technology acceptance. </w:t>
      </w:r>
      <w:r w:rsidRPr="00336ED2">
        <w:rPr>
          <w:rFonts w:ascii="Calibri" w:hAnsi="Calibri" w:cs="Calibri"/>
          <w:i/>
          <w:iCs/>
          <w:noProof/>
          <w:szCs w:val="24"/>
          <w:lang w:val="nl-NL"/>
        </w:rPr>
        <w:t>Https://Doi.Org/10.1080/0267257X.2021.1886156</w:t>
      </w:r>
      <w:r w:rsidRPr="00336ED2">
        <w:rPr>
          <w:rFonts w:ascii="Calibri" w:hAnsi="Calibri" w:cs="Calibri"/>
          <w:noProof/>
          <w:szCs w:val="24"/>
          <w:lang w:val="nl-NL"/>
        </w:rPr>
        <w:t xml:space="preserve">, </w:t>
      </w:r>
      <w:r w:rsidRPr="00336ED2">
        <w:rPr>
          <w:rFonts w:ascii="Calibri" w:hAnsi="Calibri" w:cs="Calibri"/>
          <w:i/>
          <w:iCs/>
          <w:noProof/>
          <w:szCs w:val="24"/>
          <w:lang w:val="nl-NL"/>
        </w:rPr>
        <w:t>37</w:t>
      </w:r>
      <w:r w:rsidRPr="00336ED2">
        <w:rPr>
          <w:rFonts w:ascii="Calibri" w:hAnsi="Calibri" w:cs="Calibri"/>
          <w:noProof/>
          <w:szCs w:val="24"/>
          <w:lang w:val="nl-NL"/>
        </w:rPr>
        <w:t>(7–8), 626–650. https://doi.org/10.1080/0267257X.2021.1886156</w:t>
      </w:r>
    </w:p>
    <w:p w14:paraId="0ED2C067" w14:textId="77777777" w:rsidR="00B16A32" w:rsidRPr="00B16A32" w:rsidRDefault="00B16A32" w:rsidP="00B16A32">
      <w:pPr>
        <w:widowControl w:val="0"/>
        <w:autoSpaceDE w:val="0"/>
        <w:autoSpaceDN w:val="0"/>
        <w:adjustRightInd w:val="0"/>
        <w:spacing w:line="240" w:lineRule="auto"/>
        <w:ind w:left="480" w:hanging="480"/>
        <w:rPr>
          <w:rFonts w:ascii="Calibri" w:hAnsi="Calibri" w:cs="Calibri"/>
          <w:noProof/>
        </w:rPr>
      </w:pPr>
      <w:r w:rsidRPr="00336ED2">
        <w:rPr>
          <w:rFonts w:ascii="Calibri" w:hAnsi="Calibri" w:cs="Calibri"/>
          <w:noProof/>
          <w:szCs w:val="24"/>
          <w:lang w:val="nl-NL"/>
        </w:rPr>
        <w:t xml:space="preserve">Ramaswamy, K. V. (2018). </w:t>
      </w:r>
      <w:r w:rsidRPr="00B16A32">
        <w:rPr>
          <w:rFonts w:ascii="Calibri" w:hAnsi="Calibri" w:cs="Calibri"/>
          <w:noProof/>
          <w:szCs w:val="24"/>
        </w:rPr>
        <w:t xml:space="preserve">Technological Change, Automation and Employment: A Short Review of Theory and Evidence. </w:t>
      </w:r>
      <w:r w:rsidRPr="00B16A32">
        <w:rPr>
          <w:rFonts w:ascii="Calibri" w:hAnsi="Calibri" w:cs="Calibri"/>
          <w:i/>
          <w:iCs/>
          <w:noProof/>
          <w:szCs w:val="24"/>
        </w:rPr>
        <w:t>Indira Gandhi Institute of Development Research</w:t>
      </w:r>
      <w:r w:rsidRPr="00B16A32">
        <w:rPr>
          <w:rFonts w:ascii="Calibri" w:hAnsi="Calibri" w:cs="Calibri"/>
          <w:noProof/>
          <w:szCs w:val="24"/>
        </w:rPr>
        <w:t xml:space="preserve">, </w:t>
      </w:r>
      <w:r w:rsidRPr="00B16A32">
        <w:rPr>
          <w:rFonts w:ascii="Calibri" w:hAnsi="Calibri" w:cs="Calibri"/>
          <w:i/>
          <w:iCs/>
          <w:noProof/>
          <w:szCs w:val="24"/>
        </w:rPr>
        <w:t>2</w:t>
      </w:r>
      <w:r w:rsidRPr="00B16A32">
        <w:rPr>
          <w:rFonts w:ascii="Calibri" w:hAnsi="Calibri" w:cs="Calibri"/>
          <w:noProof/>
          <w:szCs w:val="24"/>
        </w:rPr>
        <w:t>, 27. https://doi.org/10.13140/RG.2.2.21433.06241</w:t>
      </w:r>
    </w:p>
    <w:p w14:paraId="27E0E620" w14:textId="37F5D19E" w:rsidR="00B16A32" w:rsidRDefault="00B16A32" w:rsidP="00B16A32">
      <w:r>
        <w:fldChar w:fldCharType="end"/>
      </w:r>
    </w:p>
    <w:sectPr w:rsidR="00B16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A5E76"/>
    <w:multiLevelType w:val="hybridMultilevel"/>
    <w:tmpl w:val="EB969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E64C36"/>
    <w:multiLevelType w:val="hybridMultilevel"/>
    <w:tmpl w:val="A3E63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CF5F89"/>
    <w:multiLevelType w:val="hybridMultilevel"/>
    <w:tmpl w:val="929AC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971025"/>
    <w:multiLevelType w:val="hybridMultilevel"/>
    <w:tmpl w:val="C7D60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2MbAwMbQwN7UwMjVR0lEKTi0uzszPAykwrAUACZSFgSwAAAA="/>
  </w:docVars>
  <w:rsids>
    <w:rsidRoot w:val="00B6210D"/>
    <w:rsid w:val="000E318D"/>
    <w:rsid w:val="00336ED2"/>
    <w:rsid w:val="004B17F4"/>
    <w:rsid w:val="005B0C8D"/>
    <w:rsid w:val="00711E9E"/>
    <w:rsid w:val="00AC7A88"/>
    <w:rsid w:val="00B16A32"/>
    <w:rsid w:val="00B6210D"/>
    <w:rsid w:val="00C74882"/>
    <w:rsid w:val="00DB1389"/>
    <w:rsid w:val="00E03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B9BBA"/>
  <w15:chartTrackingRefBased/>
  <w15:docId w15:val="{EE326930-B76D-4E2F-AF7B-0A83D7FDF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6A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6A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16A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E9E"/>
    <w:pPr>
      <w:ind w:left="720"/>
      <w:contextualSpacing/>
    </w:pPr>
  </w:style>
  <w:style w:type="character" w:styleId="Hyperlink">
    <w:name w:val="Hyperlink"/>
    <w:basedOn w:val="DefaultParagraphFont"/>
    <w:uiPriority w:val="99"/>
    <w:unhideWhenUsed/>
    <w:rsid w:val="00711E9E"/>
    <w:rPr>
      <w:color w:val="0563C1" w:themeColor="hyperlink"/>
      <w:u w:val="single"/>
    </w:rPr>
  </w:style>
  <w:style w:type="character" w:styleId="UnresolvedMention">
    <w:name w:val="Unresolved Mention"/>
    <w:basedOn w:val="DefaultParagraphFont"/>
    <w:uiPriority w:val="99"/>
    <w:semiHidden/>
    <w:unhideWhenUsed/>
    <w:rsid w:val="00711E9E"/>
    <w:rPr>
      <w:color w:val="605E5C"/>
      <w:shd w:val="clear" w:color="auto" w:fill="E1DFDD"/>
    </w:rPr>
  </w:style>
  <w:style w:type="character" w:customStyle="1" w:styleId="Heading1Char">
    <w:name w:val="Heading 1 Char"/>
    <w:basedOn w:val="DefaultParagraphFont"/>
    <w:link w:val="Heading1"/>
    <w:uiPriority w:val="9"/>
    <w:rsid w:val="00B16A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6A3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16A3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7C7EC7-FBB1-4596-A32C-D3E715DDA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Pages>
  <Words>2662</Words>
  <Characters>15175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Rushabh Barbhaya</dc:creator>
  <cp:keywords/>
  <dc:description/>
  <cp:lastModifiedBy>Rushabh Barbhaya</cp:lastModifiedBy>
  <cp:revision>3</cp:revision>
  <dcterms:created xsi:type="dcterms:W3CDTF">2021-08-02T00:19:00Z</dcterms:created>
  <dcterms:modified xsi:type="dcterms:W3CDTF">2021-08-02T01:24:00Z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e6adcca8-aa94-38e4-a262-5c37e6f12fcf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