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8138143"/>
        <w:docPartObj>
          <w:docPartGallery w:val="Cover Pages"/>
          <w:docPartUnique/>
        </w:docPartObj>
      </w:sdtPr>
      <w:sdtEndPr/>
      <w:sdtContent>
        <w:p w14:paraId="473CF0F3" w14:textId="538B51DD" w:rsidR="007D4ED7" w:rsidRDefault="007D4ED7">
          <w:r>
            <w:rPr>
              <w:noProof/>
              <w:color w:val="FFFFFF" w:themeColor="background1"/>
            </w:rPr>
            <mc:AlternateContent>
              <mc:Choice Requires="wpg">
                <w:drawing>
                  <wp:anchor distT="0" distB="0" distL="114300" distR="114300" simplePos="0" relativeHeight="251659264" behindDoc="0" locked="0" layoutInCell="1" allowOverlap="1" wp14:anchorId="7311D635" wp14:editId="0E53ABF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CA5547B" w14:textId="6AC1DEF3" w:rsidR="004D680F" w:rsidRDefault="004D680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Cash for Clunkers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DA6C722" w14:textId="0B512957" w:rsidR="004D680F" w:rsidRDefault="004D680F">
                                      <w:pPr>
                                        <w:pStyle w:val="NoSpacing"/>
                                        <w:rPr>
                                          <w:color w:val="FFFFFF" w:themeColor="background1"/>
                                          <w:sz w:val="28"/>
                                          <w:szCs w:val="28"/>
                                        </w:rPr>
                                      </w:pPr>
                                      <w:r>
                                        <w:rPr>
                                          <w:color w:val="FFFFFF" w:themeColor="background1"/>
                                          <w:sz w:val="28"/>
                                          <w:szCs w:val="28"/>
                                        </w:rPr>
                                        <w:t>A report on the statistics and merits of this system. Project report for course SYS 660 – Decision Making via Risk Analysis.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4F647F5" w14:textId="39D17609" w:rsidR="004D680F" w:rsidRDefault="004D680F">
                                      <w:pPr>
                                        <w:pStyle w:val="NoSpacing"/>
                                        <w:rPr>
                                          <w:color w:val="FFFFFF" w:themeColor="background1"/>
                                          <w:sz w:val="32"/>
                                          <w:szCs w:val="32"/>
                                        </w:rPr>
                                      </w:pPr>
                                      <w:r>
                                        <w:rPr>
                                          <w:color w:val="FFFFFF" w:themeColor="background1"/>
                                          <w:sz w:val="32"/>
                                          <w:szCs w:val="32"/>
                                        </w:rPr>
                                        <w:t>Rushabh Barbhaya</w:t>
                                      </w:r>
                                    </w:p>
                                  </w:sdtContent>
                                </w:sdt>
                                <w:p w14:paraId="57335B9E" w14:textId="11838796" w:rsidR="004D680F" w:rsidRDefault="0087349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4D680F">
                                        <w:rPr>
                                          <w:caps/>
                                          <w:color w:val="FFFFFF" w:themeColor="background1"/>
                                          <w:sz w:val="18"/>
                                          <w:szCs w:val="18"/>
                                        </w:rPr>
                                        <w:t>Stevens Institute of Technology</w:t>
                                      </w:r>
                                    </w:sdtContent>
                                  </w:sdt>
                                  <w:r w:rsidR="004D680F">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4D680F">
                                        <w:rPr>
                                          <w:color w:val="FFFFFF" w:themeColor="background1"/>
                                          <w:sz w:val="18"/>
                                          <w:szCs w:val="18"/>
                                        </w:rPr>
                                        <w:t>Hoboken, NJ</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11D63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CA5547B" w14:textId="6AC1DEF3" w:rsidR="004D680F" w:rsidRDefault="004D680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Cash for Clunkers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DA6C722" w14:textId="0B512957" w:rsidR="004D680F" w:rsidRDefault="004D680F">
                                <w:pPr>
                                  <w:pStyle w:val="NoSpacing"/>
                                  <w:rPr>
                                    <w:color w:val="FFFFFF" w:themeColor="background1"/>
                                    <w:sz w:val="28"/>
                                    <w:szCs w:val="28"/>
                                  </w:rPr>
                                </w:pPr>
                                <w:r>
                                  <w:rPr>
                                    <w:color w:val="FFFFFF" w:themeColor="background1"/>
                                    <w:sz w:val="28"/>
                                    <w:szCs w:val="28"/>
                                  </w:rPr>
                                  <w:t>A report on the statistics and merits of this system. Project report for course SYS 660 – Decision Making via Risk Analysis.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4F647F5" w14:textId="39D17609" w:rsidR="004D680F" w:rsidRDefault="004D680F">
                                <w:pPr>
                                  <w:pStyle w:val="NoSpacing"/>
                                  <w:rPr>
                                    <w:color w:val="FFFFFF" w:themeColor="background1"/>
                                    <w:sz w:val="32"/>
                                    <w:szCs w:val="32"/>
                                  </w:rPr>
                                </w:pPr>
                                <w:r>
                                  <w:rPr>
                                    <w:color w:val="FFFFFF" w:themeColor="background1"/>
                                    <w:sz w:val="32"/>
                                    <w:szCs w:val="32"/>
                                  </w:rPr>
                                  <w:t>Rushabh Barbhaya</w:t>
                                </w:r>
                              </w:p>
                            </w:sdtContent>
                          </w:sdt>
                          <w:p w14:paraId="57335B9E" w14:textId="11838796" w:rsidR="004D680F" w:rsidRDefault="0087349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4D680F">
                                  <w:rPr>
                                    <w:caps/>
                                    <w:color w:val="FFFFFF" w:themeColor="background1"/>
                                    <w:sz w:val="18"/>
                                    <w:szCs w:val="18"/>
                                  </w:rPr>
                                  <w:t>Stevens Institute of Technology</w:t>
                                </w:r>
                              </w:sdtContent>
                            </w:sdt>
                            <w:r w:rsidR="004D680F">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4D680F">
                                  <w:rPr>
                                    <w:color w:val="FFFFFF" w:themeColor="background1"/>
                                    <w:sz w:val="18"/>
                                    <w:szCs w:val="18"/>
                                  </w:rPr>
                                  <w:t>Hoboken, NJ</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29624663"/>
        <w:docPartObj>
          <w:docPartGallery w:val="Table of Contents"/>
          <w:docPartUnique/>
        </w:docPartObj>
      </w:sdtPr>
      <w:sdtEndPr>
        <w:rPr>
          <w:b/>
          <w:bCs/>
          <w:noProof/>
        </w:rPr>
      </w:sdtEndPr>
      <w:sdtContent>
        <w:p w14:paraId="106C61CC" w14:textId="3A020FC6" w:rsidR="002F48AE" w:rsidRDefault="002F48AE">
          <w:pPr>
            <w:pStyle w:val="TOCHeading"/>
          </w:pPr>
          <w:r>
            <w:t>Contents</w:t>
          </w:r>
        </w:p>
        <w:p w14:paraId="2913ABB6" w14:textId="31816AA1" w:rsidR="002F48AE" w:rsidRDefault="002F48AE">
          <w:pPr>
            <w:pStyle w:val="TOC1"/>
            <w:tabs>
              <w:tab w:val="right" w:leader="dot" w:pos="9350"/>
            </w:tabs>
            <w:rPr>
              <w:noProof/>
            </w:rPr>
          </w:pPr>
          <w:r>
            <w:fldChar w:fldCharType="begin"/>
          </w:r>
          <w:r>
            <w:instrText xml:space="preserve"> TOC \o "1-3" \h \z \u </w:instrText>
          </w:r>
          <w:r>
            <w:fldChar w:fldCharType="separate"/>
          </w:r>
          <w:hyperlink w:anchor="_Toc5070145" w:history="1">
            <w:r w:rsidRPr="006B12DB">
              <w:rPr>
                <w:rStyle w:val="Hyperlink"/>
                <w:noProof/>
              </w:rPr>
              <w:t>Summary</w:t>
            </w:r>
            <w:r>
              <w:rPr>
                <w:noProof/>
                <w:webHidden/>
              </w:rPr>
              <w:tab/>
            </w:r>
            <w:r>
              <w:rPr>
                <w:noProof/>
                <w:webHidden/>
              </w:rPr>
              <w:fldChar w:fldCharType="begin"/>
            </w:r>
            <w:r>
              <w:rPr>
                <w:noProof/>
                <w:webHidden/>
              </w:rPr>
              <w:instrText xml:space="preserve"> PAGEREF _Toc5070145 \h </w:instrText>
            </w:r>
            <w:r>
              <w:rPr>
                <w:noProof/>
                <w:webHidden/>
              </w:rPr>
            </w:r>
            <w:r>
              <w:rPr>
                <w:noProof/>
                <w:webHidden/>
              </w:rPr>
              <w:fldChar w:fldCharType="separate"/>
            </w:r>
            <w:r>
              <w:rPr>
                <w:noProof/>
                <w:webHidden/>
              </w:rPr>
              <w:t>2</w:t>
            </w:r>
            <w:r>
              <w:rPr>
                <w:noProof/>
                <w:webHidden/>
              </w:rPr>
              <w:fldChar w:fldCharType="end"/>
            </w:r>
          </w:hyperlink>
        </w:p>
        <w:p w14:paraId="72AF4061" w14:textId="2D2A2868" w:rsidR="002F48AE" w:rsidRDefault="0087349B">
          <w:pPr>
            <w:pStyle w:val="TOC1"/>
            <w:tabs>
              <w:tab w:val="left" w:pos="440"/>
              <w:tab w:val="right" w:leader="dot" w:pos="9350"/>
            </w:tabs>
            <w:rPr>
              <w:noProof/>
            </w:rPr>
          </w:pPr>
          <w:hyperlink w:anchor="_Toc5070146" w:history="1">
            <w:r w:rsidR="002F48AE" w:rsidRPr="006B12DB">
              <w:rPr>
                <w:rStyle w:val="Hyperlink"/>
                <w:noProof/>
              </w:rPr>
              <w:t>I.</w:t>
            </w:r>
            <w:r w:rsidR="002F48AE">
              <w:rPr>
                <w:noProof/>
              </w:rPr>
              <w:tab/>
            </w:r>
            <w:r w:rsidR="002F48AE" w:rsidRPr="006B12DB">
              <w:rPr>
                <w:rStyle w:val="Hyperlink"/>
                <w:noProof/>
              </w:rPr>
              <w:t>Fuel Savings</w:t>
            </w:r>
            <w:r w:rsidR="002F48AE">
              <w:rPr>
                <w:noProof/>
                <w:webHidden/>
              </w:rPr>
              <w:tab/>
            </w:r>
            <w:r w:rsidR="002F48AE">
              <w:rPr>
                <w:noProof/>
                <w:webHidden/>
              </w:rPr>
              <w:fldChar w:fldCharType="begin"/>
            </w:r>
            <w:r w:rsidR="002F48AE">
              <w:rPr>
                <w:noProof/>
                <w:webHidden/>
              </w:rPr>
              <w:instrText xml:space="preserve"> PAGEREF _Toc5070146 \h </w:instrText>
            </w:r>
            <w:r w:rsidR="002F48AE">
              <w:rPr>
                <w:noProof/>
                <w:webHidden/>
              </w:rPr>
            </w:r>
            <w:r w:rsidR="002F48AE">
              <w:rPr>
                <w:noProof/>
                <w:webHidden/>
              </w:rPr>
              <w:fldChar w:fldCharType="separate"/>
            </w:r>
            <w:r w:rsidR="002F48AE">
              <w:rPr>
                <w:noProof/>
                <w:webHidden/>
              </w:rPr>
              <w:t>3</w:t>
            </w:r>
            <w:r w:rsidR="002F48AE">
              <w:rPr>
                <w:noProof/>
                <w:webHidden/>
              </w:rPr>
              <w:fldChar w:fldCharType="end"/>
            </w:r>
          </w:hyperlink>
        </w:p>
        <w:p w14:paraId="4845AC38" w14:textId="7E5D5717" w:rsidR="002F48AE" w:rsidRDefault="0087349B">
          <w:pPr>
            <w:pStyle w:val="TOC2"/>
            <w:tabs>
              <w:tab w:val="left" w:pos="660"/>
              <w:tab w:val="right" w:leader="dot" w:pos="9350"/>
            </w:tabs>
            <w:rPr>
              <w:noProof/>
            </w:rPr>
          </w:pPr>
          <w:hyperlink w:anchor="_Toc5070147" w:history="1">
            <w:r w:rsidR="002F48AE" w:rsidRPr="006B12DB">
              <w:rPr>
                <w:rStyle w:val="Hyperlink"/>
                <w:noProof/>
              </w:rPr>
              <w:t>A.</w:t>
            </w:r>
            <w:r w:rsidR="002F48AE">
              <w:rPr>
                <w:noProof/>
              </w:rPr>
              <w:tab/>
            </w:r>
            <w:r w:rsidR="002F48AE" w:rsidRPr="006B12DB">
              <w:rPr>
                <w:rStyle w:val="Hyperlink"/>
                <w:noProof/>
              </w:rPr>
              <w:t>Fuel savings in Cash for clunkers program</w:t>
            </w:r>
            <w:r w:rsidR="002F48AE">
              <w:rPr>
                <w:noProof/>
                <w:webHidden/>
              </w:rPr>
              <w:tab/>
            </w:r>
            <w:r w:rsidR="002F48AE">
              <w:rPr>
                <w:noProof/>
                <w:webHidden/>
              </w:rPr>
              <w:fldChar w:fldCharType="begin"/>
            </w:r>
            <w:r w:rsidR="002F48AE">
              <w:rPr>
                <w:noProof/>
                <w:webHidden/>
              </w:rPr>
              <w:instrText xml:space="preserve"> PAGEREF _Toc5070147 \h </w:instrText>
            </w:r>
            <w:r w:rsidR="002F48AE">
              <w:rPr>
                <w:noProof/>
                <w:webHidden/>
              </w:rPr>
            </w:r>
            <w:r w:rsidR="002F48AE">
              <w:rPr>
                <w:noProof/>
                <w:webHidden/>
              </w:rPr>
              <w:fldChar w:fldCharType="separate"/>
            </w:r>
            <w:r w:rsidR="002F48AE">
              <w:rPr>
                <w:noProof/>
                <w:webHidden/>
              </w:rPr>
              <w:t>3</w:t>
            </w:r>
            <w:r w:rsidR="002F48AE">
              <w:rPr>
                <w:noProof/>
                <w:webHidden/>
              </w:rPr>
              <w:fldChar w:fldCharType="end"/>
            </w:r>
          </w:hyperlink>
        </w:p>
        <w:p w14:paraId="33ECB83C" w14:textId="10E0EF61" w:rsidR="002F48AE" w:rsidRDefault="0087349B">
          <w:pPr>
            <w:pStyle w:val="TOC2"/>
            <w:tabs>
              <w:tab w:val="left" w:pos="660"/>
              <w:tab w:val="right" w:leader="dot" w:pos="9350"/>
            </w:tabs>
            <w:rPr>
              <w:noProof/>
            </w:rPr>
          </w:pPr>
          <w:hyperlink w:anchor="_Toc5070148" w:history="1">
            <w:r w:rsidR="002F48AE" w:rsidRPr="006B12DB">
              <w:rPr>
                <w:rStyle w:val="Hyperlink"/>
                <w:noProof/>
              </w:rPr>
              <w:t>B.</w:t>
            </w:r>
            <w:r w:rsidR="002F48AE">
              <w:rPr>
                <w:noProof/>
              </w:rPr>
              <w:tab/>
            </w:r>
            <w:r w:rsidR="002F48AE" w:rsidRPr="006B12DB">
              <w:rPr>
                <w:rStyle w:val="Hyperlink"/>
                <w:noProof/>
              </w:rPr>
              <w:t>Fuel savings without Cash for clunkers program</w:t>
            </w:r>
            <w:r w:rsidR="002F48AE">
              <w:rPr>
                <w:noProof/>
                <w:webHidden/>
              </w:rPr>
              <w:tab/>
            </w:r>
            <w:r w:rsidR="002F48AE">
              <w:rPr>
                <w:noProof/>
                <w:webHidden/>
              </w:rPr>
              <w:fldChar w:fldCharType="begin"/>
            </w:r>
            <w:r w:rsidR="002F48AE">
              <w:rPr>
                <w:noProof/>
                <w:webHidden/>
              </w:rPr>
              <w:instrText xml:space="preserve"> PAGEREF _Toc5070148 \h </w:instrText>
            </w:r>
            <w:r w:rsidR="002F48AE">
              <w:rPr>
                <w:noProof/>
                <w:webHidden/>
              </w:rPr>
            </w:r>
            <w:r w:rsidR="002F48AE">
              <w:rPr>
                <w:noProof/>
                <w:webHidden/>
              </w:rPr>
              <w:fldChar w:fldCharType="separate"/>
            </w:r>
            <w:r w:rsidR="002F48AE">
              <w:rPr>
                <w:noProof/>
                <w:webHidden/>
              </w:rPr>
              <w:t>3</w:t>
            </w:r>
            <w:r w:rsidR="002F48AE">
              <w:rPr>
                <w:noProof/>
                <w:webHidden/>
              </w:rPr>
              <w:fldChar w:fldCharType="end"/>
            </w:r>
          </w:hyperlink>
        </w:p>
        <w:p w14:paraId="1B64B21C" w14:textId="2E84B862" w:rsidR="002F48AE" w:rsidRDefault="0087349B">
          <w:pPr>
            <w:pStyle w:val="TOC2"/>
            <w:tabs>
              <w:tab w:val="left" w:pos="660"/>
              <w:tab w:val="right" w:leader="dot" w:pos="9350"/>
            </w:tabs>
            <w:rPr>
              <w:noProof/>
            </w:rPr>
          </w:pPr>
          <w:hyperlink w:anchor="_Toc5070149" w:history="1">
            <w:r w:rsidR="002F48AE" w:rsidRPr="006B12DB">
              <w:rPr>
                <w:rStyle w:val="Hyperlink"/>
                <w:noProof/>
              </w:rPr>
              <w:t>C.</w:t>
            </w:r>
            <w:r w:rsidR="002F48AE">
              <w:rPr>
                <w:noProof/>
              </w:rPr>
              <w:tab/>
            </w:r>
            <w:r w:rsidR="002F48AE" w:rsidRPr="006B12DB">
              <w:rPr>
                <w:rStyle w:val="Hyperlink"/>
                <w:noProof/>
              </w:rPr>
              <w:t>Theoretical savings</w:t>
            </w:r>
            <w:r w:rsidR="002F48AE">
              <w:rPr>
                <w:noProof/>
                <w:webHidden/>
              </w:rPr>
              <w:tab/>
            </w:r>
            <w:r w:rsidR="002F48AE">
              <w:rPr>
                <w:noProof/>
                <w:webHidden/>
              </w:rPr>
              <w:fldChar w:fldCharType="begin"/>
            </w:r>
            <w:r w:rsidR="002F48AE">
              <w:rPr>
                <w:noProof/>
                <w:webHidden/>
              </w:rPr>
              <w:instrText xml:space="preserve"> PAGEREF _Toc5070149 \h </w:instrText>
            </w:r>
            <w:r w:rsidR="002F48AE">
              <w:rPr>
                <w:noProof/>
                <w:webHidden/>
              </w:rPr>
            </w:r>
            <w:r w:rsidR="002F48AE">
              <w:rPr>
                <w:noProof/>
                <w:webHidden/>
              </w:rPr>
              <w:fldChar w:fldCharType="separate"/>
            </w:r>
            <w:r w:rsidR="002F48AE">
              <w:rPr>
                <w:noProof/>
                <w:webHidden/>
              </w:rPr>
              <w:t>4</w:t>
            </w:r>
            <w:r w:rsidR="002F48AE">
              <w:rPr>
                <w:noProof/>
                <w:webHidden/>
              </w:rPr>
              <w:fldChar w:fldCharType="end"/>
            </w:r>
          </w:hyperlink>
        </w:p>
        <w:p w14:paraId="0111ADA0" w14:textId="275C5974" w:rsidR="002F48AE" w:rsidRDefault="0087349B">
          <w:pPr>
            <w:pStyle w:val="TOC1"/>
            <w:tabs>
              <w:tab w:val="left" w:pos="440"/>
              <w:tab w:val="right" w:leader="dot" w:pos="9350"/>
            </w:tabs>
            <w:rPr>
              <w:noProof/>
            </w:rPr>
          </w:pPr>
          <w:hyperlink w:anchor="_Toc5070150" w:history="1">
            <w:r w:rsidR="002F48AE" w:rsidRPr="006B12DB">
              <w:rPr>
                <w:rStyle w:val="Hyperlink"/>
                <w:noProof/>
              </w:rPr>
              <w:t>II.</w:t>
            </w:r>
            <w:r w:rsidR="002F48AE">
              <w:rPr>
                <w:noProof/>
              </w:rPr>
              <w:tab/>
            </w:r>
            <w:r w:rsidR="002F48AE" w:rsidRPr="006B12DB">
              <w:rPr>
                <w:rStyle w:val="Hyperlink"/>
                <w:noProof/>
              </w:rPr>
              <w:t>Cost Savings</w:t>
            </w:r>
            <w:r w:rsidR="002F48AE">
              <w:rPr>
                <w:noProof/>
                <w:webHidden/>
              </w:rPr>
              <w:tab/>
            </w:r>
            <w:r w:rsidR="002F48AE">
              <w:rPr>
                <w:noProof/>
                <w:webHidden/>
              </w:rPr>
              <w:fldChar w:fldCharType="begin"/>
            </w:r>
            <w:r w:rsidR="002F48AE">
              <w:rPr>
                <w:noProof/>
                <w:webHidden/>
              </w:rPr>
              <w:instrText xml:space="preserve"> PAGEREF _Toc5070150 \h </w:instrText>
            </w:r>
            <w:r w:rsidR="002F48AE">
              <w:rPr>
                <w:noProof/>
                <w:webHidden/>
              </w:rPr>
            </w:r>
            <w:r w:rsidR="002F48AE">
              <w:rPr>
                <w:noProof/>
                <w:webHidden/>
              </w:rPr>
              <w:fldChar w:fldCharType="separate"/>
            </w:r>
            <w:r w:rsidR="002F48AE">
              <w:rPr>
                <w:noProof/>
                <w:webHidden/>
              </w:rPr>
              <w:t>4</w:t>
            </w:r>
            <w:r w:rsidR="002F48AE">
              <w:rPr>
                <w:noProof/>
                <w:webHidden/>
              </w:rPr>
              <w:fldChar w:fldCharType="end"/>
            </w:r>
          </w:hyperlink>
        </w:p>
        <w:p w14:paraId="1E3E7140" w14:textId="7A529272" w:rsidR="002F48AE" w:rsidRDefault="0087349B">
          <w:pPr>
            <w:pStyle w:val="TOC2"/>
            <w:tabs>
              <w:tab w:val="left" w:pos="660"/>
              <w:tab w:val="right" w:leader="dot" w:pos="9350"/>
            </w:tabs>
            <w:rPr>
              <w:noProof/>
            </w:rPr>
          </w:pPr>
          <w:hyperlink w:anchor="_Toc5070151" w:history="1">
            <w:r w:rsidR="002F48AE" w:rsidRPr="006B12DB">
              <w:rPr>
                <w:rStyle w:val="Hyperlink"/>
                <w:noProof/>
              </w:rPr>
              <w:t>A.</w:t>
            </w:r>
            <w:r w:rsidR="002F48AE">
              <w:rPr>
                <w:noProof/>
              </w:rPr>
              <w:tab/>
            </w:r>
            <w:r w:rsidR="002F48AE" w:rsidRPr="006B12DB">
              <w:rPr>
                <w:rStyle w:val="Hyperlink"/>
                <w:noProof/>
              </w:rPr>
              <w:t>Individual Savings</w:t>
            </w:r>
            <w:r w:rsidR="002F48AE">
              <w:rPr>
                <w:noProof/>
                <w:webHidden/>
              </w:rPr>
              <w:tab/>
            </w:r>
            <w:r w:rsidR="002F48AE">
              <w:rPr>
                <w:noProof/>
                <w:webHidden/>
              </w:rPr>
              <w:fldChar w:fldCharType="begin"/>
            </w:r>
            <w:r w:rsidR="002F48AE">
              <w:rPr>
                <w:noProof/>
                <w:webHidden/>
              </w:rPr>
              <w:instrText xml:space="preserve"> PAGEREF _Toc5070151 \h </w:instrText>
            </w:r>
            <w:r w:rsidR="002F48AE">
              <w:rPr>
                <w:noProof/>
                <w:webHidden/>
              </w:rPr>
            </w:r>
            <w:r w:rsidR="002F48AE">
              <w:rPr>
                <w:noProof/>
                <w:webHidden/>
              </w:rPr>
              <w:fldChar w:fldCharType="separate"/>
            </w:r>
            <w:r w:rsidR="002F48AE">
              <w:rPr>
                <w:noProof/>
                <w:webHidden/>
              </w:rPr>
              <w:t>4</w:t>
            </w:r>
            <w:r w:rsidR="002F48AE">
              <w:rPr>
                <w:noProof/>
                <w:webHidden/>
              </w:rPr>
              <w:fldChar w:fldCharType="end"/>
            </w:r>
          </w:hyperlink>
        </w:p>
        <w:p w14:paraId="5C8B587A" w14:textId="613AC73F" w:rsidR="002F48AE" w:rsidRDefault="0087349B">
          <w:pPr>
            <w:pStyle w:val="TOC2"/>
            <w:tabs>
              <w:tab w:val="left" w:pos="660"/>
              <w:tab w:val="right" w:leader="dot" w:pos="9350"/>
            </w:tabs>
            <w:rPr>
              <w:noProof/>
            </w:rPr>
          </w:pPr>
          <w:hyperlink w:anchor="_Toc5070152" w:history="1">
            <w:r w:rsidR="002F48AE" w:rsidRPr="006B12DB">
              <w:rPr>
                <w:rStyle w:val="Hyperlink"/>
                <w:noProof/>
              </w:rPr>
              <w:t>B.</w:t>
            </w:r>
            <w:r w:rsidR="002F48AE">
              <w:rPr>
                <w:noProof/>
              </w:rPr>
              <w:tab/>
            </w:r>
            <w:r w:rsidR="002F48AE" w:rsidRPr="006B12DB">
              <w:rPr>
                <w:rStyle w:val="Hyperlink"/>
                <w:noProof/>
              </w:rPr>
              <w:t>Corporate Savings</w:t>
            </w:r>
            <w:r w:rsidR="002F48AE">
              <w:rPr>
                <w:noProof/>
                <w:webHidden/>
              </w:rPr>
              <w:tab/>
            </w:r>
            <w:r w:rsidR="002F48AE">
              <w:rPr>
                <w:noProof/>
                <w:webHidden/>
              </w:rPr>
              <w:fldChar w:fldCharType="begin"/>
            </w:r>
            <w:r w:rsidR="002F48AE">
              <w:rPr>
                <w:noProof/>
                <w:webHidden/>
              </w:rPr>
              <w:instrText xml:space="preserve"> PAGEREF _Toc5070152 \h </w:instrText>
            </w:r>
            <w:r w:rsidR="002F48AE">
              <w:rPr>
                <w:noProof/>
                <w:webHidden/>
              </w:rPr>
            </w:r>
            <w:r w:rsidR="002F48AE">
              <w:rPr>
                <w:noProof/>
                <w:webHidden/>
              </w:rPr>
              <w:fldChar w:fldCharType="separate"/>
            </w:r>
            <w:r w:rsidR="002F48AE">
              <w:rPr>
                <w:noProof/>
                <w:webHidden/>
              </w:rPr>
              <w:t>5</w:t>
            </w:r>
            <w:r w:rsidR="002F48AE">
              <w:rPr>
                <w:noProof/>
                <w:webHidden/>
              </w:rPr>
              <w:fldChar w:fldCharType="end"/>
            </w:r>
          </w:hyperlink>
        </w:p>
        <w:p w14:paraId="68CE1673" w14:textId="18F359ED" w:rsidR="002F48AE" w:rsidRDefault="0087349B">
          <w:pPr>
            <w:pStyle w:val="TOC1"/>
            <w:tabs>
              <w:tab w:val="left" w:pos="660"/>
              <w:tab w:val="right" w:leader="dot" w:pos="9350"/>
            </w:tabs>
            <w:rPr>
              <w:noProof/>
            </w:rPr>
          </w:pPr>
          <w:hyperlink w:anchor="_Toc5070153" w:history="1">
            <w:r w:rsidR="002F48AE" w:rsidRPr="006B12DB">
              <w:rPr>
                <w:rStyle w:val="Hyperlink"/>
                <w:noProof/>
              </w:rPr>
              <w:t>III.</w:t>
            </w:r>
            <w:r w:rsidR="002F48AE">
              <w:rPr>
                <w:noProof/>
              </w:rPr>
              <w:tab/>
            </w:r>
            <w:r w:rsidR="002F48AE" w:rsidRPr="006B12DB">
              <w:rPr>
                <w:rStyle w:val="Hyperlink"/>
                <w:noProof/>
              </w:rPr>
              <w:t>Societal Benefits</w:t>
            </w:r>
            <w:r w:rsidR="002F48AE">
              <w:rPr>
                <w:noProof/>
                <w:webHidden/>
              </w:rPr>
              <w:tab/>
            </w:r>
            <w:r w:rsidR="002F48AE">
              <w:rPr>
                <w:noProof/>
                <w:webHidden/>
              </w:rPr>
              <w:fldChar w:fldCharType="begin"/>
            </w:r>
            <w:r w:rsidR="002F48AE">
              <w:rPr>
                <w:noProof/>
                <w:webHidden/>
              </w:rPr>
              <w:instrText xml:space="preserve"> PAGEREF _Toc5070153 \h </w:instrText>
            </w:r>
            <w:r w:rsidR="002F48AE">
              <w:rPr>
                <w:noProof/>
                <w:webHidden/>
              </w:rPr>
            </w:r>
            <w:r w:rsidR="002F48AE">
              <w:rPr>
                <w:noProof/>
                <w:webHidden/>
              </w:rPr>
              <w:fldChar w:fldCharType="separate"/>
            </w:r>
            <w:r w:rsidR="002F48AE">
              <w:rPr>
                <w:noProof/>
                <w:webHidden/>
              </w:rPr>
              <w:t>6</w:t>
            </w:r>
            <w:r w:rsidR="002F48AE">
              <w:rPr>
                <w:noProof/>
                <w:webHidden/>
              </w:rPr>
              <w:fldChar w:fldCharType="end"/>
            </w:r>
          </w:hyperlink>
        </w:p>
        <w:p w14:paraId="45401EEE" w14:textId="15A67944" w:rsidR="002F48AE" w:rsidRDefault="0087349B">
          <w:pPr>
            <w:pStyle w:val="TOC1"/>
            <w:tabs>
              <w:tab w:val="left" w:pos="660"/>
              <w:tab w:val="right" w:leader="dot" w:pos="9350"/>
            </w:tabs>
            <w:rPr>
              <w:noProof/>
            </w:rPr>
          </w:pPr>
          <w:hyperlink w:anchor="_Toc5070154" w:history="1">
            <w:r w:rsidR="002F48AE" w:rsidRPr="006B12DB">
              <w:rPr>
                <w:rStyle w:val="Hyperlink"/>
                <w:noProof/>
              </w:rPr>
              <w:t>IV.</w:t>
            </w:r>
            <w:r w:rsidR="002F48AE">
              <w:rPr>
                <w:noProof/>
              </w:rPr>
              <w:tab/>
            </w:r>
            <w:r w:rsidR="002F48AE" w:rsidRPr="006B12DB">
              <w:rPr>
                <w:rStyle w:val="Hyperlink"/>
                <w:noProof/>
              </w:rPr>
              <w:t>Conclusion and Recommendations</w:t>
            </w:r>
            <w:r w:rsidR="002F48AE">
              <w:rPr>
                <w:noProof/>
                <w:webHidden/>
              </w:rPr>
              <w:tab/>
            </w:r>
            <w:r w:rsidR="002F48AE">
              <w:rPr>
                <w:noProof/>
                <w:webHidden/>
              </w:rPr>
              <w:fldChar w:fldCharType="begin"/>
            </w:r>
            <w:r w:rsidR="002F48AE">
              <w:rPr>
                <w:noProof/>
                <w:webHidden/>
              </w:rPr>
              <w:instrText xml:space="preserve"> PAGEREF _Toc5070154 \h </w:instrText>
            </w:r>
            <w:r w:rsidR="002F48AE">
              <w:rPr>
                <w:noProof/>
                <w:webHidden/>
              </w:rPr>
            </w:r>
            <w:r w:rsidR="002F48AE">
              <w:rPr>
                <w:noProof/>
                <w:webHidden/>
              </w:rPr>
              <w:fldChar w:fldCharType="separate"/>
            </w:r>
            <w:r w:rsidR="002F48AE">
              <w:rPr>
                <w:noProof/>
                <w:webHidden/>
              </w:rPr>
              <w:t>6</w:t>
            </w:r>
            <w:r w:rsidR="002F48AE">
              <w:rPr>
                <w:noProof/>
                <w:webHidden/>
              </w:rPr>
              <w:fldChar w:fldCharType="end"/>
            </w:r>
          </w:hyperlink>
        </w:p>
        <w:p w14:paraId="47EF728B" w14:textId="2424AD96" w:rsidR="002F48AE" w:rsidRDefault="0087349B">
          <w:pPr>
            <w:pStyle w:val="TOC1"/>
            <w:tabs>
              <w:tab w:val="left" w:pos="440"/>
              <w:tab w:val="right" w:leader="dot" w:pos="9350"/>
            </w:tabs>
            <w:rPr>
              <w:noProof/>
            </w:rPr>
          </w:pPr>
          <w:hyperlink w:anchor="_Toc5070155" w:history="1">
            <w:r w:rsidR="002F48AE" w:rsidRPr="006B12DB">
              <w:rPr>
                <w:rStyle w:val="Hyperlink"/>
                <w:noProof/>
              </w:rPr>
              <w:t>V.</w:t>
            </w:r>
            <w:r w:rsidR="002F48AE">
              <w:rPr>
                <w:noProof/>
              </w:rPr>
              <w:tab/>
            </w:r>
            <w:r w:rsidR="002F48AE" w:rsidRPr="006B12DB">
              <w:rPr>
                <w:rStyle w:val="Hyperlink"/>
                <w:noProof/>
              </w:rPr>
              <w:t>Assumptions and Model Boundaries</w:t>
            </w:r>
            <w:r w:rsidR="002F48AE">
              <w:rPr>
                <w:noProof/>
                <w:webHidden/>
              </w:rPr>
              <w:tab/>
            </w:r>
            <w:r w:rsidR="002F48AE">
              <w:rPr>
                <w:noProof/>
                <w:webHidden/>
              </w:rPr>
              <w:fldChar w:fldCharType="begin"/>
            </w:r>
            <w:r w:rsidR="002F48AE">
              <w:rPr>
                <w:noProof/>
                <w:webHidden/>
              </w:rPr>
              <w:instrText xml:space="preserve"> PAGEREF _Toc5070155 \h </w:instrText>
            </w:r>
            <w:r w:rsidR="002F48AE">
              <w:rPr>
                <w:noProof/>
                <w:webHidden/>
              </w:rPr>
            </w:r>
            <w:r w:rsidR="002F48AE">
              <w:rPr>
                <w:noProof/>
                <w:webHidden/>
              </w:rPr>
              <w:fldChar w:fldCharType="separate"/>
            </w:r>
            <w:r w:rsidR="002F48AE">
              <w:rPr>
                <w:noProof/>
                <w:webHidden/>
              </w:rPr>
              <w:t>6</w:t>
            </w:r>
            <w:r w:rsidR="002F48AE">
              <w:rPr>
                <w:noProof/>
                <w:webHidden/>
              </w:rPr>
              <w:fldChar w:fldCharType="end"/>
            </w:r>
          </w:hyperlink>
        </w:p>
        <w:p w14:paraId="480A0F6B" w14:textId="586E0D86" w:rsidR="002F48AE" w:rsidRDefault="0087349B">
          <w:pPr>
            <w:pStyle w:val="TOC1"/>
            <w:tabs>
              <w:tab w:val="left" w:pos="660"/>
              <w:tab w:val="right" w:leader="dot" w:pos="9350"/>
            </w:tabs>
            <w:rPr>
              <w:noProof/>
            </w:rPr>
          </w:pPr>
          <w:hyperlink w:anchor="_Toc5070156" w:history="1">
            <w:r w:rsidR="002F48AE" w:rsidRPr="006B12DB">
              <w:rPr>
                <w:rStyle w:val="Hyperlink"/>
                <w:noProof/>
              </w:rPr>
              <w:t>VI.</w:t>
            </w:r>
            <w:r w:rsidR="002F48AE">
              <w:rPr>
                <w:noProof/>
              </w:rPr>
              <w:tab/>
            </w:r>
            <w:r w:rsidR="002F48AE" w:rsidRPr="006B12DB">
              <w:rPr>
                <w:rStyle w:val="Hyperlink"/>
                <w:noProof/>
              </w:rPr>
              <w:t>References</w:t>
            </w:r>
            <w:r w:rsidR="002F48AE">
              <w:rPr>
                <w:noProof/>
                <w:webHidden/>
              </w:rPr>
              <w:tab/>
            </w:r>
            <w:r w:rsidR="002F48AE">
              <w:rPr>
                <w:noProof/>
                <w:webHidden/>
              </w:rPr>
              <w:fldChar w:fldCharType="begin"/>
            </w:r>
            <w:r w:rsidR="002F48AE">
              <w:rPr>
                <w:noProof/>
                <w:webHidden/>
              </w:rPr>
              <w:instrText xml:space="preserve"> PAGEREF _Toc5070156 \h </w:instrText>
            </w:r>
            <w:r w:rsidR="002F48AE">
              <w:rPr>
                <w:noProof/>
                <w:webHidden/>
              </w:rPr>
            </w:r>
            <w:r w:rsidR="002F48AE">
              <w:rPr>
                <w:noProof/>
                <w:webHidden/>
              </w:rPr>
              <w:fldChar w:fldCharType="separate"/>
            </w:r>
            <w:r w:rsidR="002F48AE">
              <w:rPr>
                <w:noProof/>
                <w:webHidden/>
              </w:rPr>
              <w:t>7</w:t>
            </w:r>
            <w:r w:rsidR="002F48AE">
              <w:rPr>
                <w:noProof/>
                <w:webHidden/>
              </w:rPr>
              <w:fldChar w:fldCharType="end"/>
            </w:r>
          </w:hyperlink>
        </w:p>
        <w:p w14:paraId="28F082D0" w14:textId="1109A4C0" w:rsidR="002F48AE" w:rsidRDefault="002F48AE">
          <w:r>
            <w:rPr>
              <w:b/>
              <w:bCs/>
              <w:noProof/>
            </w:rPr>
            <w:fldChar w:fldCharType="end"/>
          </w:r>
        </w:p>
      </w:sdtContent>
    </w:sdt>
    <w:p w14:paraId="6951C7C3" w14:textId="77777777" w:rsidR="002F48AE" w:rsidRDefault="002F48AE">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CDD3FAE" w14:textId="7B7F9A5C" w:rsidR="009843CE" w:rsidRDefault="007D4ED7" w:rsidP="002F48AE">
      <w:pPr>
        <w:pStyle w:val="Heading1"/>
        <w:numPr>
          <w:ilvl w:val="0"/>
          <w:numId w:val="0"/>
        </w:numPr>
      </w:pPr>
      <w:bookmarkStart w:id="0" w:name="_Toc5070145"/>
      <w:r>
        <w:lastRenderedPageBreak/>
        <w:t>Summary</w:t>
      </w:r>
      <w:bookmarkEnd w:id="0"/>
    </w:p>
    <w:p w14:paraId="0BDBB8CB" w14:textId="74915E94" w:rsidR="00E05694" w:rsidRDefault="002B1D39" w:rsidP="00EE575E">
      <w:pPr>
        <w:spacing w:before="240"/>
        <w:jc w:val="both"/>
      </w:pPr>
      <w:r>
        <w:t>July of 2009</w:t>
      </w:r>
      <w:r w:rsidR="00E05694">
        <w:t xml:space="preserve"> was when the Car Allowance Rebate System (“Cash for Clunkers”) was introduced with an initial budget of $1 billion, later increased to a total of $3 billion</w:t>
      </w:r>
      <w:r w:rsidR="007C3DD0">
        <w:t xml:space="preserve"> and was </w:t>
      </w:r>
      <w:r w:rsidR="00773FB1">
        <w:t>ended early, as soon as August 2009</w:t>
      </w:r>
      <w:sdt>
        <w:sdtPr>
          <w:id w:val="-1074191598"/>
          <w:citation/>
        </w:sdtPr>
        <w:sdtContent>
          <w:r w:rsidR="00773FB1">
            <w:fldChar w:fldCharType="begin"/>
          </w:r>
          <w:r w:rsidR="00773FB1">
            <w:instrText xml:space="preserve"> CITATION Nic09 \l 1033 </w:instrText>
          </w:r>
          <w:r w:rsidR="00773FB1">
            <w:fldChar w:fldCharType="separate"/>
          </w:r>
          <w:r w:rsidR="00773FB1">
            <w:rPr>
              <w:noProof/>
            </w:rPr>
            <w:t xml:space="preserve"> </w:t>
          </w:r>
          <w:r w:rsidR="00773FB1" w:rsidRPr="00773FB1">
            <w:rPr>
              <w:noProof/>
            </w:rPr>
            <w:t>[1]</w:t>
          </w:r>
          <w:r w:rsidR="00773FB1">
            <w:fldChar w:fldCharType="end"/>
          </w:r>
        </w:sdtContent>
      </w:sdt>
      <w:r w:rsidR="00E05694">
        <w:t xml:space="preserve">. About 690,114 cars having low </w:t>
      </w:r>
      <w:r w:rsidR="00EE575E">
        <w:t xml:space="preserve">fuel economy were traded for high </w:t>
      </w:r>
      <w:r>
        <w:t>fuel-efficient</w:t>
      </w:r>
      <w:r w:rsidR="00EE575E">
        <w:t xml:space="preserve"> cars.</w:t>
      </w:r>
    </w:p>
    <w:p w14:paraId="70644F2F" w14:textId="56134AFF" w:rsidR="00EE575E" w:rsidRDefault="00EE575E" w:rsidP="00E05694">
      <w:pPr>
        <w:jc w:val="both"/>
      </w:pPr>
      <w:r>
        <w:t xml:space="preserve">Net fuel savings are expected to be 35 million gallons of fuel for the first </w:t>
      </w:r>
      <w:r w:rsidR="002B1D39">
        <w:t>year. And</w:t>
      </w:r>
      <w:r>
        <w:t xml:space="preserve"> about 490 million gallons of fuel over 12 years. Which is nearly double to what would have been saved in normal conditions.</w:t>
      </w:r>
    </w:p>
    <w:p w14:paraId="65C14771" w14:textId="4090C2E4" w:rsidR="00EE575E" w:rsidRDefault="00EE575E" w:rsidP="00EE575E">
      <w:pPr>
        <w:jc w:val="both"/>
      </w:pPr>
      <w:r>
        <w:t xml:space="preserve">An overall reduction of 0.05% was observed for just passenger cars in the United States of America. If 10%-50% savings were the desired values about 60 million vehicles would have to be included in the scope of the entire project which would require $100+ billion investment which puts a huge strain on tax </w:t>
      </w:r>
      <w:r w:rsidR="002B1D39">
        <w:t>payer’s</w:t>
      </w:r>
      <w:r>
        <w:t xml:space="preserve"> money.</w:t>
      </w:r>
    </w:p>
    <w:p w14:paraId="4571FF6D" w14:textId="52074EBA" w:rsidR="00EE575E" w:rsidRDefault="00EE575E" w:rsidP="00EE575E">
      <w:pPr>
        <w:jc w:val="both"/>
      </w:pPr>
      <w:r>
        <w:t>In the observed scenario, the program saved $125 per car or $0.5 per gallon of fuel. This project didn’t serve its desired results and cost billions of dollars of tax payers money to implement. This project shouldn’t be applied in its present state.</w:t>
      </w:r>
    </w:p>
    <w:p w14:paraId="7D641566" w14:textId="3588C0D7" w:rsidR="00EE575E" w:rsidRPr="00E05694" w:rsidRDefault="00EE575E" w:rsidP="00EE575E">
      <w:pPr>
        <w:jc w:val="both"/>
      </w:pPr>
      <w:r>
        <w:t>If this project was available when hybrid cars and electric cars are much more mainstream as compared to 2009, it would have had a better impact on fuel savings</w:t>
      </w:r>
      <w:sdt>
        <w:sdtPr>
          <w:id w:val="1301430188"/>
          <w:citation/>
        </w:sdtPr>
        <w:sdtContent>
          <w:r w:rsidR="009E174D">
            <w:fldChar w:fldCharType="begin"/>
          </w:r>
          <w:r w:rsidR="009E174D">
            <w:instrText xml:space="preserve"> CITATION Ind17 \l 1033 </w:instrText>
          </w:r>
          <w:r w:rsidR="009E174D">
            <w:fldChar w:fldCharType="separate"/>
          </w:r>
          <w:r w:rsidR="00773FB1">
            <w:rPr>
              <w:noProof/>
            </w:rPr>
            <w:t xml:space="preserve"> </w:t>
          </w:r>
          <w:r w:rsidR="00773FB1" w:rsidRPr="00773FB1">
            <w:rPr>
              <w:noProof/>
            </w:rPr>
            <w:t>[2]</w:t>
          </w:r>
          <w:r w:rsidR="009E174D">
            <w:fldChar w:fldCharType="end"/>
          </w:r>
        </w:sdtContent>
      </w:sdt>
      <w:r>
        <w:t xml:space="preserve">. And with the autonomous driving </w:t>
      </w:r>
      <w:r w:rsidR="002F48AE">
        <w:t>coming up it may have a better impact on fuel savings.</w:t>
      </w:r>
    </w:p>
    <w:p w14:paraId="37283905" w14:textId="6C28134E" w:rsidR="007D4ED7" w:rsidRPr="009843CE" w:rsidRDefault="009843CE" w:rsidP="009843CE">
      <w:pPr>
        <w:rPr>
          <w:rFonts w:asciiTheme="majorHAnsi" w:eastAsiaTheme="majorEastAsia" w:hAnsiTheme="majorHAnsi" w:cstheme="majorBidi"/>
          <w:color w:val="2F5496" w:themeColor="accent1" w:themeShade="BF"/>
          <w:sz w:val="32"/>
          <w:szCs w:val="32"/>
        </w:rPr>
      </w:pPr>
      <w:r>
        <w:br w:type="page"/>
      </w:r>
    </w:p>
    <w:p w14:paraId="7021EA11" w14:textId="1479684D" w:rsidR="007D4ED7" w:rsidRDefault="007D4ED7" w:rsidP="007D4ED7">
      <w:pPr>
        <w:pStyle w:val="Heading1"/>
      </w:pPr>
      <w:bookmarkStart w:id="1" w:name="_Toc5070146"/>
      <w:r>
        <w:lastRenderedPageBreak/>
        <w:t>Fuel Savings</w:t>
      </w:r>
      <w:bookmarkEnd w:id="1"/>
    </w:p>
    <w:p w14:paraId="23F6FF1A" w14:textId="7186A69D" w:rsidR="0054544A" w:rsidRDefault="007D4ED7" w:rsidP="0054544A">
      <w:pPr>
        <w:pStyle w:val="Heading2"/>
      </w:pPr>
      <w:bookmarkStart w:id="2" w:name="_Toc5070147"/>
      <w:r>
        <w:t>Fuel savings in Cash for clunkers program</w:t>
      </w:r>
      <w:bookmarkEnd w:id="2"/>
    </w:p>
    <w:p w14:paraId="55B2D59C" w14:textId="1BBCBC4F" w:rsidR="0054544A" w:rsidRDefault="0054544A" w:rsidP="00AE6B4D">
      <w:pPr>
        <w:spacing w:before="240"/>
        <w:jc w:val="both"/>
      </w:pPr>
      <w:r>
        <w:t xml:space="preserve">To estimate an approximate fuel savings, a model was developed using Python and Excel. The assumptions and model boundaries are mentioned in </w:t>
      </w:r>
      <w:hyperlink w:anchor="_Assumptions_and_Model" w:history="1">
        <w:r>
          <w:rPr>
            <w:rStyle w:val="Hyperlink"/>
          </w:rPr>
          <w:t>S</w:t>
        </w:r>
        <w:r w:rsidRPr="0054544A">
          <w:rPr>
            <w:rStyle w:val="Hyperlink"/>
          </w:rPr>
          <w:t>ection VI.</w:t>
        </w:r>
      </w:hyperlink>
      <w:r>
        <w:t xml:space="preserve"> The model compared the fuel usage of old cars over a given range</w:t>
      </w:r>
      <w:sdt>
        <w:sdtPr>
          <w:id w:val="1011417100"/>
          <w:citation/>
        </w:sdtPr>
        <w:sdtEndPr>
          <w:rPr>
            <w:vertAlign w:val="superscript"/>
          </w:rPr>
        </w:sdtEndPr>
        <w:sdtContent>
          <w:r w:rsidRPr="00AE6B4D">
            <w:rPr>
              <w:vertAlign w:val="superscript"/>
            </w:rPr>
            <w:fldChar w:fldCharType="begin"/>
          </w:r>
          <w:r w:rsidRPr="00AE6B4D">
            <w:rPr>
              <w:vertAlign w:val="superscript"/>
            </w:rPr>
            <w:instrText xml:space="preserve"> CITATION Oak19 \l 1033 </w:instrText>
          </w:r>
          <w:r w:rsidRPr="00AE6B4D">
            <w:rPr>
              <w:vertAlign w:val="superscript"/>
            </w:rPr>
            <w:fldChar w:fldCharType="separate"/>
          </w:r>
          <w:r w:rsidR="00773FB1">
            <w:rPr>
              <w:noProof/>
              <w:vertAlign w:val="superscript"/>
            </w:rPr>
            <w:t xml:space="preserve"> </w:t>
          </w:r>
          <w:r w:rsidR="00773FB1" w:rsidRPr="00773FB1">
            <w:rPr>
              <w:noProof/>
            </w:rPr>
            <w:t>[3]</w:t>
          </w:r>
          <w:r w:rsidRPr="00AE6B4D">
            <w:rPr>
              <w:vertAlign w:val="superscript"/>
            </w:rPr>
            <w:fldChar w:fldCharType="end"/>
          </w:r>
        </w:sdtContent>
      </w:sdt>
      <w:r>
        <w:t>.</w:t>
      </w:r>
    </w:p>
    <w:p w14:paraId="4FC439DA" w14:textId="5FE4DA7F" w:rsidR="0054544A" w:rsidRDefault="0054544A" w:rsidP="0054544A">
      <w:pPr>
        <w:jc w:val="both"/>
      </w:pPr>
      <w:r>
        <w:t xml:space="preserve">It was assumed that the top 10 old and top 10 new cars account for a 100% of the transactions in Cash for Clunkers program. The mileage for each car of the 20 cars were calculated as the average of all the trims of that </w:t>
      </w:r>
      <w:r w:rsidR="009E174D">
        <w:t>model</w:t>
      </w:r>
      <w:sdt>
        <w:sdtPr>
          <w:id w:val="1662887209"/>
          <w:citation/>
        </w:sdtPr>
        <w:sdtEndPr>
          <w:rPr>
            <w:vertAlign w:val="superscript"/>
          </w:rPr>
        </w:sdtEndPr>
        <w:sdtContent>
          <w:r w:rsidRPr="00AE6B4D">
            <w:rPr>
              <w:vertAlign w:val="superscript"/>
            </w:rPr>
            <w:fldChar w:fldCharType="begin"/>
          </w:r>
          <w:r w:rsidRPr="00AE6B4D">
            <w:rPr>
              <w:vertAlign w:val="superscript"/>
            </w:rPr>
            <w:instrText xml:space="preserve">CITATION Off \l 1033 </w:instrText>
          </w:r>
          <w:r w:rsidRPr="00AE6B4D">
            <w:rPr>
              <w:vertAlign w:val="superscript"/>
            </w:rPr>
            <w:fldChar w:fldCharType="separate"/>
          </w:r>
          <w:r w:rsidR="00773FB1">
            <w:rPr>
              <w:noProof/>
              <w:vertAlign w:val="superscript"/>
            </w:rPr>
            <w:t xml:space="preserve"> </w:t>
          </w:r>
          <w:r w:rsidR="00773FB1" w:rsidRPr="00773FB1">
            <w:rPr>
              <w:noProof/>
            </w:rPr>
            <w:t>[4]</w:t>
          </w:r>
          <w:r w:rsidRPr="00AE6B4D">
            <w:rPr>
              <w:vertAlign w:val="superscript"/>
            </w:rPr>
            <w:fldChar w:fldCharType="end"/>
          </w:r>
        </w:sdtContent>
      </w:sdt>
      <w:r>
        <w:t xml:space="preserve">. Since the list was a top 10 list. The number of cars were assumed </w:t>
      </w:r>
      <w:r w:rsidR="007F5E84">
        <w:t xml:space="preserve">to follow the </w:t>
      </w:r>
      <w:r w:rsidR="002B1D39">
        <w:t>Poisson</w:t>
      </w:r>
      <w:r w:rsidR="007F5E84">
        <w:t xml:space="preserve"> distribution.</w:t>
      </w:r>
    </w:p>
    <w:p w14:paraId="48B87C92" w14:textId="6D787431" w:rsidR="007F5E84" w:rsidRDefault="007F5E84" w:rsidP="0054544A">
      <w:pPr>
        <w:jc w:val="both"/>
      </w:pPr>
      <w:r>
        <w:t>A Monte Carlo simulation was conducted with the random values of number of cars in both the top 10 lists, miles driven by each car per year. The simulation was expected to give the average for miles driven by each car. From that calculation, a range of fuel consumed by new car and old car was calculated with a 95% confidence interval.</w:t>
      </w:r>
    </w:p>
    <w:p w14:paraId="068A0348" w14:textId="290F5EBB" w:rsidR="007F5E84" w:rsidRDefault="007F5E84" w:rsidP="0054544A">
      <w:pPr>
        <w:jc w:val="both"/>
      </w:pPr>
      <w:r>
        <w:t xml:space="preserve">This methodology was applied to 12 years of calculation. It was assumed that the number of cars drives a shorter distance as the car gets older. The savings over </w:t>
      </w:r>
      <w:r w:rsidR="00AE6B4D">
        <w:t xml:space="preserve">is a little shy of 500 Million Gallons of fuel which is </w:t>
      </w:r>
      <w:r w:rsidR="00AE15E6">
        <w:t>≈ $ 1.3 Trillion</w:t>
      </w:r>
      <w:r>
        <w:t>.</w:t>
      </w:r>
      <w:r w:rsidR="00AE15E6">
        <w:t xml:space="preserve"> Which in context is almost equal to the wealth of Top 15 people combined!</w:t>
      </w:r>
    </w:p>
    <w:p w14:paraId="4DB1ED7F" w14:textId="33DE506B" w:rsidR="00AE15E6" w:rsidRDefault="00AE15E6" w:rsidP="0054544A">
      <w:pPr>
        <w:jc w:val="both"/>
      </w:pPr>
      <w:r>
        <w:t>500 Million Gallons is the fuel consumed by the whole country of Fiji in a day. And it has the population of almost 1 Million people.</w:t>
      </w:r>
    </w:p>
    <w:tbl>
      <w:tblPr>
        <w:tblStyle w:val="GridTable4-Accent1"/>
        <w:tblW w:w="0" w:type="auto"/>
        <w:tblLook w:val="04A0" w:firstRow="1" w:lastRow="0" w:firstColumn="1" w:lastColumn="0" w:noHBand="0" w:noVBand="1"/>
      </w:tblPr>
      <w:tblGrid>
        <w:gridCol w:w="1498"/>
        <w:gridCol w:w="1446"/>
        <w:gridCol w:w="1446"/>
        <w:gridCol w:w="1684"/>
        <w:gridCol w:w="3276"/>
      </w:tblGrid>
      <w:tr w:rsidR="00AE6B4D" w:rsidRPr="00AE6B4D" w14:paraId="09C74D15" w14:textId="196EB472" w:rsidTr="00AE6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vMerge w:val="restart"/>
          </w:tcPr>
          <w:p w14:paraId="60ECA2A7" w14:textId="7870FC78" w:rsidR="00AE6B4D" w:rsidRDefault="00AE6B4D" w:rsidP="00AE6B4D">
            <w:pPr>
              <w:jc w:val="center"/>
            </w:pPr>
            <w:r>
              <w:t>Period</w:t>
            </w:r>
          </w:p>
        </w:tc>
        <w:tc>
          <w:tcPr>
            <w:tcW w:w="4576" w:type="dxa"/>
            <w:gridSpan w:val="3"/>
          </w:tcPr>
          <w:p w14:paraId="791A8759" w14:textId="7F67B9F9" w:rsidR="00AE6B4D" w:rsidRDefault="00AE6B4D" w:rsidP="00AE6B4D">
            <w:pPr>
              <w:jc w:val="center"/>
              <w:cnfStyle w:val="100000000000" w:firstRow="1" w:lastRow="0" w:firstColumn="0" w:lastColumn="0" w:oddVBand="0" w:evenVBand="0" w:oddHBand="0" w:evenHBand="0" w:firstRowFirstColumn="0" w:firstRowLastColumn="0" w:lastRowFirstColumn="0" w:lastRowLastColumn="0"/>
            </w:pPr>
            <w:r>
              <w:t>Estimated Fuel Consumption (Million Gallons)</w:t>
            </w:r>
          </w:p>
        </w:tc>
        <w:tc>
          <w:tcPr>
            <w:tcW w:w="3276" w:type="dxa"/>
            <w:vMerge w:val="restart"/>
          </w:tcPr>
          <w:p w14:paraId="470D453E" w14:textId="389A63F6" w:rsidR="00AE6B4D" w:rsidRDefault="00AE6B4D" w:rsidP="00AE6B4D">
            <w:pPr>
              <w:jc w:val="center"/>
              <w:cnfStyle w:val="100000000000" w:firstRow="1" w:lastRow="0" w:firstColumn="0" w:lastColumn="0" w:oddVBand="0" w:evenVBand="0" w:oddHBand="0" w:evenHBand="0" w:firstRowFirstColumn="0" w:firstRowLastColumn="0" w:lastRowFirstColumn="0" w:lastRowLastColumn="0"/>
            </w:pPr>
            <w:r>
              <w:t>Percent Saving</w:t>
            </w:r>
          </w:p>
        </w:tc>
      </w:tr>
      <w:tr w:rsidR="00AE6B4D" w14:paraId="42E4321E" w14:textId="63262E78" w:rsidTr="00AE6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vMerge/>
          </w:tcPr>
          <w:p w14:paraId="3DE4D9E6" w14:textId="77777777" w:rsidR="00AE6B4D" w:rsidRDefault="00AE6B4D" w:rsidP="00AE6B4D">
            <w:pPr>
              <w:jc w:val="center"/>
            </w:pPr>
          </w:p>
        </w:tc>
        <w:tc>
          <w:tcPr>
            <w:tcW w:w="1446" w:type="dxa"/>
            <w:shd w:val="clear" w:color="auto" w:fill="8EAADB" w:themeFill="accent1" w:themeFillTint="99"/>
          </w:tcPr>
          <w:p w14:paraId="0F881A09" w14:textId="1E1C1380" w:rsidR="00AE6B4D" w:rsidRPr="00AE6B4D" w:rsidRDefault="00AE6B4D" w:rsidP="00AE6B4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E6B4D">
              <w:rPr>
                <w:color w:val="FFFFFF" w:themeColor="background1"/>
              </w:rPr>
              <w:t>Old Cars</w:t>
            </w:r>
          </w:p>
        </w:tc>
        <w:tc>
          <w:tcPr>
            <w:tcW w:w="1446" w:type="dxa"/>
            <w:shd w:val="clear" w:color="auto" w:fill="8EAADB" w:themeFill="accent1" w:themeFillTint="99"/>
          </w:tcPr>
          <w:p w14:paraId="735B77B3" w14:textId="3F9C4089" w:rsidR="00AE6B4D" w:rsidRPr="00AE6B4D" w:rsidRDefault="00AE6B4D" w:rsidP="00AE6B4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E6B4D">
              <w:rPr>
                <w:color w:val="FFFFFF" w:themeColor="background1"/>
              </w:rPr>
              <w:t>New Cars</w:t>
            </w:r>
          </w:p>
        </w:tc>
        <w:tc>
          <w:tcPr>
            <w:tcW w:w="1684" w:type="dxa"/>
            <w:shd w:val="clear" w:color="auto" w:fill="8EAADB" w:themeFill="accent1" w:themeFillTint="99"/>
          </w:tcPr>
          <w:p w14:paraId="170C0338" w14:textId="02AC1CA8" w:rsidR="00AE6B4D" w:rsidRPr="00AE6B4D" w:rsidRDefault="00AE6B4D" w:rsidP="00AE6B4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E6B4D">
              <w:rPr>
                <w:color w:val="FFFFFF" w:themeColor="background1"/>
              </w:rPr>
              <w:t>Difference</w:t>
            </w:r>
          </w:p>
        </w:tc>
        <w:tc>
          <w:tcPr>
            <w:tcW w:w="3276" w:type="dxa"/>
            <w:vMerge/>
            <w:shd w:val="clear" w:color="auto" w:fill="8EAADB" w:themeFill="accent1" w:themeFillTint="99"/>
          </w:tcPr>
          <w:p w14:paraId="4AD18E5B" w14:textId="77777777" w:rsidR="00AE6B4D" w:rsidRPr="00AE6B4D" w:rsidRDefault="00AE6B4D" w:rsidP="00AE6B4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AE6B4D" w14:paraId="734D054D" w14:textId="644F0DF3" w:rsidTr="00AE6B4D">
        <w:tc>
          <w:tcPr>
            <w:cnfStyle w:val="001000000000" w:firstRow="0" w:lastRow="0" w:firstColumn="1" w:lastColumn="0" w:oddVBand="0" w:evenVBand="0" w:oddHBand="0" w:evenHBand="0" w:firstRowFirstColumn="0" w:firstRowLastColumn="0" w:lastRowFirstColumn="0" w:lastRowLastColumn="0"/>
            <w:tcW w:w="1498" w:type="dxa"/>
          </w:tcPr>
          <w:p w14:paraId="47637A45" w14:textId="310454DE" w:rsidR="00AE6B4D" w:rsidRDefault="00AE6B4D" w:rsidP="00AE6B4D">
            <w:pPr>
              <w:jc w:val="center"/>
            </w:pPr>
            <w:r>
              <w:t>Year 1</w:t>
            </w:r>
          </w:p>
        </w:tc>
        <w:tc>
          <w:tcPr>
            <w:tcW w:w="1446" w:type="dxa"/>
          </w:tcPr>
          <w:p w14:paraId="4E568CF2" w14:textId="61697B80" w:rsidR="00AE6B4D" w:rsidRDefault="00AE6B4D" w:rsidP="00AE6B4D">
            <w:pPr>
              <w:jc w:val="center"/>
              <w:cnfStyle w:val="000000000000" w:firstRow="0" w:lastRow="0" w:firstColumn="0" w:lastColumn="0" w:oddVBand="0" w:evenVBand="0" w:oddHBand="0" w:evenHBand="0" w:firstRowFirstColumn="0" w:firstRowLastColumn="0" w:lastRowFirstColumn="0" w:lastRowLastColumn="0"/>
            </w:pPr>
            <w:r>
              <w:t>383 – 398</w:t>
            </w:r>
          </w:p>
        </w:tc>
        <w:tc>
          <w:tcPr>
            <w:tcW w:w="1446" w:type="dxa"/>
          </w:tcPr>
          <w:p w14:paraId="6969FE9F" w14:textId="27750292" w:rsidR="00AE6B4D" w:rsidRDefault="00AE6B4D" w:rsidP="00AE6B4D">
            <w:pPr>
              <w:jc w:val="center"/>
              <w:cnfStyle w:val="000000000000" w:firstRow="0" w:lastRow="0" w:firstColumn="0" w:lastColumn="0" w:oddVBand="0" w:evenVBand="0" w:oddHBand="0" w:evenHBand="0" w:firstRowFirstColumn="0" w:firstRowLastColumn="0" w:lastRowFirstColumn="0" w:lastRowLastColumn="0"/>
            </w:pPr>
            <w:r>
              <w:t>350 – 364</w:t>
            </w:r>
          </w:p>
        </w:tc>
        <w:tc>
          <w:tcPr>
            <w:tcW w:w="1684" w:type="dxa"/>
          </w:tcPr>
          <w:p w14:paraId="225A0A62" w14:textId="39AD390B" w:rsidR="00AE6B4D" w:rsidRDefault="00AE6B4D" w:rsidP="00AE6B4D">
            <w:pPr>
              <w:jc w:val="center"/>
              <w:cnfStyle w:val="000000000000" w:firstRow="0" w:lastRow="0" w:firstColumn="0" w:lastColumn="0" w:oddVBand="0" w:evenVBand="0" w:oddHBand="0" w:evenHBand="0" w:firstRowFirstColumn="0" w:firstRowLastColumn="0" w:lastRowFirstColumn="0" w:lastRowLastColumn="0"/>
            </w:pPr>
            <w:r>
              <w:t>33 – 35</w:t>
            </w:r>
          </w:p>
        </w:tc>
        <w:tc>
          <w:tcPr>
            <w:tcW w:w="3276" w:type="dxa"/>
          </w:tcPr>
          <w:p w14:paraId="47D71BC3" w14:textId="1FAB3FD7" w:rsidR="00AE6B4D" w:rsidRDefault="00AE6B4D" w:rsidP="00AE6B4D">
            <w:pPr>
              <w:jc w:val="center"/>
              <w:cnfStyle w:val="000000000000" w:firstRow="0" w:lastRow="0" w:firstColumn="0" w:lastColumn="0" w:oddVBand="0" w:evenVBand="0" w:oddHBand="0" w:evenHBand="0" w:firstRowFirstColumn="0" w:firstRowLastColumn="0" w:lastRowFirstColumn="0" w:lastRowLastColumn="0"/>
            </w:pPr>
            <w:r>
              <w:t>8.63%</w:t>
            </w:r>
          </w:p>
        </w:tc>
      </w:tr>
      <w:tr w:rsidR="00AE6B4D" w14:paraId="7DC1DB54" w14:textId="2250E4AE" w:rsidTr="00AE6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6CD1418C" w14:textId="6807DD02" w:rsidR="00AE6B4D" w:rsidRDefault="00AE6B4D" w:rsidP="00AE6B4D">
            <w:pPr>
              <w:jc w:val="center"/>
            </w:pPr>
            <w:r>
              <w:t>Year 12</w:t>
            </w:r>
          </w:p>
        </w:tc>
        <w:tc>
          <w:tcPr>
            <w:tcW w:w="1446" w:type="dxa"/>
          </w:tcPr>
          <w:p w14:paraId="32CC8B53" w14:textId="3358FE22" w:rsidR="00AE6B4D" w:rsidRDefault="00AE6B4D" w:rsidP="00AE6B4D">
            <w:pPr>
              <w:jc w:val="center"/>
              <w:cnfStyle w:val="000000100000" w:firstRow="0" w:lastRow="0" w:firstColumn="0" w:lastColumn="0" w:oddVBand="0" w:evenVBand="0" w:oddHBand="1" w:evenHBand="0" w:firstRowFirstColumn="0" w:firstRowLastColumn="0" w:lastRowFirstColumn="0" w:lastRowLastColumn="0"/>
            </w:pPr>
            <w:r>
              <w:t>4,465 – 4,520</w:t>
            </w:r>
          </w:p>
        </w:tc>
        <w:tc>
          <w:tcPr>
            <w:tcW w:w="1446" w:type="dxa"/>
          </w:tcPr>
          <w:p w14:paraId="6C09C58B" w14:textId="5F1F610A" w:rsidR="00AE6B4D" w:rsidRDefault="00AE6B4D" w:rsidP="00AE6B4D">
            <w:pPr>
              <w:jc w:val="center"/>
              <w:cnfStyle w:val="000000100000" w:firstRow="0" w:lastRow="0" w:firstColumn="0" w:lastColumn="0" w:oddVBand="0" w:evenVBand="0" w:oddHBand="1" w:evenHBand="0" w:firstRowFirstColumn="0" w:firstRowLastColumn="0" w:lastRowFirstColumn="0" w:lastRowLastColumn="0"/>
            </w:pPr>
            <w:r>
              <w:t>3,987 – 4,086</w:t>
            </w:r>
          </w:p>
        </w:tc>
        <w:tc>
          <w:tcPr>
            <w:tcW w:w="1684" w:type="dxa"/>
          </w:tcPr>
          <w:p w14:paraId="4DEC4FE5" w14:textId="73ECE737" w:rsidR="00AE6B4D" w:rsidRDefault="00AE6B4D" w:rsidP="00AE6B4D">
            <w:pPr>
              <w:jc w:val="center"/>
              <w:cnfStyle w:val="000000100000" w:firstRow="0" w:lastRow="0" w:firstColumn="0" w:lastColumn="0" w:oddVBand="0" w:evenVBand="0" w:oddHBand="1" w:evenHBand="0" w:firstRowFirstColumn="0" w:firstRowLastColumn="0" w:lastRowFirstColumn="0" w:lastRowLastColumn="0"/>
            </w:pPr>
            <w:r>
              <w:t>477 – 489</w:t>
            </w:r>
          </w:p>
        </w:tc>
        <w:tc>
          <w:tcPr>
            <w:tcW w:w="3276" w:type="dxa"/>
          </w:tcPr>
          <w:p w14:paraId="14619CB6" w14:textId="74F9C4D9" w:rsidR="00AE6B4D" w:rsidRDefault="00AE6B4D" w:rsidP="00AE6B4D">
            <w:pPr>
              <w:jc w:val="center"/>
              <w:cnfStyle w:val="000000100000" w:firstRow="0" w:lastRow="0" w:firstColumn="0" w:lastColumn="0" w:oddVBand="0" w:evenVBand="0" w:oddHBand="1" w:evenHBand="0" w:firstRowFirstColumn="0" w:firstRowLastColumn="0" w:lastRowFirstColumn="0" w:lastRowLastColumn="0"/>
            </w:pPr>
            <w:r>
              <w:t>10.69%</w:t>
            </w:r>
          </w:p>
        </w:tc>
      </w:tr>
    </w:tbl>
    <w:p w14:paraId="118C3134" w14:textId="77777777" w:rsidR="007F5E84" w:rsidRPr="0054544A" w:rsidRDefault="007F5E84" w:rsidP="0054544A">
      <w:pPr>
        <w:jc w:val="both"/>
      </w:pPr>
    </w:p>
    <w:p w14:paraId="24E677F6" w14:textId="32392D3A" w:rsidR="007D4ED7" w:rsidRDefault="007D4ED7" w:rsidP="007D4ED7">
      <w:pPr>
        <w:pStyle w:val="Heading2"/>
      </w:pPr>
      <w:bookmarkStart w:id="3" w:name="_Toc5070148"/>
      <w:r>
        <w:t>Fuel savings without Cash for clunkers program</w:t>
      </w:r>
      <w:bookmarkEnd w:id="3"/>
    </w:p>
    <w:p w14:paraId="5688DDD7" w14:textId="45268264" w:rsidR="00AE6B4D" w:rsidRDefault="0007537C" w:rsidP="0007537C">
      <w:pPr>
        <w:spacing w:before="240"/>
        <w:jc w:val="both"/>
      </w:pPr>
      <w:r>
        <w:t xml:space="preserve">To compare the Cash for Clunkers model with the regular scenario, where people trade or buy their car as per the norm. The </w:t>
      </w:r>
      <w:r w:rsidR="002B1D39">
        <w:t>real-world</w:t>
      </w:r>
      <w:r>
        <w:t xml:space="preserve"> data was used from Bureau of Transportation Statistics</w:t>
      </w:r>
      <w:sdt>
        <w:sdtPr>
          <w:id w:val="-718045247"/>
          <w:citation/>
        </w:sdtPr>
        <w:sdtEndPr>
          <w:rPr>
            <w:vertAlign w:val="superscript"/>
          </w:rPr>
        </w:sdtEndPr>
        <w:sdtContent>
          <w:r w:rsidRPr="0007537C">
            <w:rPr>
              <w:vertAlign w:val="superscript"/>
            </w:rPr>
            <w:fldChar w:fldCharType="begin"/>
          </w:r>
          <w:r w:rsidRPr="0007537C">
            <w:rPr>
              <w:vertAlign w:val="superscript"/>
            </w:rPr>
            <w:instrText xml:space="preserve"> CITATION USD19 \l 1033 </w:instrText>
          </w:r>
          <w:r w:rsidRPr="0007537C">
            <w:rPr>
              <w:vertAlign w:val="superscript"/>
            </w:rPr>
            <w:fldChar w:fldCharType="separate"/>
          </w:r>
          <w:r w:rsidR="00773FB1">
            <w:rPr>
              <w:noProof/>
              <w:vertAlign w:val="superscript"/>
            </w:rPr>
            <w:t xml:space="preserve"> </w:t>
          </w:r>
          <w:r w:rsidR="00773FB1" w:rsidRPr="00773FB1">
            <w:rPr>
              <w:noProof/>
            </w:rPr>
            <w:t>[5]</w:t>
          </w:r>
          <w:r w:rsidRPr="0007537C">
            <w:rPr>
              <w:vertAlign w:val="superscript"/>
            </w:rPr>
            <w:fldChar w:fldCharType="end"/>
          </w:r>
        </w:sdtContent>
      </w:sdt>
      <w:r>
        <w:t xml:space="preserve"> where the data was available till the </w:t>
      </w:r>
      <w:r w:rsidR="002B1D39">
        <w:t>calendar</w:t>
      </w:r>
      <w:r>
        <w:t xml:space="preserve"> year of 2006. They rest was projected using a simple regression model with year and number of cars as its input. These numbers were then proportioned to the Cash for Clunkers numbers for comparison.</w:t>
      </w:r>
    </w:p>
    <w:p w14:paraId="08B60BB9" w14:textId="64DD481C" w:rsidR="0007537C" w:rsidRDefault="0007537C" w:rsidP="0007537C">
      <w:pPr>
        <w:jc w:val="both"/>
      </w:pPr>
      <w:r>
        <w:t xml:space="preserve">The average fuel economy numbers were used for the calculation. The gasoline </w:t>
      </w:r>
      <w:r w:rsidR="006913D4">
        <w:t xml:space="preserve">consumption under the normal conditions and “Cash for Clunkers” program </w:t>
      </w:r>
      <w:r w:rsidR="002B1D39">
        <w:t>is</w:t>
      </w:r>
      <w:r w:rsidR="006913D4">
        <w:t xml:space="preserve"> compared in the graph</w:t>
      </w:r>
      <w:r>
        <w:t>.</w:t>
      </w:r>
    </w:p>
    <w:p w14:paraId="517EACD9" w14:textId="77777777" w:rsidR="006913D4" w:rsidRDefault="006913D4" w:rsidP="006913D4">
      <w:pPr>
        <w:keepNext/>
        <w:jc w:val="center"/>
      </w:pPr>
      <w:r>
        <w:rPr>
          <w:noProof/>
        </w:rPr>
        <w:lastRenderedPageBreak/>
        <w:drawing>
          <wp:inline distT="0" distB="0" distL="0" distR="0" wp14:anchorId="4E61B132" wp14:editId="721896DE">
            <wp:extent cx="5593080" cy="2743200"/>
            <wp:effectExtent l="0" t="0" r="7620" b="0"/>
            <wp:docPr id="1" name="Chart 1">
              <a:extLst xmlns:a="http://schemas.openxmlformats.org/drawingml/2006/main">
                <a:ext uri="{FF2B5EF4-FFF2-40B4-BE49-F238E27FC236}">
                  <a16:creationId xmlns:a16="http://schemas.microsoft.com/office/drawing/2014/main" id="{401F9824-0C4C-4B81-8448-079FADF001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731013" w14:textId="4D40F872" w:rsidR="006913D4" w:rsidRPr="00AE6B4D" w:rsidRDefault="006913D4" w:rsidP="006913D4">
      <w:pPr>
        <w:pStyle w:val="Caption"/>
        <w:jc w:val="center"/>
      </w:pPr>
      <w:r>
        <w:t xml:space="preserve">Figure </w:t>
      </w:r>
      <w:fldSimple w:instr=" SEQ Figure \* ARABIC ">
        <w:r w:rsidR="00317F96">
          <w:rPr>
            <w:noProof/>
          </w:rPr>
          <w:t>1</w:t>
        </w:r>
      </w:fldSimple>
      <w:r>
        <w:t>: Gas consumed per year</w:t>
      </w:r>
    </w:p>
    <w:p w14:paraId="5D722F7B" w14:textId="5BC4186C" w:rsidR="007D4ED7" w:rsidRDefault="007D4ED7" w:rsidP="007D4ED7">
      <w:pPr>
        <w:pStyle w:val="Heading2"/>
      </w:pPr>
      <w:bookmarkStart w:id="4" w:name="_Toc5070149"/>
      <w:r>
        <w:t>Theoretical savings</w:t>
      </w:r>
      <w:bookmarkEnd w:id="4"/>
    </w:p>
    <w:p w14:paraId="0CE9D5AF" w14:textId="7E04BDE0" w:rsidR="006913D4" w:rsidRDefault="006913D4" w:rsidP="006913D4">
      <w:pPr>
        <w:spacing w:before="240"/>
        <w:jc w:val="both"/>
      </w:pPr>
      <w:r>
        <w:t xml:space="preserve">If the goal was to have a saving for 10% - 50% the number of cars traded in for new cars be much greater than 700,000. Mathematically, 70 million cars would be needed to achieve the fuel savings of 50%. </w:t>
      </w:r>
      <w:r w:rsidR="009843CE">
        <w:t xml:space="preserve">That would cost the government and tax paying citizens </w:t>
      </w:r>
      <w:r w:rsidR="002B1D39">
        <w:t>an</w:t>
      </w:r>
      <w:r w:rsidR="009843CE">
        <w:t xml:space="preserve"> amount in the 100+ </w:t>
      </w:r>
      <w:r w:rsidR="002B1D39">
        <w:t>billions</w:t>
      </w:r>
      <w:r w:rsidR="009843CE">
        <w:t xml:space="preserve"> of dollars range. Politically, it wouldn’t be a viable option.</w:t>
      </w:r>
    </w:p>
    <w:p w14:paraId="4A57291B" w14:textId="37F2060D" w:rsidR="009843CE" w:rsidRPr="006913D4" w:rsidRDefault="009843CE" w:rsidP="009843CE">
      <w:pPr>
        <w:jc w:val="both"/>
      </w:pPr>
      <w:r>
        <w:t>If this program was implemented in 2019. A huge amount of gas could have been saved, now that electric cars are available in market. Considering that, electric cars can meet the demand generated by this program.</w:t>
      </w:r>
    </w:p>
    <w:p w14:paraId="0249BE19" w14:textId="2C839603" w:rsidR="007D4ED7" w:rsidRDefault="007D4ED7" w:rsidP="007D4ED7">
      <w:pPr>
        <w:pStyle w:val="Heading1"/>
      </w:pPr>
      <w:bookmarkStart w:id="5" w:name="_Toc5070150"/>
      <w:r>
        <w:t>Cost Savings</w:t>
      </w:r>
      <w:bookmarkEnd w:id="5"/>
    </w:p>
    <w:p w14:paraId="4F1EC2B0" w14:textId="58799524" w:rsidR="007D4ED7" w:rsidRDefault="007D4ED7" w:rsidP="007D4ED7">
      <w:pPr>
        <w:pStyle w:val="Heading2"/>
      </w:pPr>
      <w:bookmarkStart w:id="6" w:name="_Toc5070151"/>
      <w:r>
        <w:t>Individual</w:t>
      </w:r>
      <w:r w:rsidR="0054544A">
        <w:t xml:space="preserve"> Savings</w:t>
      </w:r>
      <w:bookmarkEnd w:id="6"/>
    </w:p>
    <w:p w14:paraId="563D8BAA" w14:textId="76D21491" w:rsidR="009843CE" w:rsidRDefault="009843CE" w:rsidP="009843CE">
      <w:pPr>
        <w:spacing w:before="240"/>
        <w:jc w:val="both"/>
      </w:pPr>
      <w:r>
        <w:t xml:space="preserve">In </w:t>
      </w:r>
      <w:r w:rsidR="002B1D39">
        <w:t>this scenario</w:t>
      </w:r>
      <w:r>
        <w:t>, the consumers have an option to trade their car with cash or a loan. This scenario is calculated for 1 year, 5 years and 10 years for both the cases. This section compares the cost of operating the old car as compared to new car.</w:t>
      </w:r>
    </w:p>
    <w:p w14:paraId="0F0CAD3B" w14:textId="55DE33A7" w:rsidR="009843CE" w:rsidRDefault="009843CE" w:rsidP="009843CE">
      <w:pPr>
        <w:jc w:val="both"/>
      </w:pPr>
      <w:r>
        <w:t xml:space="preserve">In this case, the salvage is calculated as a </w:t>
      </w:r>
      <w:r w:rsidR="002B1D39">
        <w:t>best-case</w:t>
      </w:r>
      <w:r>
        <w:t xml:space="preserve"> condition. The salvage value of a car is as much as 80% in the first year itself. Around year 5 it goes down to 40% of the car’s original price and in year 10 it is 10% of the car’s original price.</w:t>
      </w:r>
    </w:p>
    <w:p w14:paraId="1F7326B3" w14:textId="1E4AB4DA" w:rsidR="009843CE" w:rsidRDefault="009843CE" w:rsidP="009843CE">
      <w:pPr>
        <w:jc w:val="both"/>
      </w:pPr>
      <w:r>
        <w:t xml:space="preserve">A new car VS old car matrix has been made with the formula of [present value of new car] – [present value of old car] + [cash for clunkers credit]. If this value is negative, it represents that the operating cost of old car is higher </w:t>
      </w:r>
      <w:r w:rsidR="002B1D39">
        <w:t>than</w:t>
      </w:r>
      <w:r>
        <w:t xml:space="preserve"> the operating cost of new car. Negative values are represented as in red color.</w:t>
      </w:r>
    </w:p>
    <w:p w14:paraId="3429C764" w14:textId="23BC380E" w:rsidR="009843CE" w:rsidRDefault="009843CE" w:rsidP="009843CE">
      <w:pPr>
        <w:jc w:val="both"/>
      </w:pPr>
      <w:r>
        <w:t>If a consumer wishes to trade in their existing car for new car, they have 10 options to choose from. These creates a 10x10 matrix of all cars.</w:t>
      </w:r>
    </w:p>
    <w:p w14:paraId="06BF26F7" w14:textId="29A73C57" w:rsidR="009843CE" w:rsidRDefault="009843CE" w:rsidP="009843CE">
      <w:pPr>
        <w:jc w:val="both"/>
      </w:pPr>
      <w:r>
        <w:lastRenderedPageBreak/>
        <w:t>Case 1.</w:t>
      </w:r>
    </w:p>
    <w:p w14:paraId="0FC297FF" w14:textId="63C359B7" w:rsidR="009843CE" w:rsidRDefault="009843CE" w:rsidP="009843CE">
      <w:pPr>
        <w:jc w:val="both"/>
      </w:pPr>
      <w:r>
        <w:t xml:space="preserve">Consumer wishes to trade in their old car for a new car for just 1 year. The initial investment of the new car alone should convince them to not change their car. </w:t>
      </w:r>
      <w:r w:rsidR="00CE4F5A">
        <w:t>Especially for Toyota Camry, Honda Accord and Ford Escape as their price per gallon is quite low as compared to the other newer cars.</w:t>
      </w:r>
    </w:p>
    <w:p w14:paraId="58559E2A" w14:textId="0280EB94" w:rsidR="00CE4F5A" w:rsidRDefault="00CE4F5A" w:rsidP="009843CE">
      <w:pPr>
        <w:jc w:val="both"/>
      </w:pPr>
      <w:r>
        <w:t>Case 2.</w:t>
      </w:r>
    </w:p>
    <w:p w14:paraId="26DA3827" w14:textId="6BFE0407" w:rsidR="00CE4F5A" w:rsidRDefault="00CE4F5A" w:rsidP="009843CE">
      <w:pPr>
        <w:jc w:val="both"/>
      </w:pPr>
      <w:r>
        <w:t>If a consumer w</w:t>
      </w:r>
      <w:r w:rsidR="00CB3C37">
        <w:t>ishes</w:t>
      </w:r>
      <w:r>
        <w:t xml:space="preserve"> to trade in their old car for new car and looks at the operating cost for 5 years. The values below </w:t>
      </w:r>
      <w:r w:rsidR="002B1D39">
        <w:t>display</w:t>
      </w:r>
      <w:r>
        <w:t xml:space="preserve"> the annual </w:t>
      </w:r>
      <w:r w:rsidR="002B1D39">
        <w:t>costs of operating</w:t>
      </w:r>
      <w:r>
        <w:t xml:space="preserve"> for each combination.</w:t>
      </w:r>
    </w:p>
    <w:p w14:paraId="54BD24BD" w14:textId="1BC9BB5E" w:rsidR="00CB3C37" w:rsidRDefault="00CB3C37" w:rsidP="00CB3C37">
      <w:pPr>
        <w:keepNext/>
        <w:jc w:val="center"/>
      </w:pPr>
      <w:r w:rsidRPr="00CB3C37">
        <w:rPr>
          <w:noProof/>
        </w:rPr>
        <w:drawing>
          <wp:inline distT="0" distB="0" distL="0" distR="0" wp14:anchorId="03254112" wp14:editId="2EAF31E8">
            <wp:extent cx="5943600" cy="1122045"/>
            <wp:effectExtent l="190500" t="190500" r="190500" b="1924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2045"/>
                    </a:xfrm>
                    <a:prstGeom prst="rect">
                      <a:avLst/>
                    </a:prstGeom>
                    <a:ln>
                      <a:noFill/>
                    </a:ln>
                    <a:effectLst>
                      <a:outerShdw blurRad="190500" algn="tl" rotWithShape="0">
                        <a:srgbClr val="000000">
                          <a:alpha val="70000"/>
                        </a:srgbClr>
                      </a:outerShdw>
                    </a:effectLst>
                  </pic:spPr>
                </pic:pic>
              </a:graphicData>
            </a:graphic>
          </wp:inline>
        </w:drawing>
      </w:r>
    </w:p>
    <w:p w14:paraId="3BF25BE2" w14:textId="0A86008D" w:rsidR="00CB3C37" w:rsidRDefault="00CB3C37" w:rsidP="00CB3C37">
      <w:pPr>
        <w:pStyle w:val="Caption"/>
        <w:jc w:val="center"/>
      </w:pPr>
      <w:r>
        <w:t xml:space="preserve">Figure </w:t>
      </w:r>
      <w:fldSimple w:instr=" SEQ Figure \* ARABIC ">
        <w:r w:rsidR="00317F96">
          <w:rPr>
            <w:noProof/>
          </w:rPr>
          <w:t>2</w:t>
        </w:r>
      </w:fldSimple>
      <w:r>
        <w:t xml:space="preserve">: </w:t>
      </w:r>
      <w:r w:rsidR="002B1D39">
        <w:t>5-year</w:t>
      </w:r>
      <w:r>
        <w:t xml:space="preserve"> plan for customers</w:t>
      </w:r>
    </w:p>
    <w:p w14:paraId="35311D46" w14:textId="63421AD4" w:rsidR="00CB3C37" w:rsidRDefault="00CB3C37" w:rsidP="00CB3C37">
      <w:pPr>
        <w:jc w:val="both"/>
      </w:pPr>
      <w:r>
        <w:t xml:space="preserve">The difference of operation costs is low. The credit and if there </w:t>
      </w:r>
      <w:r w:rsidR="002B1D39">
        <w:t>are</w:t>
      </w:r>
      <w:r>
        <w:t xml:space="preserve"> any salvage for old cars the difference will become positive. Camry, Accord and Escape costs have a lot of operating cost</w:t>
      </w:r>
      <w:r w:rsidR="0062731B">
        <w:t>, but overtime the cost may decrease as they have a better fuel economy as compared to the cars which are traded-in.</w:t>
      </w:r>
    </w:p>
    <w:p w14:paraId="6C29E204" w14:textId="176157DC" w:rsidR="002D5FC2" w:rsidRDefault="002D5FC2" w:rsidP="00CB3C37">
      <w:pPr>
        <w:jc w:val="both"/>
      </w:pPr>
      <w:r>
        <w:t>For 10 years, almost all the options become a viable option. With the only major difference for Dodge Caravan trade options. Dodge Caravan seems to have a good fuel economy and a relatively low insurance cost.</w:t>
      </w:r>
    </w:p>
    <w:p w14:paraId="3F138AFC" w14:textId="77777777" w:rsidR="002D5FC2" w:rsidRDefault="002D5FC2" w:rsidP="002D5FC2">
      <w:pPr>
        <w:keepNext/>
        <w:jc w:val="center"/>
      </w:pPr>
      <w:r w:rsidRPr="002D5FC2">
        <w:rPr>
          <w:noProof/>
        </w:rPr>
        <w:drawing>
          <wp:inline distT="0" distB="0" distL="0" distR="0" wp14:anchorId="6519CB23" wp14:editId="78D3A5D0">
            <wp:extent cx="5943600" cy="1123315"/>
            <wp:effectExtent l="190500" t="190500" r="190500" b="1911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23315"/>
                    </a:xfrm>
                    <a:prstGeom prst="rect">
                      <a:avLst/>
                    </a:prstGeom>
                    <a:ln>
                      <a:noFill/>
                    </a:ln>
                    <a:effectLst>
                      <a:outerShdw blurRad="190500" algn="tl" rotWithShape="0">
                        <a:srgbClr val="000000">
                          <a:alpha val="70000"/>
                        </a:srgbClr>
                      </a:outerShdw>
                    </a:effectLst>
                  </pic:spPr>
                </pic:pic>
              </a:graphicData>
            </a:graphic>
          </wp:inline>
        </w:drawing>
      </w:r>
    </w:p>
    <w:p w14:paraId="0E2934FA" w14:textId="2E9DF780" w:rsidR="002D5FC2" w:rsidRDefault="002D5FC2" w:rsidP="002D5FC2">
      <w:pPr>
        <w:pStyle w:val="Caption"/>
        <w:jc w:val="center"/>
      </w:pPr>
      <w:r>
        <w:t xml:space="preserve">Figure </w:t>
      </w:r>
      <w:fldSimple w:instr=" SEQ Figure \* ARABIC ">
        <w:r w:rsidR="00317F96">
          <w:rPr>
            <w:noProof/>
          </w:rPr>
          <w:t>3</w:t>
        </w:r>
      </w:fldSimple>
      <w:r>
        <w:t xml:space="preserve">: </w:t>
      </w:r>
      <w:r w:rsidR="002B1D39">
        <w:t>10-year</w:t>
      </w:r>
      <w:r>
        <w:t xml:space="preserve"> plan for consumers</w:t>
      </w:r>
    </w:p>
    <w:p w14:paraId="2D007C9A" w14:textId="77777777" w:rsidR="002D5FC2" w:rsidRDefault="002D5FC2" w:rsidP="00CB3C37">
      <w:pPr>
        <w:jc w:val="both"/>
      </w:pPr>
      <w:r>
        <w:t>Case 3.</w:t>
      </w:r>
    </w:p>
    <w:p w14:paraId="0AB46CF3" w14:textId="5CC4F525" w:rsidR="002D5FC2" w:rsidRPr="00CB3C37" w:rsidRDefault="002D5FC2" w:rsidP="00CB3C37">
      <w:pPr>
        <w:jc w:val="both"/>
      </w:pPr>
      <w:r>
        <w:t xml:space="preserve">If a consumer wants to trade-in using borrowed funds. All the options turn to red. The interest and principle payment </w:t>
      </w:r>
      <w:r w:rsidR="002B1D39">
        <w:t>cause</w:t>
      </w:r>
      <w:r>
        <w:t xml:space="preserve"> the operation costs of new cars to be higher than running the old car. The only car which has a </w:t>
      </w:r>
      <w:r w:rsidR="002B1D39">
        <w:t>lower operating cost</w:t>
      </w:r>
      <w:r>
        <w:t xml:space="preserve"> as compared to others. The fuel economy of Toyota Prius might be the main contributor for lowering the operation costs. But still not enough to justify the change in vehicle.</w:t>
      </w:r>
    </w:p>
    <w:p w14:paraId="289CC687" w14:textId="76A46258" w:rsidR="0054544A" w:rsidRDefault="0054544A" w:rsidP="0054544A">
      <w:pPr>
        <w:pStyle w:val="Heading2"/>
      </w:pPr>
      <w:bookmarkStart w:id="7" w:name="_Toc5070152"/>
      <w:r>
        <w:lastRenderedPageBreak/>
        <w:t>Corporate Savings</w:t>
      </w:r>
      <w:bookmarkEnd w:id="7"/>
    </w:p>
    <w:p w14:paraId="1B5DBF4F" w14:textId="603EAB29" w:rsidR="002D5FC2" w:rsidRDefault="002D5FC2" w:rsidP="006B214A">
      <w:pPr>
        <w:spacing w:before="240"/>
        <w:jc w:val="both"/>
      </w:pPr>
      <w:r>
        <w:t xml:space="preserve">Corporate systems can save a lot by this program. Depreciation </w:t>
      </w:r>
      <w:r w:rsidR="006B214A">
        <w:t xml:space="preserve">plays a major role in net cost savings for new car. For corporate uses, </w:t>
      </w:r>
      <w:r w:rsidR="002B1D39">
        <w:t>1-year</w:t>
      </w:r>
      <w:r w:rsidR="006B214A">
        <w:t xml:space="preserve"> calculation doesn’t justify because the cost of investment will be </w:t>
      </w:r>
      <w:r w:rsidR="002B1D39">
        <w:t>too</w:t>
      </w:r>
      <w:r w:rsidR="006B214A">
        <w:t xml:space="preserve"> high without a chance of getting any returns.</w:t>
      </w:r>
    </w:p>
    <w:p w14:paraId="2C7BF4E9" w14:textId="30080682" w:rsidR="006B214A" w:rsidRDefault="006B214A" w:rsidP="006B214A">
      <w:pPr>
        <w:jc w:val="both"/>
      </w:pPr>
      <w:r>
        <w:t xml:space="preserve">The 5 year and </w:t>
      </w:r>
      <w:r w:rsidR="002B1D39">
        <w:t>10-year</w:t>
      </w:r>
      <w:r>
        <w:t xml:space="preserve"> plan for costs has all the values in the red. That is mainly due to the cost of investment. The investment cost is too high. But if the investment period is increased by 2 years, there are many suitable options for corporate systems. In case of borrowing funds. The costs of investments </w:t>
      </w:r>
      <w:r w:rsidR="002B1D39">
        <w:t>start</w:t>
      </w:r>
      <w:r>
        <w:t xml:space="preserve"> to negate themselves and the savings start to add.</w:t>
      </w:r>
    </w:p>
    <w:p w14:paraId="74F47F43" w14:textId="55C523BB" w:rsidR="006B214A" w:rsidRDefault="006B214A" w:rsidP="006B214A">
      <w:pPr>
        <w:jc w:val="both"/>
      </w:pPr>
      <w:r>
        <w:t xml:space="preserve">Depreciation is calculated by 5-year MACRS as cited by IRS guidelines for depreciation. For the first 3 years the depreciation is calculated in double declining method and after that by linear depreciation method. </w:t>
      </w:r>
      <w:r w:rsidR="009E174D">
        <w:t>Except for</w:t>
      </w:r>
      <w:r>
        <w:t xml:space="preserve"> Dodge Caravan, all other older cars have a </w:t>
      </w:r>
      <w:r w:rsidR="002B1D39">
        <w:t>higher operating cost</w:t>
      </w:r>
      <w:r>
        <w:t xml:space="preserve"> as compared to newer cars.</w:t>
      </w:r>
    </w:p>
    <w:p w14:paraId="0DB086F6" w14:textId="77777777" w:rsidR="006B214A" w:rsidRDefault="006B214A" w:rsidP="006B214A">
      <w:pPr>
        <w:keepNext/>
        <w:jc w:val="center"/>
      </w:pPr>
      <w:r w:rsidRPr="006B214A">
        <w:rPr>
          <w:noProof/>
        </w:rPr>
        <w:drawing>
          <wp:inline distT="0" distB="0" distL="0" distR="0" wp14:anchorId="3A30536F" wp14:editId="4E0B8E31">
            <wp:extent cx="5943600" cy="1084580"/>
            <wp:effectExtent l="190500" t="190500" r="19050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84580"/>
                    </a:xfrm>
                    <a:prstGeom prst="rect">
                      <a:avLst/>
                    </a:prstGeom>
                    <a:ln>
                      <a:noFill/>
                    </a:ln>
                    <a:effectLst>
                      <a:outerShdw blurRad="190500" algn="tl" rotWithShape="0">
                        <a:srgbClr val="000000">
                          <a:alpha val="70000"/>
                        </a:srgbClr>
                      </a:outerShdw>
                    </a:effectLst>
                  </pic:spPr>
                </pic:pic>
              </a:graphicData>
            </a:graphic>
          </wp:inline>
        </w:drawing>
      </w:r>
    </w:p>
    <w:p w14:paraId="2EE98818" w14:textId="4CBF8CB1" w:rsidR="006B214A" w:rsidRDefault="006B214A" w:rsidP="006B214A">
      <w:pPr>
        <w:pStyle w:val="Caption"/>
        <w:jc w:val="center"/>
      </w:pPr>
      <w:r>
        <w:t xml:space="preserve">Figure </w:t>
      </w:r>
      <w:fldSimple w:instr=" SEQ Figure \* ARABIC ">
        <w:r w:rsidR="00317F96">
          <w:rPr>
            <w:noProof/>
          </w:rPr>
          <w:t>4</w:t>
        </w:r>
      </w:fldSimple>
      <w:r>
        <w:t xml:space="preserve">: </w:t>
      </w:r>
      <w:r w:rsidR="002B1D39">
        <w:t>5-year</w:t>
      </w:r>
      <w:r>
        <w:t xml:space="preserve"> corporate borrow plan</w:t>
      </w:r>
    </w:p>
    <w:p w14:paraId="2A22F0E6" w14:textId="703BCFF0" w:rsidR="006B214A" w:rsidRDefault="00317F96" w:rsidP="00317F96">
      <w:pPr>
        <w:jc w:val="both"/>
      </w:pPr>
      <w:r>
        <w:t xml:space="preserve">If </w:t>
      </w:r>
      <w:r w:rsidR="002B1D39">
        <w:t>10-year</w:t>
      </w:r>
      <w:r>
        <w:t xml:space="preserve"> plan is calculated for corporations the considered, a different outcome appears than the expected one. Some of the cars have a </w:t>
      </w:r>
      <w:r w:rsidR="002B1D39">
        <w:t>higher operating cost</w:t>
      </w:r>
      <w:r>
        <w:t xml:space="preserve">. Therefore, </w:t>
      </w:r>
      <w:r w:rsidR="002B1D39">
        <w:t>losing</w:t>
      </w:r>
      <w:r>
        <w:t xml:space="preserve"> some savings as compared with older models.</w:t>
      </w:r>
    </w:p>
    <w:p w14:paraId="5D9B3E18" w14:textId="77777777" w:rsidR="00317F96" w:rsidRDefault="00317F96" w:rsidP="00317F96">
      <w:pPr>
        <w:keepNext/>
        <w:jc w:val="center"/>
      </w:pPr>
      <w:r w:rsidRPr="00317F96">
        <w:rPr>
          <w:noProof/>
        </w:rPr>
        <w:drawing>
          <wp:inline distT="0" distB="0" distL="0" distR="0" wp14:anchorId="1772420B" wp14:editId="7A03AA97">
            <wp:extent cx="5943600" cy="1085215"/>
            <wp:effectExtent l="190500" t="190500" r="190500" b="1911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5215"/>
                    </a:xfrm>
                    <a:prstGeom prst="rect">
                      <a:avLst/>
                    </a:prstGeom>
                    <a:ln>
                      <a:noFill/>
                    </a:ln>
                    <a:effectLst>
                      <a:outerShdw blurRad="190500" algn="tl" rotWithShape="0">
                        <a:srgbClr val="000000">
                          <a:alpha val="70000"/>
                        </a:srgbClr>
                      </a:outerShdw>
                    </a:effectLst>
                  </pic:spPr>
                </pic:pic>
              </a:graphicData>
            </a:graphic>
          </wp:inline>
        </w:drawing>
      </w:r>
    </w:p>
    <w:p w14:paraId="1289DD4B" w14:textId="57BDDF43" w:rsidR="00317F96" w:rsidRDefault="00317F96" w:rsidP="00317F96">
      <w:pPr>
        <w:pStyle w:val="Caption"/>
        <w:jc w:val="center"/>
      </w:pPr>
      <w:r>
        <w:t xml:space="preserve">Figure </w:t>
      </w:r>
      <w:fldSimple w:instr=" SEQ Figure \* ARABIC ">
        <w:r>
          <w:rPr>
            <w:noProof/>
          </w:rPr>
          <w:t>5</w:t>
        </w:r>
      </w:fldSimple>
      <w:r>
        <w:t xml:space="preserve">: </w:t>
      </w:r>
      <w:r w:rsidR="002B1D39">
        <w:t>10-year</w:t>
      </w:r>
      <w:r>
        <w:t xml:space="preserve"> corporate borrow plan</w:t>
      </w:r>
    </w:p>
    <w:p w14:paraId="14668174" w14:textId="54D21C9A" w:rsidR="00317F96" w:rsidRPr="00317F96" w:rsidRDefault="00317F96" w:rsidP="00317F96">
      <w:pPr>
        <w:jc w:val="both"/>
      </w:pPr>
      <w:r>
        <w:t xml:space="preserve">Toyota’s Camry, Hondo’s Accord and Ford’s Escape have a higher operating cost. And Dodge Caravan has a better savings as compared to most of models with the exception to Toyota’s Prius. </w:t>
      </w:r>
    </w:p>
    <w:p w14:paraId="29105A47" w14:textId="1BA02806" w:rsidR="0054544A" w:rsidRDefault="0054544A" w:rsidP="0054544A">
      <w:pPr>
        <w:pStyle w:val="Heading1"/>
      </w:pPr>
      <w:bookmarkStart w:id="8" w:name="_Toc5070153"/>
      <w:r>
        <w:t>Societal Benefits</w:t>
      </w:r>
      <w:bookmarkEnd w:id="8"/>
    </w:p>
    <w:p w14:paraId="6A2C2D1E" w14:textId="53F23242" w:rsidR="00317F96" w:rsidRDefault="00317F96" w:rsidP="00C8756A">
      <w:pPr>
        <w:spacing w:before="240"/>
        <w:jc w:val="both"/>
      </w:pPr>
      <w:r>
        <w:t xml:space="preserve">With a $3 Billion program to convert the less fuel economic cars to a cleaner, greener cars should also carry some social benefits. With about 30 million gallons brought down in the </w:t>
      </w:r>
      <w:r w:rsidR="00C8756A">
        <w:t>initial</w:t>
      </w:r>
      <w:r>
        <w:t xml:space="preserve"> year itself </w:t>
      </w:r>
      <w:r w:rsidR="00C8756A">
        <w:t xml:space="preserve">the carbon </w:t>
      </w:r>
      <w:r w:rsidR="00C8756A">
        <w:lastRenderedPageBreak/>
        <w:t>emission would have reduced. Traditional economist would argue that true benefits would be higher as most of the consumers who traded their cars, are likely to be traveling a much larger distance as compared to others. And I concur to that assumption.</w:t>
      </w:r>
    </w:p>
    <w:p w14:paraId="5A851932" w14:textId="2E6B4335" w:rsidR="00C8756A" w:rsidRPr="00317F96" w:rsidRDefault="00C8756A" w:rsidP="00317F96">
      <w:pPr>
        <w:jc w:val="both"/>
      </w:pPr>
      <w:r>
        <w:t>In addition to the benefits mentioned above. This program, on an average saved about $</w:t>
      </w:r>
      <w:r w:rsidR="00EE575E">
        <w:t>125</w:t>
      </w:r>
      <w:r>
        <w:t>/car and about $0.</w:t>
      </w:r>
      <w:r w:rsidR="00E05694">
        <w:t>4</w:t>
      </w:r>
      <w:r>
        <w:t xml:space="preserve"> savings on gas.</w:t>
      </w:r>
    </w:p>
    <w:p w14:paraId="18496C2F" w14:textId="77073E92" w:rsidR="0054544A" w:rsidRDefault="0054544A" w:rsidP="0054544A">
      <w:pPr>
        <w:pStyle w:val="Heading1"/>
      </w:pPr>
      <w:bookmarkStart w:id="9" w:name="_Toc5070154"/>
      <w:r>
        <w:t>Conclusion and Recommendations</w:t>
      </w:r>
      <w:bookmarkEnd w:id="9"/>
      <w:r>
        <w:t xml:space="preserve"> </w:t>
      </w:r>
    </w:p>
    <w:p w14:paraId="6BF8522F" w14:textId="41A5284B" w:rsidR="00C8756A" w:rsidRDefault="00C8756A" w:rsidP="00C8756A">
      <w:pPr>
        <w:spacing w:before="240"/>
        <w:jc w:val="both"/>
      </w:pPr>
      <w:r>
        <w:t>Although the author’s views are positive the overall statistics tell a different story. With a savings of $0.</w:t>
      </w:r>
      <w:r w:rsidR="00E05694">
        <w:t>4</w:t>
      </w:r>
      <w:r>
        <w:t xml:space="preserve"> per gallon, this program should not be used in this form. The cost of the program was quite high as compared to the results it shows. The real program savings of about $0.5 per gallon is also not a quantitatively high number.</w:t>
      </w:r>
    </w:p>
    <w:p w14:paraId="5E154782" w14:textId="59DED3EA" w:rsidR="009839C4" w:rsidRPr="00C8756A" w:rsidRDefault="00C8756A" w:rsidP="00C8756A">
      <w:pPr>
        <w:jc w:val="both"/>
      </w:pPr>
      <w:r>
        <w:t xml:space="preserve">If this program was available to consumers having </w:t>
      </w:r>
      <w:r w:rsidR="009839C4">
        <w:t xml:space="preserve">a greater travel distance, this program would have had a better impact than opening the program to all customers. If this program would have been implemented </w:t>
      </w:r>
      <w:r w:rsidR="002B1D39">
        <w:t>this recent year</w:t>
      </w:r>
      <w:r w:rsidR="009839C4">
        <w:t>, the availability of hybrid and electronic cars would have had a greater impact on the whole program [assuming the demand would have been met].</w:t>
      </w:r>
    </w:p>
    <w:p w14:paraId="7AB0E696" w14:textId="3D7A1B9C" w:rsidR="0054544A" w:rsidRDefault="0054544A" w:rsidP="0054544A">
      <w:pPr>
        <w:pStyle w:val="Heading1"/>
      </w:pPr>
      <w:bookmarkStart w:id="10" w:name="_Assumptions_and_Model"/>
      <w:bookmarkStart w:id="11" w:name="_Toc5070155"/>
      <w:bookmarkEnd w:id="10"/>
      <w:r>
        <w:t>Assumptions and Model Boundaries</w:t>
      </w:r>
      <w:bookmarkEnd w:id="11"/>
    </w:p>
    <w:p w14:paraId="1081F8BB" w14:textId="0CE7FF51" w:rsidR="009839C4" w:rsidRDefault="00245A6D" w:rsidP="009839C4">
      <w:pPr>
        <w:pStyle w:val="ListParagraph"/>
        <w:numPr>
          <w:ilvl w:val="0"/>
          <w:numId w:val="4"/>
        </w:numPr>
      </w:pPr>
      <w:r>
        <w:t>The interest rate is 5%</w:t>
      </w:r>
    </w:p>
    <w:p w14:paraId="3B3A812C" w14:textId="1E227009" w:rsidR="00245A6D" w:rsidRDefault="00245A6D" w:rsidP="009839C4">
      <w:pPr>
        <w:pStyle w:val="ListParagraph"/>
        <w:numPr>
          <w:ilvl w:val="0"/>
          <w:numId w:val="4"/>
        </w:numPr>
      </w:pPr>
      <w:r>
        <w:t>The cost of fuel is assumed to be $2.5</w:t>
      </w:r>
    </w:p>
    <w:p w14:paraId="2A30DCD6" w14:textId="76AF9147" w:rsidR="00245A6D" w:rsidRDefault="00245A6D" w:rsidP="009839C4">
      <w:pPr>
        <w:pStyle w:val="ListParagraph"/>
        <w:numPr>
          <w:ilvl w:val="0"/>
          <w:numId w:val="4"/>
        </w:numPr>
      </w:pPr>
      <w:r>
        <w:t>Average distance travelled is 12000 miles</w:t>
      </w:r>
    </w:p>
    <w:p w14:paraId="486535A5" w14:textId="4A2C5742" w:rsidR="00245A6D" w:rsidRDefault="00245A6D" w:rsidP="009839C4">
      <w:pPr>
        <w:pStyle w:val="ListParagraph"/>
        <w:numPr>
          <w:ilvl w:val="0"/>
          <w:numId w:val="4"/>
        </w:numPr>
      </w:pPr>
      <w:r>
        <w:t>The top 10 traded-in cars and the top 10 new cars are 100% account for all the cars.</w:t>
      </w:r>
    </w:p>
    <w:p w14:paraId="221C542C" w14:textId="5132C87E" w:rsidR="00245A6D" w:rsidRDefault="00245A6D" w:rsidP="009839C4">
      <w:pPr>
        <w:pStyle w:val="ListParagraph"/>
        <w:numPr>
          <w:ilvl w:val="0"/>
          <w:numId w:val="4"/>
        </w:numPr>
      </w:pPr>
      <w:r>
        <w:t>Salvage value isn’t part of the old car’s calculations</w:t>
      </w:r>
    </w:p>
    <w:p w14:paraId="24426EB4" w14:textId="155E0207" w:rsidR="00245A6D" w:rsidRDefault="00245A6D" w:rsidP="009839C4">
      <w:pPr>
        <w:pStyle w:val="ListParagraph"/>
        <w:numPr>
          <w:ilvl w:val="0"/>
          <w:numId w:val="4"/>
        </w:numPr>
      </w:pPr>
      <w:r>
        <w:t>Salvage value of new cars after 1 year is 80%, 5 years is 40% and 10 years is 10% of the original price.</w:t>
      </w:r>
    </w:p>
    <w:p w14:paraId="406B0B80" w14:textId="51EC3E77" w:rsidR="004D680F" w:rsidRDefault="004D680F" w:rsidP="004D680F">
      <w:pPr>
        <w:pStyle w:val="ListParagraph"/>
        <w:numPr>
          <w:ilvl w:val="0"/>
          <w:numId w:val="4"/>
        </w:numPr>
      </w:pPr>
      <w:r>
        <w:t>Insurance across the table is yearly insurance cost.</w:t>
      </w:r>
    </w:p>
    <w:p w14:paraId="6F253D3C" w14:textId="6E85E8D3" w:rsidR="004D680F" w:rsidRDefault="004D680F" w:rsidP="004D680F">
      <w:pPr>
        <w:pStyle w:val="ListParagraph"/>
        <w:numPr>
          <w:ilvl w:val="0"/>
          <w:numId w:val="4"/>
        </w:numPr>
      </w:pPr>
      <w:r>
        <w:t>Purchase Cost of new car is at year 0</w:t>
      </w:r>
    </w:p>
    <w:p w14:paraId="2241C61D" w14:textId="68BDFD6A" w:rsidR="004D680F" w:rsidRDefault="004D680F" w:rsidP="004D680F">
      <w:pPr>
        <w:pStyle w:val="ListParagraph"/>
        <w:numPr>
          <w:ilvl w:val="0"/>
          <w:numId w:val="4"/>
        </w:numPr>
      </w:pPr>
      <w:r>
        <w:t>Discount rate is 5%</w:t>
      </w:r>
    </w:p>
    <w:p w14:paraId="5BAFCB7C" w14:textId="65A3D4C9" w:rsidR="004D680F" w:rsidRDefault="004D680F" w:rsidP="004D680F">
      <w:pPr>
        <w:pStyle w:val="ListParagraph"/>
        <w:numPr>
          <w:ilvl w:val="0"/>
          <w:numId w:val="4"/>
        </w:numPr>
      </w:pPr>
      <w:r>
        <w:t>Corporations have an annual income of $0</w:t>
      </w:r>
    </w:p>
    <w:p w14:paraId="592714AF" w14:textId="7AC18122" w:rsidR="004D680F" w:rsidRDefault="004D680F" w:rsidP="004D680F">
      <w:pPr>
        <w:pStyle w:val="ListParagraph"/>
        <w:numPr>
          <w:ilvl w:val="0"/>
          <w:numId w:val="4"/>
        </w:numPr>
      </w:pPr>
      <w:r>
        <w:t xml:space="preserve">Fuel economy of all cars in the system are average of the different variants of the cars. Special versions of the car </w:t>
      </w:r>
      <w:r w:rsidR="002B1D39">
        <w:t>are</w:t>
      </w:r>
      <w:r>
        <w:t xml:space="preserve"> not kept in consideration.</w:t>
      </w:r>
    </w:p>
    <w:p w14:paraId="219885B0" w14:textId="266042EF" w:rsidR="004D680F" w:rsidRDefault="004D680F" w:rsidP="004D680F">
      <w:pPr>
        <w:pStyle w:val="ListParagraph"/>
        <w:numPr>
          <w:ilvl w:val="0"/>
          <w:numId w:val="4"/>
        </w:numPr>
      </w:pPr>
      <w:r>
        <w:t>Environment costs are not calculated.</w:t>
      </w:r>
    </w:p>
    <w:p w14:paraId="55F497B3" w14:textId="1B866980" w:rsidR="00643428" w:rsidRPr="009839C4" w:rsidRDefault="00643428" w:rsidP="004D680F">
      <w:pPr>
        <w:pStyle w:val="ListParagraph"/>
        <w:numPr>
          <w:ilvl w:val="0"/>
          <w:numId w:val="4"/>
        </w:numPr>
      </w:pPr>
      <w:r>
        <w:t>Vehicles are well maintained and have little to no impact on the fuel economy.</w:t>
      </w:r>
    </w:p>
    <w:p w14:paraId="759BB9E5" w14:textId="723771F0" w:rsidR="00C8756A" w:rsidRDefault="00C8756A" w:rsidP="009839C4">
      <w:pPr>
        <w:pStyle w:val="Heading1"/>
        <w:numPr>
          <w:ilvl w:val="0"/>
          <w:numId w:val="0"/>
        </w:numPr>
      </w:pPr>
      <w:r>
        <w:br w:type="page"/>
      </w:r>
    </w:p>
    <w:bookmarkStart w:id="12" w:name="_Toc5070156" w:displacedByCustomXml="next"/>
    <w:sdt>
      <w:sdtPr>
        <w:rPr>
          <w:rFonts w:asciiTheme="minorHAnsi" w:eastAsiaTheme="minorHAnsi" w:hAnsiTheme="minorHAnsi" w:cstheme="minorBidi"/>
          <w:color w:val="auto"/>
          <w:sz w:val="22"/>
          <w:szCs w:val="22"/>
        </w:rPr>
        <w:id w:val="251786391"/>
        <w:docPartObj>
          <w:docPartGallery w:val="Bibliographies"/>
          <w:docPartUnique/>
        </w:docPartObj>
      </w:sdtPr>
      <w:sdtEndPr/>
      <w:sdtContent>
        <w:p w14:paraId="2F532443" w14:textId="7E34AA66" w:rsidR="0054544A" w:rsidRPr="00C8756A" w:rsidRDefault="0054544A" w:rsidP="002F48AE">
          <w:pPr>
            <w:pStyle w:val="Heading1"/>
          </w:pPr>
          <w:r w:rsidRPr="00C8756A">
            <w:t>References</w:t>
          </w:r>
          <w:bookmarkEnd w:id="12"/>
        </w:p>
        <w:sdt>
          <w:sdtPr>
            <w:id w:val="-573587230"/>
            <w:bibliography/>
          </w:sdtPr>
          <w:sdtEndPr/>
          <w:sdtContent>
            <w:p w14:paraId="26AE171D" w14:textId="77777777" w:rsidR="00773FB1" w:rsidRDefault="0054544A" w:rsidP="0054544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
                <w:gridCol w:w="9083"/>
              </w:tblGrid>
              <w:tr w:rsidR="00773FB1" w:rsidRPr="00773FB1" w14:paraId="3EABAF98" w14:textId="77777777">
                <w:trPr>
                  <w:divId w:val="151289598"/>
                  <w:tblCellSpacing w:w="15" w:type="dxa"/>
                </w:trPr>
                <w:tc>
                  <w:tcPr>
                    <w:tcW w:w="50" w:type="pct"/>
                    <w:hideMark/>
                  </w:tcPr>
                  <w:p w14:paraId="096F013B" w14:textId="7D4A4E63" w:rsidR="00773FB1" w:rsidRPr="00773FB1" w:rsidRDefault="00773FB1">
                    <w:pPr>
                      <w:pStyle w:val="Bibliography"/>
                      <w:rPr>
                        <w:noProof/>
                        <w:sz w:val="18"/>
                        <w:szCs w:val="24"/>
                      </w:rPr>
                    </w:pPr>
                    <w:r w:rsidRPr="00773FB1">
                      <w:rPr>
                        <w:noProof/>
                        <w:sz w:val="18"/>
                      </w:rPr>
                      <w:t xml:space="preserve">[1] </w:t>
                    </w:r>
                  </w:p>
                </w:tc>
                <w:tc>
                  <w:tcPr>
                    <w:tcW w:w="0" w:type="auto"/>
                    <w:hideMark/>
                  </w:tcPr>
                  <w:p w14:paraId="028EE31E" w14:textId="77777777" w:rsidR="00773FB1" w:rsidRPr="00773FB1" w:rsidRDefault="00773FB1">
                    <w:pPr>
                      <w:pStyle w:val="Bibliography"/>
                      <w:rPr>
                        <w:noProof/>
                        <w:sz w:val="18"/>
                      </w:rPr>
                    </w:pPr>
                    <w:r w:rsidRPr="00773FB1">
                      <w:rPr>
                        <w:noProof/>
                        <w:sz w:val="18"/>
                      </w:rPr>
                      <w:t>Nick Bunkley, "Government will end clunkers program early," 20 August 2009. [Online]. Available: https://www.nytimes.com/2009/08/21/business/21clunkers.html?_r=1&amp;scp=3&amp;sq=cash%20for%20clunkers&amp;st=cse. [Accessed March 2019].</w:t>
                    </w:r>
                  </w:p>
                </w:tc>
              </w:tr>
              <w:tr w:rsidR="00773FB1" w:rsidRPr="00773FB1" w14:paraId="5B2B039A" w14:textId="77777777">
                <w:trPr>
                  <w:divId w:val="151289598"/>
                  <w:tblCellSpacing w:w="15" w:type="dxa"/>
                </w:trPr>
                <w:tc>
                  <w:tcPr>
                    <w:tcW w:w="50" w:type="pct"/>
                    <w:hideMark/>
                  </w:tcPr>
                  <w:p w14:paraId="5B7C2ED0" w14:textId="77777777" w:rsidR="00773FB1" w:rsidRPr="00773FB1" w:rsidRDefault="00773FB1">
                    <w:pPr>
                      <w:pStyle w:val="Bibliography"/>
                      <w:rPr>
                        <w:noProof/>
                        <w:sz w:val="18"/>
                      </w:rPr>
                    </w:pPr>
                    <w:r w:rsidRPr="00773FB1">
                      <w:rPr>
                        <w:noProof/>
                        <w:sz w:val="18"/>
                      </w:rPr>
                      <w:t xml:space="preserve">[2] </w:t>
                    </w:r>
                  </w:p>
                </w:tc>
                <w:tc>
                  <w:tcPr>
                    <w:tcW w:w="0" w:type="auto"/>
                    <w:hideMark/>
                  </w:tcPr>
                  <w:p w14:paraId="461CD52D" w14:textId="77777777" w:rsidR="00773FB1" w:rsidRPr="00773FB1" w:rsidRDefault="00773FB1">
                    <w:pPr>
                      <w:pStyle w:val="Bibliography"/>
                      <w:rPr>
                        <w:noProof/>
                        <w:sz w:val="18"/>
                      </w:rPr>
                    </w:pPr>
                    <w:r w:rsidRPr="00773FB1">
                      <w:rPr>
                        <w:noProof/>
                        <w:sz w:val="18"/>
                      </w:rPr>
                      <w:t>I. S. &amp;. Analysis, "Study of the Potential Energy Consumption Impacts of Connected and Automated Vehicles," March 2017. [Online]. Available: https://www.eia.gov/analysis/studies/transportation/automated/pdf/automated_vehicles.pdf. [Accessed March 2019].</w:t>
                    </w:r>
                  </w:p>
                </w:tc>
              </w:tr>
              <w:tr w:rsidR="00773FB1" w:rsidRPr="00773FB1" w14:paraId="1DB125B9" w14:textId="77777777">
                <w:trPr>
                  <w:divId w:val="151289598"/>
                  <w:tblCellSpacing w:w="15" w:type="dxa"/>
                </w:trPr>
                <w:tc>
                  <w:tcPr>
                    <w:tcW w:w="50" w:type="pct"/>
                    <w:hideMark/>
                  </w:tcPr>
                  <w:p w14:paraId="1C360623" w14:textId="77777777" w:rsidR="00773FB1" w:rsidRPr="00773FB1" w:rsidRDefault="00773FB1">
                    <w:pPr>
                      <w:pStyle w:val="Bibliography"/>
                      <w:rPr>
                        <w:noProof/>
                        <w:sz w:val="18"/>
                      </w:rPr>
                    </w:pPr>
                    <w:r w:rsidRPr="00773FB1">
                      <w:rPr>
                        <w:noProof/>
                        <w:sz w:val="18"/>
                      </w:rPr>
                      <w:t xml:space="preserve">[3] </w:t>
                    </w:r>
                  </w:p>
                </w:tc>
                <w:tc>
                  <w:tcPr>
                    <w:tcW w:w="0" w:type="auto"/>
                    <w:hideMark/>
                  </w:tcPr>
                  <w:p w14:paraId="5F96225D" w14:textId="77777777" w:rsidR="00773FB1" w:rsidRPr="00773FB1" w:rsidRDefault="00773FB1">
                    <w:pPr>
                      <w:pStyle w:val="Bibliography"/>
                      <w:rPr>
                        <w:noProof/>
                        <w:sz w:val="18"/>
                      </w:rPr>
                    </w:pPr>
                    <w:r w:rsidRPr="00773FB1">
                      <w:rPr>
                        <w:noProof/>
                        <w:sz w:val="18"/>
                      </w:rPr>
                      <w:t>O. R. N. Laboratory, "Transportation Energy Dark Book," U.S. Department of Energy, [Online]. Available: https://www-cta.ornl.gov/data/chapter8.shtml. [Accessed March 2019].</w:t>
                    </w:r>
                  </w:p>
                </w:tc>
              </w:tr>
              <w:tr w:rsidR="00773FB1" w:rsidRPr="00773FB1" w14:paraId="07B0B368" w14:textId="77777777">
                <w:trPr>
                  <w:divId w:val="151289598"/>
                  <w:tblCellSpacing w:w="15" w:type="dxa"/>
                </w:trPr>
                <w:tc>
                  <w:tcPr>
                    <w:tcW w:w="50" w:type="pct"/>
                    <w:hideMark/>
                  </w:tcPr>
                  <w:p w14:paraId="3000FF2D" w14:textId="77777777" w:rsidR="00773FB1" w:rsidRPr="00773FB1" w:rsidRDefault="00773FB1">
                    <w:pPr>
                      <w:pStyle w:val="Bibliography"/>
                      <w:rPr>
                        <w:noProof/>
                        <w:sz w:val="18"/>
                      </w:rPr>
                    </w:pPr>
                    <w:r w:rsidRPr="00773FB1">
                      <w:rPr>
                        <w:noProof/>
                        <w:sz w:val="18"/>
                      </w:rPr>
                      <w:t xml:space="preserve">[4] </w:t>
                    </w:r>
                  </w:p>
                </w:tc>
                <w:tc>
                  <w:tcPr>
                    <w:tcW w:w="0" w:type="auto"/>
                    <w:hideMark/>
                  </w:tcPr>
                  <w:p w14:paraId="314A3A70" w14:textId="77777777" w:rsidR="00773FB1" w:rsidRPr="00773FB1" w:rsidRDefault="00773FB1">
                    <w:pPr>
                      <w:pStyle w:val="Bibliography"/>
                      <w:rPr>
                        <w:noProof/>
                        <w:sz w:val="18"/>
                      </w:rPr>
                    </w:pPr>
                    <w:r w:rsidRPr="00773FB1">
                      <w:rPr>
                        <w:noProof/>
                        <w:sz w:val="18"/>
                      </w:rPr>
                      <w:t>O. o. E. E. a. R. E. Renew, "www.fueleconomy,gov," U. S. Department of Energy, [Online]. Available: https://www.fueleconomy.gov/. [Accessed March 2019].</w:t>
                    </w:r>
                  </w:p>
                </w:tc>
              </w:tr>
              <w:tr w:rsidR="00773FB1" w:rsidRPr="00773FB1" w14:paraId="77768731" w14:textId="77777777">
                <w:trPr>
                  <w:divId w:val="151289598"/>
                  <w:tblCellSpacing w:w="15" w:type="dxa"/>
                </w:trPr>
                <w:tc>
                  <w:tcPr>
                    <w:tcW w:w="50" w:type="pct"/>
                    <w:hideMark/>
                  </w:tcPr>
                  <w:p w14:paraId="20DF52A8" w14:textId="77777777" w:rsidR="00773FB1" w:rsidRPr="00773FB1" w:rsidRDefault="00773FB1">
                    <w:pPr>
                      <w:pStyle w:val="Bibliography"/>
                      <w:rPr>
                        <w:noProof/>
                        <w:sz w:val="18"/>
                      </w:rPr>
                    </w:pPr>
                    <w:r w:rsidRPr="00773FB1">
                      <w:rPr>
                        <w:noProof/>
                        <w:sz w:val="18"/>
                      </w:rPr>
                      <w:t xml:space="preserve">[5] </w:t>
                    </w:r>
                  </w:p>
                </w:tc>
                <w:tc>
                  <w:tcPr>
                    <w:tcW w:w="0" w:type="auto"/>
                    <w:hideMark/>
                  </w:tcPr>
                  <w:p w14:paraId="3272C183" w14:textId="77777777" w:rsidR="00773FB1" w:rsidRPr="00773FB1" w:rsidRDefault="00773FB1">
                    <w:pPr>
                      <w:pStyle w:val="Bibliography"/>
                      <w:rPr>
                        <w:noProof/>
                        <w:sz w:val="18"/>
                      </w:rPr>
                    </w:pPr>
                    <w:r w:rsidRPr="00773FB1">
                      <w:rPr>
                        <w:noProof/>
                        <w:sz w:val="18"/>
                      </w:rPr>
                      <w:t>U. S. D. o. Transportation, "Bureau of Transportation Statistics," U. S Department of Transportation , [Online]. Available: https://www.bts.gov/content/number-us-aircraft-vehicles-vessels-and-other-conveyances. [Accessed March 2019].</w:t>
                    </w:r>
                  </w:p>
                </w:tc>
              </w:tr>
            </w:tbl>
            <w:p w14:paraId="192D6361" w14:textId="77777777" w:rsidR="00773FB1" w:rsidRDefault="00773FB1">
              <w:pPr>
                <w:divId w:val="151289598"/>
                <w:rPr>
                  <w:rFonts w:eastAsia="Times New Roman"/>
                  <w:noProof/>
                </w:rPr>
              </w:pPr>
            </w:p>
            <w:p w14:paraId="78F213D7" w14:textId="7667C25B" w:rsidR="0054544A" w:rsidRPr="0054544A" w:rsidRDefault="0054544A" w:rsidP="0054544A">
              <w:r>
                <w:rPr>
                  <w:b/>
                  <w:bCs/>
                  <w:noProof/>
                </w:rPr>
                <w:fldChar w:fldCharType="end"/>
              </w:r>
            </w:p>
          </w:sdtContent>
        </w:sdt>
      </w:sdtContent>
    </w:sdt>
    <w:bookmarkStart w:id="13" w:name="_GoBack" w:displacedByCustomXml="prev"/>
    <w:bookmarkEnd w:id="13" w:displacedByCustomXml="prev"/>
    <w:sectPr w:rsidR="0054544A" w:rsidRPr="0054544A" w:rsidSect="007D4ED7">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42A3E" w14:textId="77777777" w:rsidR="0087349B" w:rsidRDefault="0087349B" w:rsidP="007D4ED7">
      <w:pPr>
        <w:spacing w:after="0" w:line="240" w:lineRule="auto"/>
      </w:pPr>
      <w:r>
        <w:separator/>
      </w:r>
    </w:p>
  </w:endnote>
  <w:endnote w:type="continuationSeparator" w:id="0">
    <w:p w14:paraId="23EFE138" w14:textId="77777777" w:rsidR="0087349B" w:rsidRDefault="0087349B" w:rsidP="007D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E3848" w14:textId="7DB28F2E" w:rsidR="004D680F" w:rsidRDefault="004D68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62BDE95" wp14:editId="1C06D22C">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04-01T00:00:00Z">
                                <w:dateFormat w:val="MMMM d, yyyy"/>
                                <w:lid w:val="en-US"/>
                                <w:storeMappedDataAs w:val="dateTime"/>
                                <w:calendar w:val="gregorian"/>
                              </w:date>
                            </w:sdtPr>
                            <w:sdtEndPr/>
                            <w:sdtContent>
                              <w:p w14:paraId="1DEF9975" w14:textId="5D1BF34F" w:rsidR="004D680F" w:rsidRDefault="004D680F">
                                <w:pPr>
                                  <w:jc w:val="right"/>
                                  <w:rPr>
                                    <w:color w:val="7F7F7F" w:themeColor="text1" w:themeTint="80"/>
                                  </w:rPr>
                                </w:pPr>
                                <w:r>
                                  <w:rPr>
                                    <w:color w:val="7F7F7F" w:themeColor="text1" w:themeTint="80"/>
                                  </w:rPr>
                                  <w:t>April 1, 2019</w:t>
                                </w:r>
                              </w:p>
                            </w:sdtContent>
                          </w:sdt>
                          <w:p w14:paraId="0BDEEAAF" w14:textId="77777777" w:rsidR="004D680F" w:rsidRDefault="004D680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62BDE95"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04-01T00:00:00Z">
                          <w:dateFormat w:val="MMMM d, yyyy"/>
                          <w:lid w:val="en-US"/>
                          <w:storeMappedDataAs w:val="dateTime"/>
                          <w:calendar w:val="gregorian"/>
                        </w:date>
                      </w:sdtPr>
                      <w:sdtEndPr/>
                      <w:sdtContent>
                        <w:p w14:paraId="1DEF9975" w14:textId="5D1BF34F" w:rsidR="004D680F" w:rsidRDefault="004D680F">
                          <w:pPr>
                            <w:jc w:val="right"/>
                            <w:rPr>
                              <w:color w:val="7F7F7F" w:themeColor="text1" w:themeTint="80"/>
                            </w:rPr>
                          </w:pPr>
                          <w:r>
                            <w:rPr>
                              <w:color w:val="7F7F7F" w:themeColor="text1" w:themeTint="80"/>
                            </w:rPr>
                            <w:t>April 1, 2019</w:t>
                          </w:r>
                        </w:p>
                      </w:sdtContent>
                    </w:sdt>
                    <w:p w14:paraId="0BDEEAAF" w14:textId="77777777" w:rsidR="004D680F" w:rsidRDefault="004D680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CB9A5DE" wp14:editId="091D253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CD172" w14:textId="77777777" w:rsidR="004D680F" w:rsidRDefault="004D68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9A5DE"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AACD172" w14:textId="77777777" w:rsidR="004D680F" w:rsidRDefault="004D68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3D03" w14:textId="77777777" w:rsidR="0087349B" w:rsidRDefault="0087349B" w:rsidP="007D4ED7">
      <w:pPr>
        <w:spacing w:after="0" w:line="240" w:lineRule="auto"/>
      </w:pPr>
      <w:r>
        <w:separator/>
      </w:r>
    </w:p>
  </w:footnote>
  <w:footnote w:type="continuationSeparator" w:id="0">
    <w:p w14:paraId="220C0072" w14:textId="77777777" w:rsidR="0087349B" w:rsidRDefault="0087349B" w:rsidP="007D4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90777E826114463FADC78D020E4C46B5"/>
      </w:placeholder>
      <w:dataBinding w:prefixMappings="xmlns:ns0='http://purl.org/dc/elements/1.1/' xmlns:ns1='http://schemas.openxmlformats.org/package/2006/metadata/core-properties' " w:xpath="/ns1:coreProperties[1]/ns0:title[1]" w:storeItemID="{6C3C8BC8-F283-45AE-878A-BAB7291924A1}"/>
      <w:text/>
    </w:sdtPr>
    <w:sdtEndPr/>
    <w:sdtContent>
      <w:p w14:paraId="24FD084F" w14:textId="636B38B4" w:rsidR="004D680F" w:rsidRDefault="004D680F">
        <w:pPr>
          <w:pStyle w:val="Header"/>
          <w:tabs>
            <w:tab w:val="clear" w:pos="4680"/>
            <w:tab w:val="clear" w:pos="9360"/>
          </w:tabs>
          <w:jc w:val="right"/>
          <w:rPr>
            <w:color w:val="7F7F7F" w:themeColor="text1" w:themeTint="80"/>
          </w:rPr>
        </w:pPr>
        <w:r>
          <w:rPr>
            <w:color w:val="7F7F7F" w:themeColor="text1" w:themeTint="80"/>
          </w:rPr>
          <w:t>Cash for Clunkers</w:t>
        </w:r>
      </w:p>
    </w:sdtContent>
  </w:sdt>
  <w:p w14:paraId="2FE62D73" w14:textId="77777777" w:rsidR="004D680F" w:rsidRDefault="004D6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4066"/>
    <w:multiLevelType w:val="hybridMultilevel"/>
    <w:tmpl w:val="6F02F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E3FE2"/>
    <w:multiLevelType w:val="hybridMultilevel"/>
    <w:tmpl w:val="BDAC0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F7744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652F7713"/>
    <w:multiLevelType w:val="hybridMultilevel"/>
    <w:tmpl w:val="B0AE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D7"/>
    <w:rsid w:val="0007537C"/>
    <w:rsid w:val="000D32A2"/>
    <w:rsid w:val="00103739"/>
    <w:rsid w:val="00245A6D"/>
    <w:rsid w:val="0024769C"/>
    <w:rsid w:val="0029145F"/>
    <w:rsid w:val="00294827"/>
    <w:rsid w:val="002B1D39"/>
    <w:rsid w:val="002D5FC2"/>
    <w:rsid w:val="002F48AE"/>
    <w:rsid w:val="00317F96"/>
    <w:rsid w:val="003958CD"/>
    <w:rsid w:val="004D680F"/>
    <w:rsid w:val="0054544A"/>
    <w:rsid w:val="00607C89"/>
    <w:rsid w:val="0062731B"/>
    <w:rsid w:val="00643428"/>
    <w:rsid w:val="006913D4"/>
    <w:rsid w:val="006B214A"/>
    <w:rsid w:val="006D2B7E"/>
    <w:rsid w:val="00773FB1"/>
    <w:rsid w:val="007C3DD0"/>
    <w:rsid w:val="007D4ED7"/>
    <w:rsid w:val="007F5E84"/>
    <w:rsid w:val="00820C02"/>
    <w:rsid w:val="0084568C"/>
    <w:rsid w:val="0087349B"/>
    <w:rsid w:val="009839C4"/>
    <w:rsid w:val="009843CE"/>
    <w:rsid w:val="009A6C34"/>
    <w:rsid w:val="009E174D"/>
    <w:rsid w:val="00AB017F"/>
    <w:rsid w:val="00AE15E6"/>
    <w:rsid w:val="00AE6B4D"/>
    <w:rsid w:val="00BB5335"/>
    <w:rsid w:val="00C62ABD"/>
    <w:rsid w:val="00C8756A"/>
    <w:rsid w:val="00CB3C37"/>
    <w:rsid w:val="00CC1DD2"/>
    <w:rsid w:val="00CD5B7E"/>
    <w:rsid w:val="00CE4F5A"/>
    <w:rsid w:val="00E05694"/>
    <w:rsid w:val="00EA6010"/>
    <w:rsid w:val="00EE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1CFC9"/>
  <w15:chartTrackingRefBased/>
  <w15:docId w15:val="{EA6F401A-01A4-4E01-8FB9-54212A4A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E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ED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E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4E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4E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4E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4E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4E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4E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4ED7"/>
    <w:pPr>
      <w:spacing w:after="0" w:line="240" w:lineRule="auto"/>
    </w:pPr>
    <w:rPr>
      <w:rFonts w:eastAsiaTheme="minorEastAsia"/>
    </w:rPr>
  </w:style>
  <w:style w:type="character" w:customStyle="1" w:styleId="NoSpacingChar">
    <w:name w:val="No Spacing Char"/>
    <w:basedOn w:val="DefaultParagraphFont"/>
    <w:link w:val="NoSpacing"/>
    <w:uiPriority w:val="1"/>
    <w:rsid w:val="007D4ED7"/>
    <w:rPr>
      <w:rFonts w:eastAsiaTheme="minorEastAsia"/>
    </w:rPr>
  </w:style>
  <w:style w:type="paragraph" w:styleId="Header">
    <w:name w:val="header"/>
    <w:basedOn w:val="Normal"/>
    <w:link w:val="HeaderChar"/>
    <w:uiPriority w:val="99"/>
    <w:unhideWhenUsed/>
    <w:rsid w:val="007D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ED7"/>
  </w:style>
  <w:style w:type="paragraph" w:styleId="Footer">
    <w:name w:val="footer"/>
    <w:basedOn w:val="Normal"/>
    <w:link w:val="FooterChar"/>
    <w:uiPriority w:val="99"/>
    <w:unhideWhenUsed/>
    <w:rsid w:val="007D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ED7"/>
  </w:style>
  <w:style w:type="character" w:customStyle="1" w:styleId="Heading1Char">
    <w:name w:val="Heading 1 Char"/>
    <w:basedOn w:val="DefaultParagraphFont"/>
    <w:link w:val="Heading1"/>
    <w:uiPriority w:val="9"/>
    <w:rsid w:val="007D4E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4E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4E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4E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4E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4E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4E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4E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4ED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4544A"/>
    <w:rPr>
      <w:color w:val="0563C1" w:themeColor="hyperlink"/>
      <w:u w:val="single"/>
    </w:rPr>
  </w:style>
  <w:style w:type="character" w:styleId="UnresolvedMention">
    <w:name w:val="Unresolved Mention"/>
    <w:basedOn w:val="DefaultParagraphFont"/>
    <w:uiPriority w:val="99"/>
    <w:semiHidden/>
    <w:unhideWhenUsed/>
    <w:rsid w:val="0054544A"/>
    <w:rPr>
      <w:color w:val="605E5C"/>
      <w:shd w:val="clear" w:color="auto" w:fill="E1DFDD"/>
    </w:rPr>
  </w:style>
  <w:style w:type="paragraph" w:styleId="Bibliography">
    <w:name w:val="Bibliography"/>
    <w:basedOn w:val="Normal"/>
    <w:next w:val="Normal"/>
    <w:uiPriority w:val="37"/>
    <w:unhideWhenUsed/>
    <w:rsid w:val="0054544A"/>
  </w:style>
  <w:style w:type="table" w:styleId="TableGrid">
    <w:name w:val="Table Grid"/>
    <w:basedOn w:val="TableNormal"/>
    <w:uiPriority w:val="39"/>
    <w:rsid w:val="00CC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E6B4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6913D4"/>
    <w:pPr>
      <w:spacing w:after="200" w:line="240" w:lineRule="auto"/>
    </w:pPr>
    <w:rPr>
      <w:i/>
      <w:iCs/>
      <w:color w:val="44546A" w:themeColor="text2"/>
      <w:sz w:val="18"/>
      <w:szCs w:val="18"/>
    </w:rPr>
  </w:style>
  <w:style w:type="paragraph" w:styleId="ListParagraph">
    <w:name w:val="List Paragraph"/>
    <w:basedOn w:val="Normal"/>
    <w:uiPriority w:val="34"/>
    <w:qFormat/>
    <w:rsid w:val="009843CE"/>
    <w:pPr>
      <w:ind w:left="720"/>
      <w:contextualSpacing/>
    </w:pPr>
  </w:style>
  <w:style w:type="character" w:styleId="FollowedHyperlink">
    <w:name w:val="FollowedHyperlink"/>
    <w:basedOn w:val="DefaultParagraphFont"/>
    <w:uiPriority w:val="99"/>
    <w:semiHidden/>
    <w:unhideWhenUsed/>
    <w:rsid w:val="006B214A"/>
    <w:rPr>
      <w:color w:val="954F72" w:themeColor="followedHyperlink"/>
      <w:u w:val="single"/>
    </w:rPr>
  </w:style>
  <w:style w:type="paragraph" w:styleId="TOCHeading">
    <w:name w:val="TOC Heading"/>
    <w:basedOn w:val="Heading1"/>
    <w:next w:val="Normal"/>
    <w:uiPriority w:val="39"/>
    <w:unhideWhenUsed/>
    <w:qFormat/>
    <w:rsid w:val="002F48AE"/>
    <w:pPr>
      <w:numPr>
        <w:numId w:val="0"/>
      </w:numPr>
      <w:outlineLvl w:val="9"/>
    </w:pPr>
  </w:style>
  <w:style w:type="paragraph" w:styleId="TOC1">
    <w:name w:val="toc 1"/>
    <w:basedOn w:val="Normal"/>
    <w:next w:val="Normal"/>
    <w:autoRedefine/>
    <w:uiPriority w:val="39"/>
    <w:unhideWhenUsed/>
    <w:rsid w:val="002F48AE"/>
    <w:pPr>
      <w:spacing w:after="100"/>
    </w:pPr>
  </w:style>
  <w:style w:type="paragraph" w:styleId="TOC2">
    <w:name w:val="toc 2"/>
    <w:basedOn w:val="Normal"/>
    <w:next w:val="Normal"/>
    <w:autoRedefine/>
    <w:uiPriority w:val="39"/>
    <w:unhideWhenUsed/>
    <w:rsid w:val="002F48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2726">
      <w:bodyDiv w:val="1"/>
      <w:marLeft w:val="0"/>
      <w:marRight w:val="0"/>
      <w:marTop w:val="0"/>
      <w:marBottom w:val="0"/>
      <w:divBdr>
        <w:top w:val="none" w:sz="0" w:space="0" w:color="auto"/>
        <w:left w:val="none" w:sz="0" w:space="0" w:color="auto"/>
        <w:bottom w:val="none" w:sz="0" w:space="0" w:color="auto"/>
        <w:right w:val="none" w:sz="0" w:space="0" w:color="auto"/>
      </w:divBdr>
    </w:div>
    <w:div w:id="106316911">
      <w:bodyDiv w:val="1"/>
      <w:marLeft w:val="0"/>
      <w:marRight w:val="0"/>
      <w:marTop w:val="0"/>
      <w:marBottom w:val="0"/>
      <w:divBdr>
        <w:top w:val="none" w:sz="0" w:space="0" w:color="auto"/>
        <w:left w:val="none" w:sz="0" w:space="0" w:color="auto"/>
        <w:bottom w:val="none" w:sz="0" w:space="0" w:color="auto"/>
        <w:right w:val="none" w:sz="0" w:space="0" w:color="auto"/>
      </w:divBdr>
    </w:div>
    <w:div w:id="128130980">
      <w:bodyDiv w:val="1"/>
      <w:marLeft w:val="0"/>
      <w:marRight w:val="0"/>
      <w:marTop w:val="0"/>
      <w:marBottom w:val="0"/>
      <w:divBdr>
        <w:top w:val="none" w:sz="0" w:space="0" w:color="auto"/>
        <w:left w:val="none" w:sz="0" w:space="0" w:color="auto"/>
        <w:bottom w:val="none" w:sz="0" w:space="0" w:color="auto"/>
        <w:right w:val="none" w:sz="0" w:space="0" w:color="auto"/>
      </w:divBdr>
    </w:div>
    <w:div w:id="131480324">
      <w:bodyDiv w:val="1"/>
      <w:marLeft w:val="0"/>
      <w:marRight w:val="0"/>
      <w:marTop w:val="0"/>
      <w:marBottom w:val="0"/>
      <w:divBdr>
        <w:top w:val="none" w:sz="0" w:space="0" w:color="auto"/>
        <w:left w:val="none" w:sz="0" w:space="0" w:color="auto"/>
        <w:bottom w:val="none" w:sz="0" w:space="0" w:color="auto"/>
        <w:right w:val="none" w:sz="0" w:space="0" w:color="auto"/>
      </w:divBdr>
    </w:div>
    <w:div w:id="135298835">
      <w:bodyDiv w:val="1"/>
      <w:marLeft w:val="0"/>
      <w:marRight w:val="0"/>
      <w:marTop w:val="0"/>
      <w:marBottom w:val="0"/>
      <w:divBdr>
        <w:top w:val="none" w:sz="0" w:space="0" w:color="auto"/>
        <w:left w:val="none" w:sz="0" w:space="0" w:color="auto"/>
        <w:bottom w:val="none" w:sz="0" w:space="0" w:color="auto"/>
        <w:right w:val="none" w:sz="0" w:space="0" w:color="auto"/>
      </w:divBdr>
    </w:div>
    <w:div w:id="151289598">
      <w:bodyDiv w:val="1"/>
      <w:marLeft w:val="0"/>
      <w:marRight w:val="0"/>
      <w:marTop w:val="0"/>
      <w:marBottom w:val="0"/>
      <w:divBdr>
        <w:top w:val="none" w:sz="0" w:space="0" w:color="auto"/>
        <w:left w:val="none" w:sz="0" w:space="0" w:color="auto"/>
        <w:bottom w:val="none" w:sz="0" w:space="0" w:color="auto"/>
        <w:right w:val="none" w:sz="0" w:space="0" w:color="auto"/>
      </w:divBdr>
    </w:div>
    <w:div w:id="172841106">
      <w:bodyDiv w:val="1"/>
      <w:marLeft w:val="0"/>
      <w:marRight w:val="0"/>
      <w:marTop w:val="0"/>
      <w:marBottom w:val="0"/>
      <w:divBdr>
        <w:top w:val="none" w:sz="0" w:space="0" w:color="auto"/>
        <w:left w:val="none" w:sz="0" w:space="0" w:color="auto"/>
        <w:bottom w:val="none" w:sz="0" w:space="0" w:color="auto"/>
        <w:right w:val="none" w:sz="0" w:space="0" w:color="auto"/>
      </w:divBdr>
    </w:div>
    <w:div w:id="196936313">
      <w:bodyDiv w:val="1"/>
      <w:marLeft w:val="0"/>
      <w:marRight w:val="0"/>
      <w:marTop w:val="0"/>
      <w:marBottom w:val="0"/>
      <w:divBdr>
        <w:top w:val="none" w:sz="0" w:space="0" w:color="auto"/>
        <w:left w:val="none" w:sz="0" w:space="0" w:color="auto"/>
        <w:bottom w:val="none" w:sz="0" w:space="0" w:color="auto"/>
        <w:right w:val="none" w:sz="0" w:space="0" w:color="auto"/>
      </w:divBdr>
    </w:div>
    <w:div w:id="286936428">
      <w:bodyDiv w:val="1"/>
      <w:marLeft w:val="0"/>
      <w:marRight w:val="0"/>
      <w:marTop w:val="0"/>
      <w:marBottom w:val="0"/>
      <w:divBdr>
        <w:top w:val="none" w:sz="0" w:space="0" w:color="auto"/>
        <w:left w:val="none" w:sz="0" w:space="0" w:color="auto"/>
        <w:bottom w:val="none" w:sz="0" w:space="0" w:color="auto"/>
        <w:right w:val="none" w:sz="0" w:space="0" w:color="auto"/>
      </w:divBdr>
    </w:div>
    <w:div w:id="300234116">
      <w:bodyDiv w:val="1"/>
      <w:marLeft w:val="0"/>
      <w:marRight w:val="0"/>
      <w:marTop w:val="0"/>
      <w:marBottom w:val="0"/>
      <w:divBdr>
        <w:top w:val="none" w:sz="0" w:space="0" w:color="auto"/>
        <w:left w:val="none" w:sz="0" w:space="0" w:color="auto"/>
        <w:bottom w:val="none" w:sz="0" w:space="0" w:color="auto"/>
        <w:right w:val="none" w:sz="0" w:space="0" w:color="auto"/>
      </w:divBdr>
    </w:div>
    <w:div w:id="306592602">
      <w:bodyDiv w:val="1"/>
      <w:marLeft w:val="0"/>
      <w:marRight w:val="0"/>
      <w:marTop w:val="0"/>
      <w:marBottom w:val="0"/>
      <w:divBdr>
        <w:top w:val="none" w:sz="0" w:space="0" w:color="auto"/>
        <w:left w:val="none" w:sz="0" w:space="0" w:color="auto"/>
        <w:bottom w:val="none" w:sz="0" w:space="0" w:color="auto"/>
        <w:right w:val="none" w:sz="0" w:space="0" w:color="auto"/>
      </w:divBdr>
    </w:div>
    <w:div w:id="331446463">
      <w:bodyDiv w:val="1"/>
      <w:marLeft w:val="0"/>
      <w:marRight w:val="0"/>
      <w:marTop w:val="0"/>
      <w:marBottom w:val="0"/>
      <w:divBdr>
        <w:top w:val="none" w:sz="0" w:space="0" w:color="auto"/>
        <w:left w:val="none" w:sz="0" w:space="0" w:color="auto"/>
        <w:bottom w:val="none" w:sz="0" w:space="0" w:color="auto"/>
        <w:right w:val="none" w:sz="0" w:space="0" w:color="auto"/>
      </w:divBdr>
    </w:div>
    <w:div w:id="340819817">
      <w:bodyDiv w:val="1"/>
      <w:marLeft w:val="0"/>
      <w:marRight w:val="0"/>
      <w:marTop w:val="0"/>
      <w:marBottom w:val="0"/>
      <w:divBdr>
        <w:top w:val="none" w:sz="0" w:space="0" w:color="auto"/>
        <w:left w:val="none" w:sz="0" w:space="0" w:color="auto"/>
        <w:bottom w:val="none" w:sz="0" w:space="0" w:color="auto"/>
        <w:right w:val="none" w:sz="0" w:space="0" w:color="auto"/>
      </w:divBdr>
    </w:div>
    <w:div w:id="348679867">
      <w:bodyDiv w:val="1"/>
      <w:marLeft w:val="0"/>
      <w:marRight w:val="0"/>
      <w:marTop w:val="0"/>
      <w:marBottom w:val="0"/>
      <w:divBdr>
        <w:top w:val="none" w:sz="0" w:space="0" w:color="auto"/>
        <w:left w:val="none" w:sz="0" w:space="0" w:color="auto"/>
        <w:bottom w:val="none" w:sz="0" w:space="0" w:color="auto"/>
        <w:right w:val="none" w:sz="0" w:space="0" w:color="auto"/>
      </w:divBdr>
    </w:div>
    <w:div w:id="366489025">
      <w:bodyDiv w:val="1"/>
      <w:marLeft w:val="0"/>
      <w:marRight w:val="0"/>
      <w:marTop w:val="0"/>
      <w:marBottom w:val="0"/>
      <w:divBdr>
        <w:top w:val="none" w:sz="0" w:space="0" w:color="auto"/>
        <w:left w:val="none" w:sz="0" w:space="0" w:color="auto"/>
        <w:bottom w:val="none" w:sz="0" w:space="0" w:color="auto"/>
        <w:right w:val="none" w:sz="0" w:space="0" w:color="auto"/>
      </w:divBdr>
    </w:div>
    <w:div w:id="372273367">
      <w:bodyDiv w:val="1"/>
      <w:marLeft w:val="0"/>
      <w:marRight w:val="0"/>
      <w:marTop w:val="0"/>
      <w:marBottom w:val="0"/>
      <w:divBdr>
        <w:top w:val="none" w:sz="0" w:space="0" w:color="auto"/>
        <w:left w:val="none" w:sz="0" w:space="0" w:color="auto"/>
        <w:bottom w:val="none" w:sz="0" w:space="0" w:color="auto"/>
        <w:right w:val="none" w:sz="0" w:space="0" w:color="auto"/>
      </w:divBdr>
    </w:div>
    <w:div w:id="427578735">
      <w:bodyDiv w:val="1"/>
      <w:marLeft w:val="0"/>
      <w:marRight w:val="0"/>
      <w:marTop w:val="0"/>
      <w:marBottom w:val="0"/>
      <w:divBdr>
        <w:top w:val="none" w:sz="0" w:space="0" w:color="auto"/>
        <w:left w:val="none" w:sz="0" w:space="0" w:color="auto"/>
        <w:bottom w:val="none" w:sz="0" w:space="0" w:color="auto"/>
        <w:right w:val="none" w:sz="0" w:space="0" w:color="auto"/>
      </w:divBdr>
    </w:div>
    <w:div w:id="529076130">
      <w:bodyDiv w:val="1"/>
      <w:marLeft w:val="0"/>
      <w:marRight w:val="0"/>
      <w:marTop w:val="0"/>
      <w:marBottom w:val="0"/>
      <w:divBdr>
        <w:top w:val="none" w:sz="0" w:space="0" w:color="auto"/>
        <w:left w:val="none" w:sz="0" w:space="0" w:color="auto"/>
        <w:bottom w:val="none" w:sz="0" w:space="0" w:color="auto"/>
        <w:right w:val="none" w:sz="0" w:space="0" w:color="auto"/>
      </w:divBdr>
    </w:div>
    <w:div w:id="674384103">
      <w:bodyDiv w:val="1"/>
      <w:marLeft w:val="0"/>
      <w:marRight w:val="0"/>
      <w:marTop w:val="0"/>
      <w:marBottom w:val="0"/>
      <w:divBdr>
        <w:top w:val="none" w:sz="0" w:space="0" w:color="auto"/>
        <w:left w:val="none" w:sz="0" w:space="0" w:color="auto"/>
        <w:bottom w:val="none" w:sz="0" w:space="0" w:color="auto"/>
        <w:right w:val="none" w:sz="0" w:space="0" w:color="auto"/>
      </w:divBdr>
    </w:div>
    <w:div w:id="1016661778">
      <w:bodyDiv w:val="1"/>
      <w:marLeft w:val="0"/>
      <w:marRight w:val="0"/>
      <w:marTop w:val="0"/>
      <w:marBottom w:val="0"/>
      <w:divBdr>
        <w:top w:val="none" w:sz="0" w:space="0" w:color="auto"/>
        <w:left w:val="none" w:sz="0" w:space="0" w:color="auto"/>
        <w:bottom w:val="none" w:sz="0" w:space="0" w:color="auto"/>
        <w:right w:val="none" w:sz="0" w:space="0" w:color="auto"/>
      </w:divBdr>
    </w:div>
    <w:div w:id="1126197314">
      <w:bodyDiv w:val="1"/>
      <w:marLeft w:val="0"/>
      <w:marRight w:val="0"/>
      <w:marTop w:val="0"/>
      <w:marBottom w:val="0"/>
      <w:divBdr>
        <w:top w:val="none" w:sz="0" w:space="0" w:color="auto"/>
        <w:left w:val="none" w:sz="0" w:space="0" w:color="auto"/>
        <w:bottom w:val="none" w:sz="0" w:space="0" w:color="auto"/>
        <w:right w:val="none" w:sz="0" w:space="0" w:color="auto"/>
      </w:divBdr>
    </w:div>
    <w:div w:id="1215777394">
      <w:bodyDiv w:val="1"/>
      <w:marLeft w:val="0"/>
      <w:marRight w:val="0"/>
      <w:marTop w:val="0"/>
      <w:marBottom w:val="0"/>
      <w:divBdr>
        <w:top w:val="none" w:sz="0" w:space="0" w:color="auto"/>
        <w:left w:val="none" w:sz="0" w:space="0" w:color="auto"/>
        <w:bottom w:val="none" w:sz="0" w:space="0" w:color="auto"/>
        <w:right w:val="none" w:sz="0" w:space="0" w:color="auto"/>
      </w:divBdr>
    </w:div>
    <w:div w:id="1242594061">
      <w:bodyDiv w:val="1"/>
      <w:marLeft w:val="0"/>
      <w:marRight w:val="0"/>
      <w:marTop w:val="0"/>
      <w:marBottom w:val="0"/>
      <w:divBdr>
        <w:top w:val="none" w:sz="0" w:space="0" w:color="auto"/>
        <w:left w:val="none" w:sz="0" w:space="0" w:color="auto"/>
        <w:bottom w:val="none" w:sz="0" w:space="0" w:color="auto"/>
        <w:right w:val="none" w:sz="0" w:space="0" w:color="auto"/>
      </w:divBdr>
    </w:div>
    <w:div w:id="1252540632">
      <w:bodyDiv w:val="1"/>
      <w:marLeft w:val="0"/>
      <w:marRight w:val="0"/>
      <w:marTop w:val="0"/>
      <w:marBottom w:val="0"/>
      <w:divBdr>
        <w:top w:val="none" w:sz="0" w:space="0" w:color="auto"/>
        <w:left w:val="none" w:sz="0" w:space="0" w:color="auto"/>
        <w:bottom w:val="none" w:sz="0" w:space="0" w:color="auto"/>
        <w:right w:val="none" w:sz="0" w:space="0" w:color="auto"/>
      </w:divBdr>
    </w:div>
    <w:div w:id="1287464173">
      <w:bodyDiv w:val="1"/>
      <w:marLeft w:val="0"/>
      <w:marRight w:val="0"/>
      <w:marTop w:val="0"/>
      <w:marBottom w:val="0"/>
      <w:divBdr>
        <w:top w:val="none" w:sz="0" w:space="0" w:color="auto"/>
        <w:left w:val="none" w:sz="0" w:space="0" w:color="auto"/>
        <w:bottom w:val="none" w:sz="0" w:space="0" w:color="auto"/>
        <w:right w:val="none" w:sz="0" w:space="0" w:color="auto"/>
      </w:divBdr>
    </w:div>
    <w:div w:id="1296177125">
      <w:bodyDiv w:val="1"/>
      <w:marLeft w:val="0"/>
      <w:marRight w:val="0"/>
      <w:marTop w:val="0"/>
      <w:marBottom w:val="0"/>
      <w:divBdr>
        <w:top w:val="none" w:sz="0" w:space="0" w:color="auto"/>
        <w:left w:val="none" w:sz="0" w:space="0" w:color="auto"/>
        <w:bottom w:val="none" w:sz="0" w:space="0" w:color="auto"/>
        <w:right w:val="none" w:sz="0" w:space="0" w:color="auto"/>
      </w:divBdr>
    </w:div>
    <w:div w:id="1320882023">
      <w:bodyDiv w:val="1"/>
      <w:marLeft w:val="0"/>
      <w:marRight w:val="0"/>
      <w:marTop w:val="0"/>
      <w:marBottom w:val="0"/>
      <w:divBdr>
        <w:top w:val="none" w:sz="0" w:space="0" w:color="auto"/>
        <w:left w:val="none" w:sz="0" w:space="0" w:color="auto"/>
        <w:bottom w:val="none" w:sz="0" w:space="0" w:color="auto"/>
        <w:right w:val="none" w:sz="0" w:space="0" w:color="auto"/>
      </w:divBdr>
    </w:div>
    <w:div w:id="1346984019">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419861151">
      <w:bodyDiv w:val="1"/>
      <w:marLeft w:val="0"/>
      <w:marRight w:val="0"/>
      <w:marTop w:val="0"/>
      <w:marBottom w:val="0"/>
      <w:divBdr>
        <w:top w:val="none" w:sz="0" w:space="0" w:color="auto"/>
        <w:left w:val="none" w:sz="0" w:space="0" w:color="auto"/>
        <w:bottom w:val="none" w:sz="0" w:space="0" w:color="auto"/>
        <w:right w:val="none" w:sz="0" w:space="0" w:color="auto"/>
      </w:divBdr>
    </w:div>
    <w:div w:id="1472359612">
      <w:bodyDiv w:val="1"/>
      <w:marLeft w:val="0"/>
      <w:marRight w:val="0"/>
      <w:marTop w:val="0"/>
      <w:marBottom w:val="0"/>
      <w:divBdr>
        <w:top w:val="none" w:sz="0" w:space="0" w:color="auto"/>
        <w:left w:val="none" w:sz="0" w:space="0" w:color="auto"/>
        <w:bottom w:val="none" w:sz="0" w:space="0" w:color="auto"/>
        <w:right w:val="none" w:sz="0" w:space="0" w:color="auto"/>
      </w:divBdr>
    </w:div>
    <w:div w:id="1805465754">
      <w:bodyDiv w:val="1"/>
      <w:marLeft w:val="0"/>
      <w:marRight w:val="0"/>
      <w:marTop w:val="0"/>
      <w:marBottom w:val="0"/>
      <w:divBdr>
        <w:top w:val="none" w:sz="0" w:space="0" w:color="auto"/>
        <w:left w:val="none" w:sz="0" w:space="0" w:color="auto"/>
        <w:bottom w:val="none" w:sz="0" w:space="0" w:color="auto"/>
        <w:right w:val="none" w:sz="0" w:space="0" w:color="auto"/>
      </w:divBdr>
    </w:div>
    <w:div w:id="1809011597">
      <w:bodyDiv w:val="1"/>
      <w:marLeft w:val="0"/>
      <w:marRight w:val="0"/>
      <w:marTop w:val="0"/>
      <w:marBottom w:val="0"/>
      <w:divBdr>
        <w:top w:val="none" w:sz="0" w:space="0" w:color="auto"/>
        <w:left w:val="none" w:sz="0" w:space="0" w:color="auto"/>
        <w:bottom w:val="none" w:sz="0" w:space="0" w:color="auto"/>
        <w:right w:val="none" w:sz="0" w:space="0" w:color="auto"/>
      </w:divBdr>
    </w:div>
    <w:div w:id="1928075771">
      <w:bodyDiv w:val="1"/>
      <w:marLeft w:val="0"/>
      <w:marRight w:val="0"/>
      <w:marTop w:val="0"/>
      <w:marBottom w:val="0"/>
      <w:divBdr>
        <w:top w:val="none" w:sz="0" w:space="0" w:color="auto"/>
        <w:left w:val="none" w:sz="0" w:space="0" w:color="auto"/>
        <w:bottom w:val="none" w:sz="0" w:space="0" w:color="auto"/>
        <w:right w:val="none" w:sz="0" w:space="0" w:color="auto"/>
      </w:divBdr>
    </w:div>
    <w:div w:id="1986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hbar\Desktop\Final%20Files\Midterm%20Final%20Question%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Gas Consumed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Sheet1!$B$15</c:f>
              <c:strCache>
                <c:ptCount val="1"/>
                <c:pt idx="0">
                  <c:v> C4C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Sheet1!$A$16:$A$28</c:f>
              <c:strCache>
                <c:ptCount val="2"/>
                <c:pt idx="0">
                  <c:v> Year 1 </c:v>
                </c:pt>
                <c:pt idx="1">
                  <c:v> Year 12 </c:v>
                </c:pt>
              </c:strCache>
              <c:extLst/>
            </c:strRef>
          </c:cat>
          <c:val>
            <c:numRef>
              <c:f>Sheet1!$B$16:$B$28</c:f>
              <c:numCache>
                <c:formatCode>_(* #,##0.00_);_(* \(#,##0.00\);_(* "-"??_);_(@_)</c:formatCode>
                <c:ptCount val="2"/>
                <c:pt idx="0">
                  <c:v>795351664.34913945</c:v>
                </c:pt>
                <c:pt idx="1">
                  <c:v>4519854281.4118176</c:v>
                </c:pt>
              </c:numCache>
              <c:extLst/>
            </c:numRef>
          </c:val>
          <c:extLst>
            <c:ext xmlns:c16="http://schemas.microsoft.com/office/drawing/2014/chart" uri="{C3380CC4-5D6E-409C-BE32-E72D297353CC}">
              <c16:uniqueId val="{00000000-2EA1-441E-98E9-E2F9579387E5}"/>
            </c:ext>
          </c:extLst>
        </c:ser>
        <c:ser>
          <c:idx val="1"/>
          <c:order val="1"/>
          <c:tx>
            <c:strRef>
              <c:f>Sheet1!$C$15</c:f>
              <c:strCache>
                <c:ptCount val="1"/>
                <c:pt idx="0">
                  <c:v> BAU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Sheet1!$A$16:$A$28</c:f>
              <c:strCache>
                <c:ptCount val="2"/>
                <c:pt idx="0">
                  <c:v> Year 1 </c:v>
                </c:pt>
                <c:pt idx="1">
                  <c:v> Year 12 </c:v>
                </c:pt>
              </c:strCache>
              <c:extLst/>
            </c:strRef>
          </c:cat>
          <c:val>
            <c:numRef>
              <c:f>Sheet1!$C$16:$C$28</c:f>
              <c:numCache>
                <c:formatCode>_(* #,##0.00_);_(* \(#,##0.00\);_(* "-"??_);_(@_)</c:formatCode>
                <c:ptCount val="2"/>
                <c:pt idx="0">
                  <c:v>1842190366.4200001</c:v>
                </c:pt>
                <c:pt idx="1">
                  <c:v>10032278093.0851</c:v>
                </c:pt>
              </c:numCache>
              <c:extLst/>
            </c:numRef>
          </c:val>
          <c:extLst>
            <c:ext xmlns:c16="http://schemas.microsoft.com/office/drawing/2014/chart" uri="{C3380CC4-5D6E-409C-BE32-E72D297353CC}">
              <c16:uniqueId val="{00000001-2EA1-441E-98E9-E2F9579387E5}"/>
            </c:ext>
          </c:extLst>
        </c:ser>
        <c:dLbls>
          <c:showLegendKey val="0"/>
          <c:showVal val="0"/>
          <c:showCatName val="0"/>
          <c:showSerName val="0"/>
          <c:showPercent val="0"/>
          <c:showBubbleSize val="0"/>
        </c:dLbls>
        <c:gapWidth val="100"/>
        <c:overlap val="-24"/>
        <c:axId val="1476560496"/>
        <c:axId val="1141954784"/>
      </c:barChart>
      <c:catAx>
        <c:axId val="147656049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954784"/>
        <c:crosses val="autoZero"/>
        <c:auto val="1"/>
        <c:lblAlgn val="ctr"/>
        <c:lblOffset val="100"/>
        <c:noMultiLvlLbl val="0"/>
      </c:catAx>
      <c:valAx>
        <c:axId val="114195478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56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777E826114463FADC78D020E4C46B5"/>
        <w:category>
          <w:name w:val="General"/>
          <w:gallery w:val="placeholder"/>
        </w:category>
        <w:types>
          <w:type w:val="bbPlcHdr"/>
        </w:types>
        <w:behaviors>
          <w:behavior w:val="content"/>
        </w:behaviors>
        <w:guid w:val="{95EDE824-EB35-43AD-A3B3-33A3F609B2A7}"/>
      </w:docPartPr>
      <w:docPartBody>
        <w:p w:rsidR="00EB1FF8" w:rsidRDefault="00EB1FF8" w:rsidP="00EB1FF8">
          <w:pPr>
            <w:pStyle w:val="90777E826114463FADC78D020E4C46B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F8"/>
    <w:rsid w:val="001F4CA5"/>
    <w:rsid w:val="00EB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777E826114463FADC78D020E4C46B5">
    <w:name w:val="90777E826114463FADC78D020E4C46B5"/>
    <w:rsid w:val="00EB1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Hoboken, NJ</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Oak19</b:Tag>
    <b:SourceType>InternetSite</b:SourceType>
    <b:Guid>{88D05FA5-1F9B-4726-9A2F-BABA253863F9}</b:Guid>
    <b:Author>
      <b:Author>
        <b:NameList>
          <b:Person>
            <b:Last>Laboratory</b:Last>
            <b:First>Oak</b:First>
            <b:Middle>Ridge National</b:Middle>
          </b:Person>
        </b:NameList>
      </b:Author>
    </b:Author>
    <b:Title>Transportation Energy Dark Book</b:Title>
    <b:ProductionCompany>U.S. Department of Energy</b:ProductionCompany>
    <b:YearAccessed>2019</b:YearAccessed>
    <b:MonthAccessed>March</b:MonthAccessed>
    <b:URL>https://www-cta.ornl.gov/data/chapter8.shtml</b:URL>
    <b:RefOrder>3</b:RefOrder>
  </b:Source>
  <b:Source>
    <b:Tag>Off</b:Tag>
    <b:SourceType>InternetSite</b:SourceType>
    <b:Guid>{66F1AFFF-6A16-4B9F-9154-A428F44D77F5}</b:Guid>
    <b:Author>
      <b:Author>
        <b:NameList>
          <b:Person>
            <b:Last>Renew</b:Last>
            <b:First>Office</b:First>
            <b:Middle>of Energy Efficiency and Renewable Energy</b:Middle>
          </b:Person>
        </b:NameList>
      </b:Author>
    </b:Author>
    <b:URL>https://www.fueleconomy.gov/</b:URL>
    <b:Title>www.fueleconomy,gov</b:Title>
    <b:ProductionCompany>U. S. Department of Energy</b:ProductionCompany>
    <b:YearAccessed>2019</b:YearAccessed>
    <b:MonthAccessed>March</b:MonthAccessed>
    <b:RefOrder>4</b:RefOrder>
  </b:Source>
  <b:Source>
    <b:Tag>USD19</b:Tag>
    <b:SourceType>InternetSite</b:SourceType>
    <b:Guid>{3AFBF0D4-616D-4EB2-A508-D1B8BFEC82CD}</b:Guid>
    <b:Author>
      <b:Author>
        <b:NameList>
          <b:Person>
            <b:Last>Transportation</b:Last>
            <b:First>U.</b:First>
            <b:Middle>S. Department of</b:Middle>
          </b:Person>
        </b:NameList>
      </b:Author>
    </b:Author>
    <b:Title>Bureau of Transportation Statistics </b:Title>
    <b:ProductionCompany>U. S Department of Transportation </b:ProductionCompany>
    <b:YearAccessed>2019</b:YearAccessed>
    <b:MonthAccessed>March</b:MonthAccessed>
    <b:URL>https://www.bts.gov/content/number-us-aircraft-vehicles-vessels-and-other-conveyances</b:URL>
    <b:RefOrder>5</b:RefOrder>
  </b:Source>
  <b:Source>
    <b:Tag>Ind17</b:Tag>
    <b:SourceType>DocumentFromInternetSite</b:SourceType>
    <b:Guid>{35EE9DDE-A468-40EF-BB3E-C9E810C8C39F}</b:Guid>
    <b:Title>Study of the Potential Energy Consumption Impacts of Connected and Automated Vehicles</b:Title>
    <b:Year>2017</b:Year>
    <b:Month>March</b:Month>
    <b:YearAccessed>2019</b:YearAccessed>
    <b:MonthAccessed>March</b:MonthAccessed>
    <b:URL>https://www.eia.gov/analysis/studies/transportation/automated/pdf/automated_vehicles.pdf</b:URL>
    <b:Author>
      <b:Author>
        <b:NameList>
          <b:Person>
            <b:Last>Analysis</b:Last>
            <b:First>Independent</b:First>
            <b:Middle>Statistics &amp;</b:Middle>
          </b:Person>
        </b:NameList>
      </b:Author>
    </b:Author>
    <b:RefOrder>2</b:RefOrder>
  </b:Source>
  <b:Source>
    <b:Tag>Nic09</b:Tag>
    <b:SourceType>DocumentFromInternetSite</b:SourceType>
    <b:Guid>{E00C74C4-9715-4496-97D0-4D3959EB7548}</b:Guid>
    <b:Title>Government will end clunkers program early</b:Title>
    <b:Year>2009</b:Year>
    <b:Month>August</b:Month>
    <b:Day>20</b:Day>
    <b:YearAccessed>2019</b:YearAccessed>
    <b:MonthAccessed>March</b:MonthAccessed>
    <b:URL>https://www.nytimes.com/2009/08/21/business/21clunkers.html?_r=1&amp;scp=3&amp;sq=cash%20for%20clunkers&amp;st=cse</b:URL>
    <b:Author>
      <b:Author>
        <b:Corporate>Nick Bunkley</b:Corporate>
      </b:Author>
    </b:Author>
    <b:JournalName>The New York Times</b:JournalName>
    <b:Pages>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2996A-F216-4AFF-89FD-090A5DD0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9</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Cash for Clunkers</vt:lpstr>
    </vt:vector>
  </TitlesOfParts>
  <Company>Stevens Institute of Technology</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for Clunkers</dc:title>
  <dc:subject>A report on the statistics and merits of this system. Project report for course SYS 660 – Decision Making via Risk Analysis.</dc:subject>
  <dc:creator>Rushabh Barbhaya</dc:creator>
  <cp:keywords/>
  <dc:description/>
  <cp:lastModifiedBy>Rushabh Barbhaya</cp:lastModifiedBy>
  <cp:revision>8</cp:revision>
  <dcterms:created xsi:type="dcterms:W3CDTF">2019-04-01T23:33:00Z</dcterms:created>
  <dcterms:modified xsi:type="dcterms:W3CDTF">2019-04-02T22:44:00Z</dcterms:modified>
</cp:coreProperties>
</file>