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4</w:t>
      </w:r>
    </w:p>
    <w:p>
      <w:r>
        <w:t>Due Monday</w:t>
      </w:r>
    </w:p>
    <w:p>
      <w:pPr>
        <w:pStyle w:val="Heading1"/>
      </w:pPr>
      <w:r>
        <w:t>Analytical Response</w:t>
      </w:r>
    </w:p>
    <w:p>
      <w:r>
        <w:t>In his inaugural address, Lincoln employs the rhetorical strategy of anaphora — 'with malice toward none, with charity for all' — to unify a fractured nation. The repetition creates a rhythmic cadence that softens the harshness of the preceding war. His diction shifts from legalistic language to biblical allusion, invoking shared moral values.</w:t>
      </w:r>
    </w:p>
    <w:p>
      <w:r>
        <w:t>This essay will argue that Lincoln's rhetorical choices reflect his awareness of audience: he speaks simultaneously to Southern secessionists and Northern abolitionists, seeking reconciliation over retribution.</w:t>
      </w:r>
    </w:p>
    <w:p>
      <w:r>
        <w:t>Thesis: Lincoln's deliberate use of inclusive language and scriptural reference in the Second Inaugural Address reveals his belief that rhetorical unity must precede political reconstruction.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