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4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analysis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combination of MI for one covariate with &gt;25% missing values and single (median/mode) imputation for variables with less than 5% missing values,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include missing indicators for covariates, some single imputation of educational trajectories that were used to derive exposure, weight?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mean imputation for variables with &gt; 25% missing data,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Median imputation,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missing-value indicators method,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Other: missing data included as a recoded category for unknown,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analysis conducted that handled the missing data differently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method of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CCA, 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secondary analyses conducted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without imputing exposure and outcome, weight?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MI, with model incorporating outcome variables, weight?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secondary analysis method justified based?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(without further justification)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(33%)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examine the influence of missing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examine the impact of the missing data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address possible selection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parametric modelling assumptions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as a sensitivity analysis to causal assumptions made about the missing data mechanism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Conducted both a CCA and an MI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(88%)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a substantial difference between MI and CCA estimates observed?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(84%)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did not conduct both MI and CCA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2024-07-03T17:30:23Z</dcterms:modified>
  <cp:category/>
</cp:coreProperties>
</file>