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4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analysis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MI, 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(62%)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MI, 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(18%)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CCA, 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(16%)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Other: combination of MI for one covariate with &gt;25% missing values and single (median/mode) imputation for variables with less than 5% missing values, weight?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Other: include missing indicators for covariates, some single imputation of educational trajectories that were used to derive exposure, weight?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Other: mean imputation for variables with &gt; 25% missing data, weight?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Other: Median imputation, weight?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Other: missing-value indicators method, weight?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Other: missing data included as a recoded category for unknown, weight?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analysis conducted that handled the missing data differently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(53%)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(47%)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method of 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MI, 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(36%)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MI, 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CCA, 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(38%)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CCA, 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(8.7%)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secondary analyses conducted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 without imputing exposure and outcome, weight?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MI, with model incorporating outcome variables, weight?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 the secondary analysis method justified based?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(36%)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as a sensitivity analysis (without further justification)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(33%)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as a sensitivity analysis to examine the influence of missing 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(5.8%)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as a sensitivity analysis to examine the impact of the missing data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as a sensitivity analysis to address possible selection bias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(8.7%)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as a sensitivity analysis to parametric modelling assumptions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as a sensitivity analysis to causal assumptions made about the missing data mechanism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(4.3%)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Conducted both a CCA and an MI 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(88%)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 a substantial difference between MI and CCA estimates observed?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(4.3%)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(84%)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did not conduct both MI and CCA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2024-07-24T18:20:05Z</dcterms:modified>
  <cp:category/>
</cp:coreProperties>
</file>