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9" w:lineRule="auto"/>
      </w:pPr>
      <w:r>
        <w:rPr>
          <w:rFonts w:ascii="Arial" w:hAnsi="Arial"/>
          <w:b/>
          <w:i w:val="0"/>
          <w:color w:val="1F4E78"/>
          <w:sz w:val="24"/>
        </w:rPr>
        <w:t>TDC ERP</w:t>
      </w:r>
    </w:p>
    <w:p>
      <w:pPr>
        <w:spacing w:before="0" w:after="100" w:line="269" w:lineRule="auto"/>
      </w:pPr>
      <w:r>
        <w:rPr>
          <w:rFonts w:ascii="Arial" w:hAnsi="Arial"/>
          <w:b/>
          <w:i w:val="0"/>
          <w:color w:val="1F4E78"/>
          <w:sz w:val="46"/>
        </w:rPr>
        <w:t>Finance Module Updated Requirements and Management Update</w:t>
      </w:r>
    </w:p>
    <w:p>
      <w:pPr>
        <w:spacing w:before="0" w:after="440" w:line="269" w:lineRule="auto"/>
      </w:pPr>
      <w:r>
        <w:rPr>
          <w:rFonts w:ascii="Arial" w:hAnsi="Arial"/>
          <w:b w:val="0"/>
          <w:i w:val="0"/>
          <w:color w:val="666666"/>
          <w:sz w:val="26"/>
        </w:rPr>
        <w:t>Updated client SRS baseline and Finance issue/action tracker summary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Prepared by</w:t>
            </w:r>
          </w:p>
        </w:tc>
        <w:tc>
          <w:tcPr>
            <w:tcW w:type="dxa" w:w="3311"/>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Module Scope</w:t>
            </w:r>
          </w:p>
        </w:tc>
        <w:tc>
          <w:tcPr>
            <w:tcW w:type="dxa" w:w="1440"/>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Version</w:t>
            </w:r>
          </w:p>
        </w:tc>
        <w:tc>
          <w:tcPr>
            <w:tcW w:type="dxa" w:w="2304"/>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Date</w:t>
            </w:r>
          </w:p>
        </w:tc>
      </w:tr>
      <w:tr>
        <w:tc>
          <w:tcPr>
            <w:tcW w:type="dxa" w:w="2340"/>
            <w:vAlign w:val="center"/>
          </w:tcPr>
          <w:p>
            <w:pPr>
              <w:spacing w:before="0" w:after="0" w:line="252" w:lineRule="auto"/>
            </w:pPr>
            <w:r/>
            <w:r>
              <w:rPr>
                <w:rFonts w:ascii="Arial" w:hAnsi="Arial"/>
                <w:b w:val="0"/>
                <w:color w:val="000000"/>
                <w:sz w:val="17"/>
              </w:rPr>
              <w:t>Akwasi Adu-Kyeremeh</w:t>
            </w:r>
          </w:p>
        </w:tc>
        <w:tc>
          <w:tcPr>
            <w:tcW w:type="dxa" w:w="2340"/>
            <w:vAlign w:val="center"/>
          </w:tcPr>
          <w:p>
            <w:pPr>
              <w:spacing w:before="0" w:after="0" w:line="252" w:lineRule="auto"/>
            </w:pPr>
            <w:r/>
            <w:r>
              <w:rPr>
                <w:rFonts w:ascii="Arial" w:hAnsi="Arial"/>
                <w:b w:val="0"/>
                <w:color w:val="000000"/>
                <w:sz w:val="17"/>
              </w:rPr>
              <w:t>Finance only</w:t>
            </w:r>
          </w:p>
        </w:tc>
        <w:tc>
          <w:tcPr>
            <w:tcW w:type="dxa" w:w="2340"/>
            <w:vAlign w:val="center"/>
          </w:tcPr>
          <w:p>
            <w:pPr>
              <w:spacing w:before="0" w:after="0" w:line="252" w:lineRule="auto"/>
            </w:pPr>
            <w:r/>
            <w:r>
              <w:rPr>
                <w:rFonts w:ascii="Arial" w:hAnsi="Arial"/>
                <w:b w:val="0"/>
                <w:color w:val="000000"/>
                <w:sz w:val="17"/>
              </w:rPr>
              <w:t>2.0</w:t>
            </w:r>
          </w:p>
        </w:tc>
        <w:tc>
          <w:tcPr>
            <w:tcW w:type="dxa" w:w="2340"/>
            <w:vAlign w:val="center"/>
          </w:tcPr>
          <w:p>
            <w:pPr>
              <w:spacing w:before="0" w:after="0" w:line="252" w:lineRule="auto"/>
            </w:pPr>
            <w:r/>
            <w:r>
              <w:rPr>
                <w:rFonts w:ascii="Arial" w:hAnsi="Arial"/>
                <w:b w:val="0"/>
                <w:color w:val="000000"/>
                <w:sz w:val="17"/>
              </w:rPr>
              <w:t>17 July 2026</w:t>
            </w:r>
          </w:p>
        </w:tc>
      </w:tr>
    </w:tbl>
    <w:p>
      <w:pPr>
        <w:spacing w:after="40"/>
      </w:pPr>
    </w:p>
    <w:tbl>
      <w:tblPr>
        <w:tblW w:type="auto" w:w="0"/>
        <w:tblLayout w:type="fixed"/>
        <w:tblLook w:firstColumn="1" w:firstRow="1" w:lastColumn="0" w:lastRow="0" w:noHBand="0" w:noVBand="1" w:val="04A0"/>
      </w:tblPr>
      <w:tblGrid>
        <w:gridCol w:w="9360"/>
      </w:tblGrid>
      <w:tr>
        <w:tc>
          <w:tcPr>
            <w:tcW w:type="dxa" w:w="9360"/>
            <w:shd w:fill="FFF2CC"/>
            <w:vAlign w:val="center"/>
          </w:tcPr>
          <w:p>
            <w:pPr>
              <w:spacing w:before="0" w:after="0" w:line="252" w:lineRule="auto"/>
            </w:pPr>
            <w:r/>
            <w:r>
              <w:rPr>
                <w:rFonts w:ascii="Arial" w:hAnsi="Arial"/>
                <w:b w:val="0"/>
                <w:color w:val="000000"/>
                <w:sz w:val="20"/>
              </w:rPr>
            </w:r>
            <w:r>
              <w:rPr>
                <w:rFonts w:ascii="Arial" w:hAnsi="Arial"/>
                <w:b/>
                <w:color w:val="7F6000"/>
                <w:sz w:val="20"/>
              </w:rPr>
              <w:t xml:space="preserve">Submission status: </w:t>
            </w:r>
            <w:r>
              <w:rPr>
                <w:rFonts w:ascii="Arial" w:hAnsi="Arial"/>
                <w:color w:val="1F1F1F"/>
                <w:sz w:val="20"/>
              </w:rPr>
              <w:t>Management requirements baseline. It highlights current implementation evidence, gaps, dependencies, and decisions required. It is not a production go-live approval and does not use demo/synthetic data as accounting evidence.</w:t>
            </w:r>
          </w:p>
        </w:tc>
      </w:tr>
    </w:tbl>
    <w:p>
      <w:pPr>
        <w:spacing w:after="40"/>
      </w:pPr>
    </w:p>
    <w:p>
      <w:pPr>
        <w:spacing w:before="0" w:after="80" w:line="269" w:lineRule="auto"/>
      </w:pPr>
      <w:r>
        <w:rPr>
          <w:rFonts w:ascii="Arial" w:hAnsi="Arial"/>
          <w:b/>
          <w:i w:val="0"/>
          <w:color w:val="1F4E78"/>
          <w:sz w:val="22"/>
        </w:rPr>
        <w:t>Authoritative updated sources</w:t>
      </w:r>
    </w:p>
    <w:p>
      <w:pPr>
        <w:pStyle w:val="ListBullet"/>
        <w:spacing w:after="80" w:line="259" w:lineRule="auto"/>
      </w:pPr>
      <w:r>
        <w:rPr>
          <w:rFonts w:ascii="Arial" w:hAnsi="Arial"/>
          <w:sz w:val="20"/>
        </w:rPr>
        <w:t>Finance Software Requirement (SRS) provided by the client.</w:t>
      </w:r>
    </w:p>
    <w:p>
      <w:pPr>
        <w:pStyle w:val="ListBullet"/>
        <w:spacing w:after="80" w:line="259" w:lineRule="auto"/>
      </w:pPr>
      <w:r>
        <w:rPr>
          <w:rFonts w:ascii="Arial" w:hAnsi="Arial"/>
          <w:sz w:val="20"/>
        </w:rPr>
        <w:t>Other finance Modules Software Requirement (SRS), Draft 1.0 dated 16 July 2026.</w:t>
      </w:r>
    </w:p>
    <w:p>
      <w:pPr>
        <w:pStyle w:val="ListBullet"/>
        <w:spacing w:after="80" w:line="259" w:lineRule="auto"/>
      </w:pPr>
      <w:r>
        <w:rPr>
          <w:rFonts w:ascii="Arial" w:hAnsi="Arial"/>
          <w:sz w:val="20"/>
        </w:rPr>
        <w:t>Comparison baseline only: TDC ERP User Requirements Document and the 10 July 2026 Finance submission pack.</w:t>
      </w:r>
    </w:p>
    <w:p>
      <w:pPr>
        <w:spacing w:before="0" w:after="0" w:line="269" w:lineRule="auto"/>
      </w:pPr>
      <w:r>
        <w:rPr>
          <w:rFonts w:ascii="Arial" w:hAnsi="Arial"/>
          <w:b w:val="0"/>
          <w:i/>
          <w:color w:val="666666"/>
          <w:sz w:val="21"/>
        </w:rPr>
        <w:t>The accompanying Excel tracker is the detailed source of truth: 151 requirement traceability rows, 13 issues, 13 actions, dependency ownership, and a change register.</w:t>
      </w:r>
    </w:p>
    <w:p>
      <w:pPr>
        <w:spacing w:before="280" w:after="120"/>
      </w:pPr>
      <w:r>
        <w:rPr>
          <w:rFonts w:ascii="Arial" w:hAnsi="Arial"/>
          <w:b/>
          <w:color w:val="1F4E78"/>
          <w:sz w:val="30"/>
        </w:rPr>
        <w:t>1. Management Position</w:t>
      </w:r>
    </w:p>
    <w:p>
      <w:pPr>
        <w:spacing w:before="0" w:after="120" w:line="269" w:lineRule="auto"/>
      </w:pPr>
      <w:r>
        <w:rPr>
          <w:rFonts w:ascii="Arial" w:hAnsi="Arial"/>
          <w:b w:val="0"/>
          <w:i w:val="0"/>
          <w:color w:val="000000"/>
          <w:sz w:val="21"/>
        </w:rPr>
        <w:t>The updated client SRS materially expands the Finance baseline. The Finance technical foundation is credible for controlled posting, reconciliation, tax reporting, fixed-asset accounting, workflow routing, reporting/export, and migration diagnostics. The new SRS makes broader operational processes explicit. Those additions must be treated as design, UAT, integration, or business-decision work; they should not be silently marked complete because an older high-level Finance requirement existed.</w:t>
      </w:r>
    </w:p>
    <w:tbl>
      <w:tblPr>
        <w:tblStyle w:val="TableGrid"/>
        <w:tblW w:type="auto" w:w="0"/>
        <w:tblLayout w:type="fixed"/>
        <w:tblLook w:firstColumn="1" w:firstRow="1" w:lastColumn="0" w:lastRow="0" w:noHBand="0" w:noVBand="1" w:val="04A0"/>
      </w:tblPr>
      <w:tblGrid>
        <w:gridCol w:w="4680"/>
        <w:gridCol w:w="4680"/>
      </w:tblGrid>
      <w:tr>
        <w:tc>
          <w:tcPr>
            <w:tcW w:type="dxa" w:w="2880"/>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Status</w:t>
            </w:r>
          </w:p>
        </w:tc>
        <w:tc>
          <w:tcPr>
            <w:tcW w:type="dxa" w:w="6480"/>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Meaning for Management</w:t>
            </w:r>
          </w:p>
        </w:tc>
      </w:tr>
      <w:tr>
        <w:tc>
          <w:tcPr>
            <w:tcW w:type="dxa" w:w="4680"/>
            <w:vAlign w:val="center"/>
          </w:tcPr>
          <w:p>
            <w:pPr>
              <w:spacing w:before="0" w:after="0" w:line="252" w:lineRule="auto"/>
            </w:pPr>
            <w:r/>
            <w:r>
              <w:rPr>
                <w:rFonts w:ascii="Arial" w:hAnsi="Arial"/>
                <w:b w:val="0"/>
                <w:color w:val="000000"/>
                <w:sz w:val="17"/>
              </w:rPr>
              <w:t>Implemented - Pending UAT</w:t>
            </w:r>
          </w:p>
        </w:tc>
        <w:tc>
          <w:tcPr>
            <w:tcW w:type="dxa" w:w="4680"/>
            <w:vAlign w:val="center"/>
          </w:tcPr>
          <w:p>
            <w:pPr>
              <w:spacing w:before="0" w:after="0" w:line="252" w:lineRule="auto"/>
            </w:pPr>
            <w:r/>
            <w:r>
              <w:rPr>
                <w:rFonts w:ascii="Arial" w:hAnsi="Arial"/>
                <w:b w:val="0"/>
                <w:color w:val="000000"/>
                <w:sz w:val="17"/>
              </w:rPr>
              <w:t>A Finance foundation exists, but TDC configuration, business scenarios, and accountant/UAT evidence are still required.</w:t>
            </w:r>
          </w:p>
        </w:tc>
      </w:tr>
      <w:tr>
        <w:tc>
          <w:tcPr>
            <w:tcW w:type="dxa" w:w="4680"/>
            <w:vAlign w:val="center"/>
          </w:tcPr>
          <w:p>
            <w:pPr>
              <w:spacing w:before="0" w:after="0" w:line="252" w:lineRule="auto"/>
            </w:pPr>
            <w:r/>
            <w:r>
              <w:rPr>
                <w:rFonts w:ascii="Arial" w:hAnsi="Arial"/>
                <w:b w:val="0"/>
                <w:color w:val="000000"/>
                <w:sz w:val="17"/>
              </w:rPr>
              <w:t>Partial - Design/UAT Needed</w:t>
            </w:r>
          </w:p>
        </w:tc>
        <w:tc>
          <w:tcPr>
            <w:tcW w:type="dxa" w:w="4680"/>
            <w:vAlign w:val="center"/>
          </w:tcPr>
          <w:p>
            <w:pPr>
              <w:spacing w:before="0" w:after="0" w:line="252" w:lineRule="auto"/>
            </w:pPr>
            <w:r/>
            <w:r>
              <w:rPr>
                <w:rFonts w:ascii="Arial" w:hAnsi="Arial"/>
                <w:b w:val="0"/>
                <w:color w:val="000000"/>
                <w:sz w:val="17"/>
              </w:rPr>
              <w:t>Some related capability exists; detailed scope, configuration, integration, correction workflow, or UAT remains.</w:t>
            </w:r>
          </w:p>
        </w:tc>
      </w:tr>
      <w:tr>
        <w:tc>
          <w:tcPr>
            <w:tcW w:type="dxa" w:w="4680"/>
            <w:vAlign w:val="center"/>
          </w:tcPr>
          <w:p>
            <w:pPr>
              <w:spacing w:before="0" w:after="0" w:line="252" w:lineRule="auto"/>
            </w:pPr>
            <w:r/>
            <w:r>
              <w:rPr>
                <w:rFonts w:ascii="Arial" w:hAnsi="Arial"/>
                <w:b w:val="0"/>
                <w:color w:val="000000"/>
                <w:sz w:val="17"/>
              </w:rPr>
              <w:t>Gap - Finance</w:t>
            </w:r>
          </w:p>
        </w:tc>
        <w:tc>
          <w:tcPr>
            <w:tcW w:type="dxa" w:w="4680"/>
            <w:vAlign w:val="center"/>
          </w:tcPr>
          <w:p>
            <w:pPr>
              <w:spacing w:before="0" w:after="0" w:line="252" w:lineRule="auto"/>
            </w:pPr>
            <w:r/>
            <w:r>
              <w:rPr>
                <w:rFonts w:ascii="Arial" w:hAnsi="Arial"/>
                <w:b w:val="0"/>
                <w:color w:val="000000"/>
                <w:sz w:val="17"/>
              </w:rPr>
              <w:t>No current Finance delivery evidence for the explicit requirement. It needs a distinct scope decision.</w:t>
            </w:r>
          </w:p>
        </w:tc>
      </w:tr>
      <w:tr>
        <w:tc>
          <w:tcPr>
            <w:tcW w:type="dxa" w:w="4680"/>
            <w:vAlign w:val="center"/>
          </w:tcPr>
          <w:p>
            <w:pPr>
              <w:spacing w:before="0" w:after="0" w:line="252" w:lineRule="auto"/>
            </w:pPr>
            <w:r/>
            <w:r>
              <w:rPr>
                <w:rFonts w:ascii="Arial" w:hAnsi="Arial"/>
                <w:b w:val="0"/>
                <w:color w:val="000000"/>
                <w:sz w:val="17"/>
              </w:rPr>
              <w:t>Blocked - Dependency</w:t>
            </w:r>
          </w:p>
        </w:tc>
        <w:tc>
          <w:tcPr>
            <w:tcW w:type="dxa" w:w="4680"/>
            <w:vAlign w:val="center"/>
          </w:tcPr>
          <w:p>
            <w:pPr>
              <w:spacing w:before="0" w:after="0" w:line="252" w:lineRule="auto"/>
            </w:pPr>
            <w:r/>
            <w:r>
              <w:rPr>
                <w:rFonts w:ascii="Arial" w:hAnsi="Arial"/>
                <w:b w:val="0"/>
                <w:color w:val="000000"/>
                <w:sz w:val="17"/>
              </w:rPr>
              <w:t>A source module, external system, business owner, or approved client decision is required before Finance can complete evidence.</w:t>
            </w:r>
          </w:p>
        </w:tc>
      </w:tr>
      <w:tr>
        <w:tc>
          <w:tcPr>
            <w:tcW w:type="dxa" w:w="4680"/>
            <w:vAlign w:val="center"/>
          </w:tcPr>
          <w:p>
            <w:pPr>
              <w:spacing w:before="0" w:after="0" w:line="252" w:lineRule="auto"/>
            </w:pPr>
            <w:r/>
            <w:r>
              <w:rPr>
                <w:rFonts w:ascii="Arial" w:hAnsi="Arial"/>
                <w:b w:val="0"/>
                <w:color w:val="000000"/>
                <w:sz w:val="17"/>
              </w:rPr>
              <w:t>Not Finance Owned - Interface</w:t>
            </w:r>
          </w:p>
        </w:tc>
        <w:tc>
          <w:tcPr>
            <w:tcW w:type="dxa" w:w="4680"/>
            <w:vAlign w:val="center"/>
          </w:tcPr>
          <w:p>
            <w:pPr>
              <w:spacing w:before="0" w:after="0" w:line="252" w:lineRule="auto"/>
            </w:pPr>
            <w:r/>
            <w:r>
              <w:rPr>
                <w:rFonts w:ascii="Arial" w:hAnsi="Arial"/>
                <w:b w:val="0"/>
                <w:color w:val="000000"/>
                <w:sz w:val="17"/>
              </w:rPr>
              <w:t>Tracked only because Finance consumes a journal, reconciliation, reporting, or control interface from another owner.</w:t>
            </w:r>
          </w:p>
        </w:tc>
      </w:tr>
    </w:tbl>
    <w:p>
      <w:pPr>
        <w:spacing w:after="40"/>
      </w:pPr>
    </w:p>
    <w:p>
      <w:pPr>
        <w:spacing w:before="280" w:after="120"/>
      </w:pPr>
      <w:r>
        <w:rPr>
          <w:rFonts w:ascii="Arial" w:hAnsi="Arial"/>
          <w:b/>
          <w:color w:val="1F4E78"/>
          <w:sz w:val="30"/>
        </w:rPr>
        <w:t>2. What Changed From the July 10 Baseline</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Area</w:t>
            </w:r>
          </w:p>
        </w:tc>
        <w:tc>
          <w:tcPr>
            <w:tcW w:type="dxa" w:w="4104"/>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Updated Client Requirement</w:t>
            </w:r>
          </w:p>
        </w:tc>
        <w:tc>
          <w:tcPr>
            <w:tcW w:type="dxa" w:w="3456"/>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Finance Effect</w:t>
            </w:r>
          </w:p>
        </w:tc>
      </w:tr>
      <w:tr>
        <w:tc>
          <w:tcPr>
            <w:tcW w:type="dxa" w:w="3120"/>
            <w:vAlign w:val="center"/>
          </w:tcPr>
          <w:p>
            <w:pPr>
              <w:spacing w:before="0" w:after="0" w:line="252" w:lineRule="auto"/>
            </w:pPr>
            <w:r/>
            <w:r>
              <w:rPr>
                <w:rFonts w:ascii="Arial" w:hAnsi="Arial"/>
                <w:b w:val="0"/>
                <w:color w:val="000000"/>
                <w:sz w:val="17"/>
              </w:rPr>
              <w:t>Period close</w:t>
            </w:r>
          </w:p>
        </w:tc>
        <w:tc>
          <w:tcPr>
            <w:tcW w:type="dxa" w:w="3120"/>
            <w:vAlign w:val="center"/>
          </w:tcPr>
          <w:p>
            <w:pPr>
              <w:spacing w:before="0" w:after="0" w:line="252" w:lineRule="auto"/>
            </w:pPr>
            <w:r/>
            <w:r>
              <w:rPr>
                <w:rFonts w:ascii="Arial" w:hAnsi="Arial"/>
                <w:b w:val="0"/>
                <w:color w:val="000000"/>
                <w:sz w:val="17"/>
              </w:rPr>
              <w:t>Close calendar, checklist, readiness, dashboard, certification, and sign-off reports are now explicit.</w:t>
            </w:r>
          </w:p>
        </w:tc>
        <w:tc>
          <w:tcPr>
            <w:tcW w:type="dxa" w:w="3120"/>
            <w:vAlign w:val="center"/>
          </w:tcPr>
          <w:p>
            <w:pPr>
              <w:spacing w:before="0" w:after="0" w:line="252" w:lineRule="auto"/>
            </w:pPr>
            <w:r/>
            <w:r>
              <w:rPr>
                <w:rFonts w:ascii="Arial" w:hAnsi="Arial"/>
                <w:b w:val="0"/>
                <w:color w:val="000000"/>
                <w:sz w:val="17"/>
              </w:rPr>
              <w:t>Requires a dedicated Finance close-process design/delivery scope; current diagnostics alone are insufficient.</w:t>
            </w:r>
          </w:p>
        </w:tc>
      </w:tr>
      <w:tr>
        <w:tc>
          <w:tcPr>
            <w:tcW w:type="dxa" w:w="3120"/>
            <w:vAlign w:val="center"/>
          </w:tcPr>
          <w:p>
            <w:pPr>
              <w:spacing w:before="0" w:after="0" w:line="252" w:lineRule="auto"/>
            </w:pPr>
            <w:r/>
            <w:r>
              <w:rPr>
                <w:rFonts w:ascii="Arial" w:hAnsi="Arial"/>
                <w:b w:val="0"/>
                <w:color w:val="000000"/>
                <w:sz w:val="17"/>
              </w:rPr>
              <w:t>AR and revenue</w:t>
            </w:r>
          </w:p>
        </w:tc>
        <w:tc>
          <w:tcPr>
            <w:tcW w:type="dxa" w:w="3120"/>
            <w:vAlign w:val="center"/>
          </w:tcPr>
          <w:p>
            <w:pPr>
              <w:spacing w:before="0" w:after="0" w:line="252" w:lineRule="auto"/>
            </w:pPr>
            <w:r/>
            <w:r>
              <w:rPr>
                <w:rFonts w:ascii="Arial" w:hAnsi="Arial"/>
                <w:b w:val="0"/>
                <w:color w:val="000000"/>
                <w:sz w:val="17"/>
              </w:rPr>
              <w:t>PMS billing/cashiering source-of-truth, property/debtor masters, revenue reconciliation, debt follow-up, and Legal escalation are explicit.</w:t>
            </w:r>
          </w:p>
        </w:tc>
        <w:tc>
          <w:tcPr>
            <w:tcW w:type="dxa" w:w="3120"/>
            <w:vAlign w:val="center"/>
          </w:tcPr>
          <w:p>
            <w:pPr>
              <w:spacing w:before="0" w:after="0" w:line="252" w:lineRule="auto"/>
            </w:pPr>
            <w:r/>
            <w:r>
              <w:rPr>
                <w:rFonts w:ascii="Arial" w:hAnsi="Arial"/>
                <w:b w:val="0"/>
                <w:color w:val="000000"/>
                <w:sz w:val="17"/>
              </w:rPr>
              <w:t>Requires a PMS/revenue/property interface decision. Finance must not fake property or AR evidence through GL-only balances.</w:t>
            </w:r>
          </w:p>
        </w:tc>
      </w:tr>
      <w:tr>
        <w:tc>
          <w:tcPr>
            <w:tcW w:type="dxa" w:w="3120"/>
            <w:vAlign w:val="center"/>
          </w:tcPr>
          <w:p>
            <w:pPr>
              <w:spacing w:before="0" w:after="0" w:line="252" w:lineRule="auto"/>
            </w:pPr>
            <w:r/>
            <w:r>
              <w:rPr>
                <w:rFonts w:ascii="Arial" w:hAnsi="Arial"/>
                <w:b w:val="0"/>
                <w:color w:val="000000"/>
                <w:sz w:val="17"/>
              </w:rPr>
              <w:t>Cash and bank</w:t>
            </w:r>
          </w:p>
        </w:tc>
        <w:tc>
          <w:tcPr>
            <w:tcW w:type="dxa" w:w="3120"/>
            <w:vAlign w:val="center"/>
          </w:tcPr>
          <w:p>
            <w:pPr>
              <w:spacing w:before="0" w:after="0" w:line="252" w:lineRule="auto"/>
            </w:pPr>
            <w:r/>
            <w:r>
              <w:rPr>
                <w:rFonts w:ascii="Arial" w:hAnsi="Arial"/>
                <w:b w:val="0"/>
                <w:color w:val="000000"/>
                <w:sz w:val="17"/>
              </w:rPr>
              <w:t>23-bank operating requirement, bank file validation, daily position, payment slips, mobile money, and cashier operations are explicit.</w:t>
            </w:r>
          </w:p>
        </w:tc>
        <w:tc>
          <w:tcPr>
            <w:tcW w:type="dxa" w:w="3120"/>
            <w:vAlign w:val="center"/>
          </w:tcPr>
          <w:p>
            <w:pPr>
              <w:spacing w:before="0" w:after="0" w:line="252" w:lineRule="auto"/>
            </w:pPr>
            <w:r/>
            <w:r>
              <w:rPr>
                <w:rFonts w:ascii="Arial" w:hAnsi="Arial"/>
                <w:b w:val="0"/>
                <w:color w:val="000000"/>
                <w:sz w:val="17"/>
              </w:rPr>
              <w:t>Core Finance controls exist, but provider formats, bank/mobile integrations, and cashier process design need confirmation.</w:t>
            </w:r>
          </w:p>
        </w:tc>
      </w:tr>
      <w:tr>
        <w:tc>
          <w:tcPr>
            <w:tcW w:type="dxa" w:w="3120"/>
            <w:vAlign w:val="center"/>
          </w:tcPr>
          <w:p>
            <w:pPr>
              <w:spacing w:before="0" w:after="0" w:line="252" w:lineRule="auto"/>
            </w:pPr>
            <w:r/>
            <w:r>
              <w:rPr>
                <w:rFonts w:ascii="Arial" w:hAnsi="Arial"/>
                <w:b w:val="0"/>
                <w:color w:val="000000"/>
                <w:sz w:val="17"/>
              </w:rPr>
              <w:t>Fixed assets</w:t>
            </w:r>
          </w:p>
        </w:tc>
        <w:tc>
          <w:tcPr>
            <w:tcW w:type="dxa" w:w="3120"/>
            <w:vAlign w:val="center"/>
          </w:tcPr>
          <w:p>
            <w:pPr>
              <w:spacing w:before="0" w:after="0" w:line="252" w:lineRule="auto"/>
            </w:pPr>
            <w:r/>
            <w:r>
              <w:rPr>
                <w:rFonts w:ascii="Arial" w:hAnsi="Arial"/>
                <w:b w:val="0"/>
                <w:color w:val="000000"/>
                <w:sz w:val="17"/>
              </w:rPr>
              <w:t>Physical verification, Board-of-Survey/procurement disposal governance, and source integration are explicit.</w:t>
            </w:r>
          </w:p>
        </w:tc>
        <w:tc>
          <w:tcPr>
            <w:tcW w:type="dxa" w:w="3120"/>
            <w:vAlign w:val="center"/>
          </w:tcPr>
          <w:p>
            <w:pPr>
              <w:spacing w:before="0" w:after="0" w:line="252" w:lineRule="auto"/>
            </w:pPr>
            <w:r/>
            <w:r>
              <w:rPr>
                <w:rFonts w:ascii="Arial" w:hAnsi="Arial"/>
                <w:b w:val="0"/>
                <w:color w:val="000000"/>
                <w:sz w:val="17"/>
              </w:rPr>
              <w:t>Lifecycle accounting foundation is available; verification and expanded disposal governance are new work.</w:t>
            </w:r>
          </w:p>
        </w:tc>
      </w:tr>
      <w:tr>
        <w:tc>
          <w:tcPr>
            <w:tcW w:type="dxa" w:w="3120"/>
            <w:vAlign w:val="center"/>
          </w:tcPr>
          <w:p>
            <w:pPr>
              <w:spacing w:before="0" w:after="0" w:line="252" w:lineRule="auto"/>
            </w:pPr>
            <w:r/>
            <w:r>
              <w:rPr>
                <w:rFonts w:ascii="Arial" w:hAnsi="Arial"/>
                <w:b w:val="0"/>
                <w:color w:val="000000"/>
                <w:sz w:val="17"/>
              </w:rPr>
              <w:t>Budget</w:t>
            </w:r>
          </w:p>
        </w:tc>
        <w:tc>
          <w:tcPr>
            <w:tcW w:type="dxa" w:w="3120"/>
            <w:vAlign w:val="center"/>
          </w:tcPr>
          <w:p>
            <w:pPr>
              <w:spacing w:before="0" w:after="0" w:line="252" w:lineRule="auto"/>
            </w:pPr>
            <w:r/>
            <w:r>
              <w:rPr>
                <w:rFonts w:ascii="Arial" w:hAnsi="Arial"/>
                <w:b w:val="0"/>
                <w:color w:val="000000"/>
                <w:sz w:val="17"/>
              </w:rPr>
              <w:t>Commitments, obligations, Board approvals, virement, and supplementary budgets are explicit.</w:t>
            </w:r>
          </w:p>
        </w:tc>
        <w:tc>
          <w:tcPr>
            <w:tcW w:type="dxa" w:w="3120"/>
            <w:vAlign w:val="center"/>
          </w:tcPr>
          <w:p>
            <w:pPr>
              <w:spacing w:before="0" w:after="0" w:line="252" w:lineRule="auto"/>
            </w:pPr>
            <w:r/>
            <w:r>
              <w:rPr>
                <w:rFonts w:ascii="Arial" w:hAnsi="Arial"/>
                <w:b w:val="0"/>
                <w:color w:val="000000"/>
                <w:sz w:val="17"/>
              </w:rPr>
              <w:t>Needs a confirmed Budget Committee/Procurement/Project operating model and dedicated scope.</w:t>
            </w:r>
          </w:p>
        </w:tc>
      </w:tr>
      <w:tr>
        <w:tc>
          <w:tcPr>
            <w:tcW w:type="dxa" w:w="3120"/>
            <w:vAlign w:val="center"/>
          </w:tcPr>
          <w:p>
            <w:pPr>
              <w:spacing w:before="0" w:after="0" w:line="252" w:lineRule="auto"/>
            </w:pPr>
            <w:r/>
            <w:r>
              <w:rPr>
                <w:rFonts w:ascii="Arial" w:hAnsi="Arial"/>
                <w:b w:val="0"/>
                <w:color w:val="000000"/>
                <w:sz w:val="17"/>
              </w:rPr>
              <w:t>Reporting and NFRs</w:t>
            </w:r>
          </w:p>
        </w:tc>
        <w:tc>
          <w:tcPr>
            <w:tcW w:type="dxa" w:w="3120"/>
            <w:vAlign w:val="center"/>
          </w:tcPr>
          <w:p>
            <w:pPr>
              <w:spacing w:before="0" w:after="0" w:line="252" w:lineRule="auto"/>
            </w:pPr>
            <w:r/>
            <w:r>
              <w:rPr>
                <w:rFonts w:ascii="Arial" w:hAnsi="Arial"/>
                <w:b w:val="0"/>
                <w:color w:val="000000"/>
                <w:sz w:val="17"/>
              </w:rPr>
              <w:t>Authority templates, PDF/Excel packs, scheduling, ad hoc reporting, measurable security/performance/recovery/support requirements are explicit.</w:t>
            </w:r>
          </w:p>
        </w:tc>
        <w:tc>
          <w:tcPr>
            <w:tcW w:type="dxa" w:w="3120"/>
            <w:vAlign w:val="center"/>
          </w:tcPr>
          <w:p>
            <w:pPr>
              <w:spacing w:before="0" w:after="0" w:line="252" w:lineRule="auto"/>
            </w:pPr>
            <w:r/>
            <w:r>
              <w:rPr>
                <w:rFonts w:ascii="Arial" w:hAnsi="Arial"/>
                <w:b w:val="0"/>
                <w:color w:val="000000"/>
                <w:sz w:val="17"/>
              </w:rPr>
              <w:t>Backend CSV/report controls are not sufficient evidence for these expanded acceptance requirements.</w:t>
            </w:r>
          </w:p>
        </w:tc>
      </w:tr>
    </w:tbl>
    <w:p>
      <w:pPr>
        <w:spacing w:after="40"/>
      </w:pPr>
    </w:p>
    <w:p>
      <w:pPr>
        <w:spacing w:before="280" w:after="120"/>
      </w:pPr>
      <w:r>
        <w:rPr>
          <w:rFonts w:ascii="Arial" w:hAnsi="Arial"/>
          <w:b/>
          <w:color w:val="1F4E78"/>
          <w:sz w:val="30"/>
        </w:rPr>
        <w:t>3. Finance Delivery Assessment</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Area</w:t>
            </w:r>
          </w:p>
        </w:tc>
        <w:tc>
          <w:tcPr>
            <w:tcW w:type="dxa" w:w="4104"/>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Current Assessment</w:t>
            </w:r>
          </w:p>
        </w:tc>
        <w:tc>
          <w:tcPr>
            <w:tcW w:type="dxa" w:w="3456"/>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Management Attention</w:t>
            </w:r>
          </w:p>
        </w:tc>
      </w:tr>
      <w:tr>
        <w:tc>
          <w:tcPr>
            <w:tcW w:type="dxa" w:w="3120"/>
            <w:vAlign w:val="center"/>
          </w:tcPr>
          <w:p>
            <w:pPr>
              <w:spacing w:before="0" w:after="0" w:line="252" w:lineRule="auto"/>
            </w:pPr>
            <w:r/>
            <w:r>
              <w:rPr>
                <w:rFonts w:ascii="Arial" w:hAnsi="Arial"/>
                <w:b w:val="0"/>
                <w:color w:val="000000"/>
                <w:sz w:val="17"/>
              </w:rPr>
              <w:t>GL and controls</w:t>
            </w:r>
          </w:p>
        </w:tc>
        <w:tc>
          <w:tcPr>
            <w:tcW w:type="dxa" w:w="3120"/>
            <w:vAlign w:val="center"/>
          </w:tcPr>
          <w:p>
            <w:pPr>
              <w:spacing w:before="0" w:after="0" w:line="252" w:lineRule="auto"/>
            </w:pPr>
            <w:r/>
            <w:r>
              <w:rPr>
                <w:rFonts w:ascii="Arial" w:hAnsi="Arial"/>
                <w:b w:val="0"/>
                <w:color w:val="000000"/>
                <w:sz w:val="17"/>
              </w:rPr>
              <w:t>Posting-engine boundary, audit, permissions, approval hardening, journals, reports, and tax foundations exist.</w:t>
            </w:r>
          </w:p>
        </w:tc>
        <w:tc>
          <w:tcPr>
            <w:tcW w:type="dxa" w:w="3120"/>
            <w:vAlign w:val="center"/>
          </w:tcPr>
          <w:p>
            <w:pPr>
              <w:spacing w:before="0" w:after="0" w:line="252" w:lineRule="auto"/>
            </w:pPr>
            <w:r/>
            <w:r>
              <w:rPr>
                <w:rFonts w:ascii="Arial" w:hAnsi="Arial"/>
                <w:b w:val="0"/>
                <w:color w:val="000000"/>
                <w:sz w:val="17"/>
              </w:rPr>
              <w:t>Approve COA, mandatory dimensions, reporting hierarchy, thresholds, roles, and correction policy.</w:t>
            </w:r>
          </w:p>
        </w:tc>
      </w:tr>
      <w:tr>
        <w:tc>
          <w:tcPr>
            <w:tcW w:type="dxa" w:w="3120"/>
            <w:vAlign w:val="center"/>
          </w:tcPr>
          <w:p>
            <w:pPr>
              <w:spacing w:before="0" w:after="0" w:line="252" w:lineRule="auto"/>
            </w:pPr>
            <w:r/>
            <w:r>
              <w:rPr>
                <w:rFonts w:ascii="Arial" w:hAnsi="Arial"/>
                <w:b w:val="0"/>
                <w:color w:val="000000"/>
                <w:sz w:val="17"/>
              </w:rPr>
              <w:t>AP</w:t>
            </w:r>
          </w:p>
        </w:tc>
        <w:tc>
          <w:tcPr>
            <w:tcW w:type="dxa" w:w="3120"/>
            <w:vAlign w:val="center"/>
          </w:tcPr>
          <w:p>
            <w:pPr>
              <w:spacing w:before="0" w:after="0" w:line="252" w:lineRule="auto"/>
            </w:pPr>
            <w:r/>
            <w:r>
              <w:rPr>
                <w:rFonts w:ascii="Arial" w:hAnsi="Arial"/>
                <w:b w:val="0"/>
                <w:color w:val="000000"/>
                <w:sz w:val="17"/>
              </w:rPr>
              <w:t>Invoice/payment, settlement, reports, tax, and workflow foundations exist.</w:t>
            </w:r>
          </w:p>
        </w:tc>
        <w:tc>
          <w:tcPr>
            <w:tcW w:type="dxa" w:w="3120"/>
            <w:vAlign w:val="center"/>
          </w:tcPr>
          <w:p>
            <w:pPr>
              <w:spacing w:before="0" w:after="0" w:line="252" w:lineRule="auto"/>
            </w:pPr>
            <w:r/>
            <w:r>
              <w:rPr>
                <w:rFonts w:ascii="Arial" w:hAnsi="Arial"/>
                <w:b w:val="0"/>
                <w:color w:val="000000"/>
                <w:sz w:val="17"/>
              </w:rPr>
              <w:t>Complete Internal Audit/MD routing and correction/reversal policy; integrate Procurement/Inventory evidence.</w:t>
            </w:r>
          </w:p>
        </w:tc>
      </w:tr>
      <w:tr>
        <w:tc>
          <w:tcPr>
            <w:tcW w:type="dxa" w:w="3120"/>
            <w:vAlign w:val="center"/>
          </w:tcPr>
          <w:p>
            <w:pPr>
              <w:spacing w:before="0" w:after="0" w:line="252" w:lineRule="auto"/>
            </w:pPr>
            <w:r/>
            <w:r>
              <w:rPr>
                <w:rFonts w:ascii="Arial" w:hAnsi="Arial"/>
                <w:b w:val="0"/>
                <w:color w:val="000000"/>
                <w:sz w:val="17"/>
              </w:rPr>
              <w:t>AR / revenue</w:t>
            </w:r>
          </w:p>
        </w:tc>
        <w:tc>
          <w:tcPr>
            <w:tcW w:type="dxa" w:w="3120"/>
            <w:vAlign w:val="center"/>
          </w:tcPr>
          <w:p>
            <w:pPr>
              <w:spacing w:before="0" w:after="0" w:line="252" w:lineRule="auto"/>
            </w:pPr>
            <w:r/>
            <w:r>
              <w:rPr>
                <w:rFonts w:ascii="Arial" w:hAnsi="Arial"/>
                <w:b w:val="0"/>
                <w:color w:val="000000"/>
                <w:sz w:val="17"/>
              </w:rPr>
              <w:t>Settlement read model, aging, control reconciliation, functional-currency advances, and Sales credit-note reversal are implemented.</w:t>
            </w:r>
          </w:p>
        </w:tc>
        <w:tc>
          <w:tcPr>
            <w:tcW w:type="dxa" w:w="3120"/>
            <w:vAlign w:val="center"/>
          </w:tcPr>
          <w:p>
            <w:pPr>
              <w:spacing w:before="0" w:after="0" w:line="252" w:lineRule="auto"/>
            </w:pPr>
            <w:r/>
            <w:r>
              <w:rPr>
                <w:rFonts w:ascii="Arial" w:hAnsi="Arial"/>
                <w:b w:val="0"/>
                <w:color w:val="000000"/>
                <w:sz w:val="17"/>
              </w:rPr>
              <w:t>Resolve PMS/property/revenue source ownership, billing/revenue rules, legal escalation, and source-level opening data.</w:t>
            </w:r>
          </w:p>
        </w:tc>
      </w:tr>
      <w:tr>
        <w:tc>
          <w:tcPr>
            <w:tcW w:type="dxa" w:w="3120"/>
            <w:vAlign w:val="center"/>
          </w:tcPr>
          <w:p>
            <w:pPr>
              <w:spacing w:before="0" w:after="0" w:line="252" w:lineRule="auto"/>
            </w:pPr>
            <w:r/>
            <w:r>
              <w:rPr>
                <w:rFonts w:ascii="Arial" w:hAnsi="Arial"/>
                <w:b w:val="0"/>
                <w:color w:val="000000"/>
                <w:sz w:val="17"/>
              </w:rPr>
              <w:t>Cash and bank</w:t>
            </w:r>
          </w:p>
        </w:tc>
        <w:tc>
          <w:tcPr>
            <w:tcW w:type="dxa" w:w="3120"/>
            <w:vAlign w:val="center"/>
          </w:tcPr>
          <w:p>
            <w:pPr>
              <w:spacing w:before="0" w:after="0" w:line="252" w:lineRule="auto"/>
            </w:pPr>
            <w:r/>
            <w:r>
              <w:rPr>
                <w:rFonts w:ascii="Arial" w:hAnsi="Arial"/>
                <w:b w:val="0"/>
                <w:color w:val="000000"/>
                <w:sz w:val="17"/>
              </w:rPr>
              <w:t>Bank master, GL-based cash reporting, reconciliation diagnostics, and controlled posting exist.</w:t>
            </w:r>
          </w:p>
        </w:tc>
        <w:tc>
          <w:tcPr>
            <w:tcW w:type="dxa" w:w="3120"/>
            <w:vAlign w:val="center"/>
          </w:tcPr>
          <w:p>
            <w:pPr>
              <w:spacing w:before="0" w:after="0" w:line="252" w:lineRule="auto"/>
            </w:pPr>
            <w:r/>
            <w:r>
              <w:rPr>
                <w:rFonts w:ascii="Arial" w:hAnsi="Arial"/>
                <w:b w:val="0"/>
                <w:color w:val="000000"/>
                <w:sz w:val="17"/>
              </w:rPr>
              <w:t>Confirm bank/mobile formats, cashier/lodgement process, payment slips, and cash/bank reversal requirements.</w:t>
            </w:r>
          </w:p>
        </w:tc>
      </w:tr>
      <w:tr>
        <w:tc>
          <w:tcPr>
            <w:tcW w:type="dxa" w:w="3120"/>
            <w:vAlign w:val="center"/>
          </w:tcPr>
          <w:p>
            <w:pPr>
              <w:spacing w:before="0" w:after="0" w:line="252" w:lineRule="auto"/>
            </w:pPr>
            <w:r/>
            <w:r>
              <w:rPr>
                <w:rFonts w:ascii="Arial" w:hAnsi="Arial"/>
                <w:b w:val="0"/>
                <w:color w:val="000000"/>
                <w:sz w:val="17"/>
              </w:rPr>
              <w:t>Fixed assets</w:t>
            </w:r>
          </w:p>
        </w:tc>
        <w:tc>
          <w:tcPr>
            <w:tcW w:type="dxa" w:w="3120"/>
            <w:vAlign w:val="center"/>
          </w:tcPr>
          <w:p>
            <w:pPr>
              <w:spacing w:before="0" w:after="0" w:line="252" w:lineRule="auto"/>
            </w:pPr>
            <w:r/>
            <w:r>
              <w:rPr>
                <w:rFonts w:ascii="Arial" w:hAnsi="Arial"/>
                <w:b w:val="0"/>
                <w:color w:val="000000"/>
                <w:sz w:val="17"/>
              </w:rPr>
              <w:t>Capitalization, straight-line depreciation, valuation/impairment, transfers, disposals, reports, and GL reconciliation foundations exist.</w:t>
            </w:r>
          </w:p>
        </w:tc>
        <w:tc>
          <w:tcPr>
            <w:tcW w:type="dxa" w:w="3120"/>
            <w:vAlign w:val="center"/>
          </w:tcPr>
          <w:p>
            <w:pPr>
              <w:spacing w:before="0" w:after="0" w:line="252" w:lineRule="auto"/>
            </w:pPr>
            <w:r/>
            <w:r>
              <w:rPr>
                <w:rFonts w:ascii="Arial" w:hAnsi="Arial"/>
                <w:b w:val="0"/>
                <w:color w:val="000000"/>
                <w:sz w:val="17"/>
              </w:rPr>
              <w:t>Provide assets data; decide verification, Board-of-Survey, partial disposal, and source-integrated capitalization needs.</w:t>
            </w:r>
          </w:p>
        </w:tc>
      </w:tr>
      <w:tr>
        <w:tc>
          <w:tcPr>
            <w:tcW w:type="dxa" w:w="3120"/>
            <w:vAlign w:val="center"/>
          </w:tcPr>
          <w:p>
            <w:pPr>
              <w:spacing w:before="0" w:after="0" w:line="252" w:lineRule="auto"/>
            </w:pPr>
            <w:r/>
            <w:r>
              <w:rPr>
                <w:rFonts w:ascii="Arial" w:hAnsi="Arial"/>
                <w:b w:val="0"/>
                <w:color w:val="000000"/>
                <w:sz w:val="17"/>
              </w:rPr>
              <w:t>Budget</w:t>
            </w:r>
          </w:p>
        </w:tc>
        <w:tc>
          <w:tcPr>
            <w:tcW w:type="dxa" w:w="3120"/>
            <w:vAlign w:val="center"/>
          </w:tcPr>
          <w:p>
            <w:pPr>
              <w:spacing w:before="0" w:after="0" w:line="252" w:lineRule="auto"/>
            </w:pPr>
            <w:r/>
            <w:r>
              <w:rPr>
                <w:rFonts w:ascii="Arial" w:hAnsi="Arial"/>
                <w:b w:val="0"/>
                <w:color w:val="000000"/>
                <w:sz w:val="17"/>
              </w:rPr>
              <w:t>Existing baseline capability requires detailed validation against the expanded client process.</w:t>
            </w:r>
          </w:p>
        </w:tc>
        <w:tc>
          <w:tcPr>
            <w:tcW w:type="dxa" w:w="3120"/>
            <w:vAlign w:val="center"/>
          </w:tcPr>
          <w:p>
            <w:pPr>
              <w:spacing w:before="0" w:after="0" w:line="252" w:lineRule="auto"/>
            </w:pPr>
            <w:r/>
            <w:r>
              <w:rPr>
                <w:rFonts w:ascii="Arial" w:hAnsi="Arial"/>
                <w:b w:val="0"/>
                <w:color w:val="000000"/>
                <w:sz w:val="17"/>
              </w:rPr>
              <w:t>Confirm commitment sources, Board approvals, virement/supplementary budget process, and report dimensions.</w:t>
            </w:r>
          </w:p>
        </w:tc>
      </w:tr>
      <w:tr>
        <w:tc>
          <w:tcPr>
            <w:tcW w:type="dxa" w:w="3120"/>
            <w:vAlign w:val="center"/>
          </w:tcPr>
          <w:p>
            <w:pPr>
              <w:spacing w:before="0" w:after="0" w:line="252" w:lineRule="auto"/>
            </w:pPr>
            <w:r/>
            <w:r>
              <w:rPr>
                <w:rFonts w:ascii="Arial" w:hAnsi="Arial"/>
                <w:b w:val="0"/>
                <w:color w:val="000000"/>
                <w:sz w:val="17"/>
              </w:rPr>
              <w:t>Reporting / tax</w:t>
            </w:r>
          </w:p>
        </w:tc>
        <w:tc>
          <w:tcPr>
            <w:tcW w:type="dxa" w:w="3120"/>
            <w:vAlign w:val="center"/>
          </w:tcPr>
          <w:p>
            <w:pPr>
              <w:spacing w:before="0" w:after="0" w:line="252" w:lineRule="auto"/>
            </w:pPr>
            <w:r/>
            <w:r>
              <w:rPr>
                <w:rFonts w:ascii="Arial" w:hAnsi="Arial"/>
                <w:b w:val="0"/>
                <w:color w:val="000000"/>
                <w:sz w:val="17"/>
              </w:rPr>
              <w:t>Tax reporting/reconciliation and audited CSV export foundations are available.</w:t>
            </w:r>
          </w:p>
        </w:tc>
        <w:tc>
          <w:tcPr>
            <w:tcW w:type="dxa" w:w="3120"/>
            <w:vAlign w:val="center"/>
          </w:tcPr>
          <w:p>
            <w:pPr>
              <w:spacing w:before="0" w:after="0" w:line="252" w:lineRule="auto"/>
            </w:pPr>
            <w:r/>
            <w:r>
              <w:rPr>
                <w:rFonts w:ascii="Arial" w:hAnsi="Arial"/>
                <w:b w:val="0"/>
                <w:color w:val="000000"/>
                <w:sz w:val="17"/>
              </w:rPr>
              <w:t>Confirm statutory/Board templates, richer PDF/Excel, scheduling, ad hoc reporting, and authority submission requirements.</w:t>
            </w:r>
          </w:p>
        </w:tc>
      </w:tr>
      <w:tr>
        <w:tc>
          <w:tcPr>
            <w:tcW w:type="dxa" w:w="3120"/>
            <w:vAlign w:val="center"/>
          </w:tcPr>
          <w:p>
            <w:pPr>
              <w:spacing w:before="0" w:after="0" w:line="252" w:lineRule="auto"/>
            </w:pPr>
            <w:r/>
            <w:r>
              <w:rPr>
                <w:rFonts w:ascii="Arial" w:hAnsi="Arial"/>
                <w:b w:val="0"/>
                <w:color w:val="000000"/>
                <w:sz w:val="17"/>
              </w:rPr>
              <w:t>Migration / sign-off</w:t>
            </w:r>
          </w:p>
        </w:tc>
        <w:tc>
          <w:tcPr>
            <w:tcW w:type="dxa" w:w="3120"/>
            <w:vAlign w:val="center"/>
          </w:tcPr>
          <w:p>
            <w:pPr>
              <w:spacing w:before="0" w:after="0" w:line="252" w:lineRule="auto"/>
            </w:pPr>
            <w:r/>
            <w:r>
              <w:rPr>
                <w:rFonts w:ascii="Arial" w:hAnsi="Arial"/>
                <w:b w:val="0"/>
                <w:color w:val="000000"/>
                <w:sz w:val="17"/>
              </w:rPr>
              <w:t>Opening-balance posting, diagnostics, and tenant-level sign-off tooling are available.</w:t>
            </w:r>
          </w:p>
        </w:tc>
        <w:tc>
          <w:tcPr>
            <w:tcW w:type="dxa" w:w="3120"/>
            <w:vAlign w:val="center"/>
          </w:tcPr>
          <w:p>
            <w:pPr>
              <w:spacing w:before="0" w:after="0" w:line="252" w:lineRule="auto"/>
            </w:pPr>
            <w:r/>
            <w:r>
              <w:rPr>
                <w:rFonts w:ascii="Arial" w:hAnsi="Arial"/>
                <w:b w:val="0"/>
                <w:color w:val="000000"/>
                <w:sz w:val="17"/>
              </w:rPr>
              <w:t>Real representative cutover input and accountant-reviewed evidence are still missing; no production sign-off claim.</w:t>
            </w:r>
          </w:p>
        </w:tc>
      </w:tr>
    </w:tbl>
    <w:p>
      <w:pPr>
        <w:spacing w:after="40"/>
      </w:pPr>
    </w:p>
    <w:p>
      <w:pPr>
        <w:spacing w:before="280" w:after="120"/>
      </w:pPr>
      <w:r>
        <w:rPr>
          <w:rFonts w:ascii="Arial" w:hAnsi="Arial"/>
          <w:b/>
          <w:color w:val="1F4E78"/>
          <w:sz w:val="30"/>
        </w:rPr>
        <w:t>4. Immediate Management Decisions</w:t>
      </w:r>
    </w:p>
    <w:tbl>
      <w:tblPr>
        <w:tblW w:type="auto" w:w="0"/>
        <w:tblLayout w:type="fixed"/>
        <w:tblLook w:firstColumn="1" w:firstRow="1" w:lastColumn="0" w:lastRow="0" w:noHBand="0" w:noVBand="1" w:val="04A0"/>
      </w:tblPr>
      <w:tblGrid>
        <w:gridCol w:w="9360"/>
      </w:tblGrid>
      <w:tr>
        <w:tc>
          <w:tcPr>
            <w:tcW w:type="dxa" w:w="9360"/>
            <w:shd w:fill="F4CCCC"/>
            <w:vAlign w:val="center"/>
          </w:tcPr>
          <w:p>
            <w:pPr>
              <w:spacing w:before="0" w:after="0" w:line="252" w:lineRule="auto"/>
            </w:pPr>
            <w:r/>
            <w:r>
              <w:rPr>
                <w:rFonts w:ascii="Arial" w:hAnsi="Arial"/>
                <w:b w:val="0"/>
                <w:color w:val="000000"/>
                <w:sz w:val="20"/>
              </w:rPr>
            </w:r>
            <w:r>
              <w:rPr>
                <w:rFonts w:ascii="Arial" w:hAnsi="Arial"/>
                <w:b/>
                <w:color w:val="9C0006"/>
                <w:sz w:val="20"/>
              </w:rPr>
              <w:t xml:space="preserve">Critical: </w:t>
            </w:r>
            <w:r>
              <w:rPr>
                <w:rFonts w:ascii="Arial" w:hAnsi="Arial"/>
                <w:color w:val="1F1F1F"/>
                <w:sz w:val="20"/>
              </w:rPr>
              <w:t>The requirements pack should not be used to declare Finance production ready until the following inputs and decisions are documented.</w:t>
            </w:r>
          </w:p>
        </w:tc>
      </w:tr>
    </w:tbl>
    <w:p>
      <w:pPr>
        <w:spacing w:after="40"/>
      </w:pPr>
    </w:p>
    <w:p>
      <w:pPr>
        <w:pStyle w:val="ListBullet"/>
        <w:spacing w:after="80" w:line="259" w:lineRule="auto"/>
      </w:pPr>
      <w:r>
        <w:rPr>
          <w:rFonts w:ascii="Arial" w:hAnsi="Arial"/>
          <w:sz w:val="20"/>
        </w:rPr>
        <w:t>Approve cutover date, fiscal period, book classification, balanced opening trial balance, accountant reviewer, and sign-off evidence process.</w:t>
      </w:r>
    </w:p>
    <w:p>
      <w:pPr>
        <w:pStyle w:val="ListBullet"/>
        <w:spacing w:after="80" w:line="259" w:lineRule="auto"/>
      </w:pPr>
      <w:r>
        <w:rPr>
          <w:rFonts w:ascii="Arial" w:hAnsi="Arial"/>
          <w:sz w:val="20"/>
        </w:rPr>
        <w:t>Declare whether the real cutover needs open AP invoices, open AR invoices, advances, withholding balances, foreign-currency open items, or a fixed-asset opening register. If yes, source-level imports are required; GL-only balances must not fake aging or asset-register evidence.</w:t>
      </w:r>
    </w:p>
    <w:p>
      <w:pPr>
        <w:pStyle w:val="ListBullet"/>
        <w:spacing w:after="80" w:line="259" w:lineRule="auto"/>
      </w:pPr>
      <w:r>
        <w:rPr>
          <w:rFonts w:ascii="Arial" w:hAnsi="Arial"/>
          <w:sz w:val="20"/>
        </w:rPr>
        <w:t>Approve TDC finance approval thresholds, Managing Director routing, Internal Audit vouching, delegation, and segregation-of-duties rules.</w:t>
      </w:r>
    </w:p>
    <w:p>
      <w:pPr>
        <w:pStyle w:val="ListBullet"/>
        <w:spacing w:after="80" w:line="259" w:lineRule="auto"/>
      </w:pPr>
      <w:r>
        <w:rPr>
          <w:rFonts w:ascii="Arial" w:hAnsi="Arial"/>
          <w:sz w:val="20"/>
        </w:rPr>
        <w:t>Confirm PMS as retained, replaced, or integrated system of record; define customer/property identifiers, billing/receipt data, import/API method, reconciliation, error handling, and ownership.</w:t>
      </w:r>
    </w:p>
    <w:p>
      <w:pPr>
        <w:pStyle w:val="ListBullet"/>
        <w:spacing w:after="80" w:line="259" w:lineRule="auto"/>
      </w:pPr>
      <w:r>
        <w:rPr>
          <w:rFonts w:ascii="Arial" w:hAnsi="Arial"/>
          <w:sz w:val="20"/>
        </w:rPr>
        <w:t>Approve COA hierarchy, mandatory dimensions, reporting/tax hierarchy, statutory templates, and expected Board/management packs.</w:t>
      </w:r>
    </w:p>
    <w:p>
      <w:pPr>
        <w:spacing w:before="280" w:after="120"/>
      </w:pPr>
      <w:r>
        <w:rPr>
          <w:rFonts w:ascii="Arial" w:hAnsi="Arial"/>
          <w:b/>
          <w:color w:val="1F4E78"/>
          <w:sz w:val="30"/>
        </w:rPr>
        <w:t>5. Priority Finance Issues</w:t>
      </w:r>
    </w:p>
    <w:tbl>
      <w:tblPr>
        <w:tblStyle w:val="TableGrid"/>
        <w:tblW w:type="auto" w:w="0"/>
        <w:tblLayout w:type="fixed"/>
        <w:tblLook w:firstColumn="1" w:firstRow="1" w:lastColumn="0" w:lastRow="0" w:noHBand="0" w:noVBand="1" w:val="04A0"/>
      </w:tblPr>
      <w:tblGrid>
        <w:gridCol w:w="3120"/>
        <w:gridCol w:w="3120"/>
        <w:gridCol w:w="3120"/>
      </w:tblGrid>
      <w:tr>
        <w:tc>
          <w:tcPr>
            <w:tcW w:type="dxa" w:w="3671"/>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Issue</w:t>
            </w:r>
          </w:p>
        </w:tc>
        <w:tc>
          <w:tcPr>
            <w:tcW w:type="dxa" w:w="2015"/>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Owner</w:t>
            </w:r>
          </w:p>
        </w:tc>
        <w:tc>
          <w:tcPr>
            <w:tcW w:type="dxa" w:w="3671"/>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Required Action</w:t>
            </w:r>
          </w:p>
        </w:tc>
      </w:tr>
      <w:tr>
        <w:tc>
          <w:tcPr>
            <w:tcW w:type="dxa" w:w="3120"/>
            <w:vAlign w:val="center"/>
          </w:tcPr>
          <w:p>
            <w:pPr>
              <w:spacing w:before="0" w:after="0" w:line="252" w:lineRule="auto"/>
            </w:pPr>
            <w:r/>
            <w:r>
              <w:rPr>
                <w:rFonts w:ascii="Arial" w:hAnsi="Arial"/>
                <w:b w:val="0"/>
                <w:color w:val="000000"/>
                <w:sz w:val="17"/>
              </w:rPr>
              <w:t>FIN-LIM-0017: real migration/sign-off evidence</w:t>
            </w:r>
          </w:p>
        </w:tc>
        <w:tc>
          <w:tcPr>
            <w:tcW w:type="dxa" w:w="3120"/>
            <w:vAlign w:val="center"/>
          </w:tcPr>
          <w:p>
            <w:pPr>
              <w:spacing w:before="0" w:after="0" w:line="252" w:lineRule="auto"/>
            </w:pPr>
            <w:r/>
            <w:r>
              <w:rPr>
                <w:rFonts w:ascii="Arial" w:hAnsi="Arial"/>
                <w:b w:val="0"/>
                <w:color w:val="000000"/>
                <w:sz w:val="17"/>
              </w:rPr>
              <w:t>Management / Accounts</w:t>
            </w:r>
          </w:p>
        </w:tc>
        <w:tc>
          <w:tcPr>
            <w:tcW w:type="dxa" w:w="3120"/>
            <w:vAlign w:val="center"/>
          </w:tcPr>
          <w:p>
            <w:pPr>
              <w:spacing w:before="0" w:after="0" w:line="252" w:lineRule="auto"/>
            </w:pPr>
            <w:r/>
            <w:r>
              <w:rPr>
                <w:rFonts w:ascii="Arial" w:hAnsi="Arial"/>
                <w:b w:val="0"/>
                <w:color w:val="000000"/>
                <w:sz w:val="17"/>
              </w:rPr>
              <w:t>Provide approved cutover inputs and accountant review; run representative UAT sign-off.</w:t>
            </w:r>
          </w:p>
        </w:tc>
      </w:tr>
      <w:tr>
        <w:tc>
          <w:tcPr>
            <w:tcW w:type="dxa" w:w="3120"/>
            <w:vAlign w:val="center"/>
          </w:tcPr>
          <w:p>
            <w:pPr>
              <w:spacing w:before="0" w:after="0" w:line="252" w:lineRule="auto"/>
            </w:pPr>
            <w:r/>
            <w:r>
              <w:rPr>
                <w:rFonts w:ascii="Arial" w:hAnsi="Arial"/>
                <w:b w:val="0"/>
                <w:color w:val="000000"/>
                <w:sz w:val="17"/>
              </w:rPr>
              <w:t>FIN-LIM-0048: AP/AR/fixed-asset source openings</w:t>
            </w:r>
          </w:p>
        </w:tc>
        <w:tc>
          <w:tcPr>
            <w:tcW w:type="dxa" w:w="3120"/>
            <w:vAlign w:val="center"/>
          </w:tcPr>
          <w:p>
            <w:pPr>
              <w:spacing w:before="0" w:after="0" w:line="252" w:lineRule="auto"/>
            </w:pPr>
            <w:r/>
            <w:r>
              <w:rPr>
                <w:rFonts w:ascii="Arial" w:hAnsi="Arial"/>
                <w:b w:val="0"/>
                <w:color w:val="000000"/>
                <w:sz w:val="17"/>
              </w:rPr>
              <w:t>Accounts / Management</w:t>
            </w:r>
          </w:p>
        </w:tc>
        <w:tc>
          <w:tcPr>
            <w:tcW w:type="dxa" w:w="3120"/>
            <w:vAlign w:val="center"/>
          </w:tcPr>
          <w:p>
            <w:pPr>
              <w:spacing w:before="0" w:after="0" w:line="252" w:lineRule="auto"/>
            </w:pPr>
            <w:r/>
            <w:r>
              <w:rPr>
                <w:rFonts w:ascii="Arial" w:hAnsi="Arial"/>
                <w:b w:val="0"/>
                <w:color w:val="000000"/>
                <w:sz w:val="17"/>
              </w:rPr>
              <w:t>Declare data shape and fund a safe source-document import path where required.</w:t>
            </w:r>
          </w:p>
        </w:tc>
      </w:tr>
      <w:tr>
        <w:tc>
          <w:tcPr>
            <w:tcW w:type="dxa" w:w="3120"/>
            <w:vAlign w:val="center"/>
          </w:tcPr>
          <w:p>
            <w:pPr>
              <w:spacing w:before="0" w:after="0" w:line="252" w:lineRule="auto"/>
            </w:pPr>
            <w:r/>
            <w:r>
              <w:rPr>
                <w:rFonts w:ascii="Arial" w:hAnsi="Arial"/>
                <w:b w:val="0"/>
                <w:color w:val="000000"/>
                <w:sz w:val="17"/>
              </w:rPr>
              <w:t>PMS/revenue/property source ownership</w:t>
            </w:r>
          </w:p>
        </w:tc>
        <w:tc>
          <w:tcPr>
            <w:tcW w:type="dxa" w:w="3120"/>
            <w:vAlign w:val="center"/>
          </w:tcPr>
          <w:p>
            <w:pPr>
              <w:spacing w:before="0" w:after="0" w:line="252" w:lineRule="auto"/>
            </w:pPr>
            <w:r/>
            <w:r>
              <w:rPr>
                <w:rFonts w:ascii="Arial" w:hAnsi="Arial"/>
                <w:b w:val="0"/>
                <w:color w:val="000000"/>
                <w:sz w:val="17"/>
              </w:rPr>
              <w:t>PMS / Revenue / Estates / MIS / IT</w:t>
            </w:r>
          </w:p>
        </w:tc>
        <w:tc>
          <w:tcPr>
            <w:tcW w:type="dxa" w:w="3120"/>
            <w:vAlign w:val="center"/>
          </w:tcPr>
          <w:p>
            <w:pPr>
              <w:spacing w:before="0" w:after="0" w:line="252" w:lineRule="auto"/>
            </w:pPr>
            <w:r/>
            <w:r>
              <w:rPr>
                <w:rFonts w:ascii="Arial" w:hAnsi="Arial"/>
                <w:b w:val="0"/>
                <w:color w:val="000000"/>
                <w:sz w:val="17"/>
              </w:rPr>
              <w:t>Confirm system-of-record and signed integration or controlled-import contract.</w:t>
            </w:r>
          </w:p>
        </w:tc>
      </w:tr>
      <w:tr>
        <w:tc>
          <w:tcPr>
            <w:tcW w:type="dxa" w:w="3120"/>
            <w:vAlign w:val="center"/>
          </w:tcPr>
          <w:p>
            <w:pPr>
              <w:spacing w:before="0" w:after="0" w:line="252" w:lineRule="auto"/>
            </w:pPr>
            <w:r/>
            <w:r>
              <w:rPr>
                <w:rFonts w:ascii="Arial" w:hAnsi="Arial"/>
                <w:b w:val="0"/>
                <w:color w:val="000000"/>
                <w:sz w:val="17"/>
              </w:rPr>
              <w:t>Reversal/correction coverage</w:t>
            </w:r>
          </w:p>
        </w:tc>
        <w:tc>
          <w:tcPr>
            <w:tcW w:type="dxa" w:w="3120"/>
            <w:vAlign w:val="center"/>
          </w:tcPr>
          <w:p>
            <w:pPr>
              <w:spacing w:before="0" w:after="0" w:line="252" w:lineRule="auto"/>
            </w:pPr>
            <w:r/>
            <w:r>
              <w:rPr>
                <w:rFonts w:ascii="Arial" w:hAnsi="Arial"/>
                <w:b w:val="0"/>
                <w:color w:val="000000"/>
                <w:sz w:val="17"/>
              </w:rPr>
              <w:t>Finance / Accounts</w:t>
            </w:r>
          </w:p>
        </w:tc>
        <w:tc>
          <w:tcPr>
            <w:tcW w:type="dxa" w:w="3120"/>
            <w:vAlign w:val="center"/>
          </w:tcPr>
          <w:p>
            <w:pPr>
              <w:spacing w:before="0" w:after="0" w:line="252" w:lineRule="auto"/>
            </w:pPr>
            <w:r/>
            <w:r>
              <w:rPr>
                <w:rFonts w:ascii="Arial" w:hAnsi="Arial"/>
                <w:b w:val="0"/>
                <w:color w:val="000000"/>
                <w:sz w:val="17"/>
              </w:rPr>
              <w:t>Prioritise AP payment, AR receipt, cash/bank, and manual-journal correction workflows after policy approval.</w:t>
            </w:r>
          </w:p>
        </w:tc>
      </w:tr>
      <w:tr>
        <w:tc>
          <w:tcPr>
            <w:tcW w:type="dxa" w:w="3120"/>
            <w:vAlign w:val="center"/>
          </w:tcPr>
          <w:p>
            <w:pPr>
              <w:spacing w:before="0" w:after="0" w:line="252" w:lineRule="auto"/>
            </w:pPr>
            <w:r/>
            <w:r>
              <w:rPr>
                <w:rFonts w:ascii="Arial" w:hAnsi="Arial"/>
                <w:b w:val="0"/>
                <w:color w:val="000000"/>
                <w:sz w:val="17"/>
              </w:rPr>
              <w:t>Period close operating model</w:t>
            </w:r>
          </w:p>
        </w:tc>
        <w:tc>
          <w:tcPr>
            <w:tcW w:type="dxa" w:w="3120"/>
            <w:vAlign w:val="center"/>
          </w:tcPr>
          <w:p>
            <w:pPr>
              <w:spacing w:before="0" w:after="0" w:line="252" w:lineRule="auto"/>
            </w:pPr>
            <w:r/>
            <w:r>
              <w:rPr>
                <w:rFonts w:ascii="Arial" w:hAnsi="Arial"/>
                <w:b w:val="0"/>
                <w:color w:val="000000"/>
                <w:sz w:val="17"/>
              </w:rPr>
              <w:t>Finance / Accounts</w:t>
            </w:r>
          </w:p>
        </w:tc>
        <w:tc>
          <w:tcPr>
            <w:tcW w:type="dxa" w:w="3120"/>
            <w:vAlign w:val="center"/>
          </w:tcPr>
          <w:p>
            <w:pPr>
              <w:spacing w:before="0" w:after="0" w:line="252" w:lineRule="auto"/>
            </w:pPr>
            <w:r/>
            <w:r>
              <w:rPr>
                <w:rFonts w:ascii="Arial" w:hAnsi="Arial"/>
                <w:b w:val="0"/>
                <w:color w:val="000000"/>
                <w:sz w:val="17"/>
              </w:rPr>
              <w:t>Design calendar, checklist, readiness, certification, owners, and exception reporting.</w:t>
            </w:r>
          </w:p>
        </w:tc>
      </w:tr>
      <w:tr>
        <w:tc>
          <w:tcPr>
            <w:tcW w:type="dxa" w:w="3120"/>
            <w:vAlign w:val="center"/>
          </w:tcPr>
          <w:p>
            <w:pPr>
              <w:spacing w:before="0" w:after="0" w:line="252" w:lineRule="auto"/>
            </w:pPr>
            <w:r/>
            <w:r>
              <w:rPr>
                <w:rFonts w:ascii="Arial" w:hAnsi="Arial"/>
                <w:b w:val="0"/>
                <w:color w:val="000000"/>
                <w:sz w:val="17"/>
              </w:rPr>
              <w:t>Integration and NFR acceptance</w:t>
            </w:r>
          </w:p>
        </w:tc>
        <w:tc>
          <w:tcPr>
            <w:tcW w:type="dxa" w:w="3120"/>
            <w:vAlign w:val="center"/>
          </w:tcPr>
          <w:p>
            <w:pPr>
              <w:spacing w:before="0" w:after="0" w:line="252" w:lineRule="auto"/>
            </w:pPr>
            <w:r/>
            <w:r>
              <w:rPr>
                <w:rFonts w:ascii="Arial" w:hAnsi="Arial"/>
                <w:b w:val="0"/>
                <w:color w:val="000000"/>
                <w:sz w:val="17"/>
              </w:rPr>
              <w:t>IT / Management / source owners</w:t>
            </w:r>
          </w:p>
        </w:tc>
        <w:tc>
          <w:tcPr>
            <w:tcW w:type="dxa" w:w="3120"/>
            <w:vAlign w:val="center"/>
          </w:tcPr>
          <w:p>
            <w:pPr>
              <w:spacing w:before="0" w:after="0" w:line="252" w:lineRule="auto"/>
            </w:pPr>
            <w:r/>
            <w:r>
              <w:rPr>
                <w:rFonts w:ascii="Arial" w:hAnsi="Arial"/>
                <w:b w:val="0"/>
                <w:color w:val="000000"/>
                <w:sz w:val="17"/>
              </w:rPr>
              <w:t>Set interface formats, security, recovery, performance, support, and evidence criteria.</w:t>
            </w:r>
          </w:p>
        </w:tc>
      </w:tr>
    </w:tbl>
    <w:p>
      <w:pPr>
        <w:spacing w:after="40"/>
      </w:pPr>
    </w:p>
    <w:p>
      <w:pPr>
        <w:spacing w:before="280" w:after="120"/>
      </w:pPr>
      <w:r>
        <w:rPr>
          <w:rFonts w:ascii="Arial" w:hAnsi="Arial"/>
          <w:b/>
          <w:color w:val="1F4E78"/>
          <w:sz w:val="30"/>
        </w:rPr>
        <w:t>6. Finance Interfaces and Ownership</w:t>
      </w:r>
    </w:p>
    <w:p>
      <w:pPr>
        <w:spacing w:before="0" w:after="120" w:line="269" w:lineRule="auto"/>
      </w:pPr>
      <w:r>
        <w:rPr>
          <w:rFonts w:ascii="Arial" w:hAnsi="Arial"/>
          <w:b w:val="0"/>
          <w:i w:val="0"/>
          <w:color w:val="000000"/>
          <w:sz w:val="21"/>
        </w:rPr>
        <w:t>The following are deliberately listed as dependencies, not Finance delivery claims. Their owners must define the source transaction, identity keys, approval state, accounting event, exception process, and UAT evidence before Finance can post or reconcile the outcome.</w:t>
      </w:r>
    </w:p>
    <w:tbl>
      <w:tblPr>
        <w:tblStyle w:val="TableGrid"/>
        <w:tblW w:type="auto" w:w="0"/>
        <w:tblLayout w:type="fixed"/>
        <w:tblLook w:firstColumn="1" w:firstRow="1" w:lastColumn="0" w:lastRow="0" w:noHBand="0" w:noVBand="1" w:val="04A0"/>
      </w:tblPr>
      <w:tblGrid>
        <w:gridCol w:w="3120"/>
        <w:gridCol w:w="3120"/>
        <w:gridCol w:w="3120"/>
      </w:tblGrid>
      <w:tr>
        <w:tc>
          <w:tcPr>
            <w:tcW w:type="dxa" w:w="3096"/>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Dependency</w:t>
            </w:r>
          </w:p>
        </w:tc>
        <w:tc>
          <w:tcPr>
            <w:tcW w:type="dxa" w:w="3816"/>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Finance Need</w:t>
            </w:r>
          </w:p>
        </w:tc>
        <w:tc>
          <w:tcPr>
            <w:tcW w:type="dxa" w:w="2448"/>
            <w:tcMar>
              <w:top w:w="90" w:type="dxa"/>
              <w:start w:w="90" w:type="dxa"/>
              <w:bottom w:w="90" w:type="dxa"/>
              <w:end w:w="90" w:type="dxa"/>
            </w:tcMar>
            <w:shd w:fill="5B9BD5"/>
            <w:vAlign w:val="center"/>
          </w:tcPr>
          <w:p>
            <w:pPr>
              <w:spacing w:before="0" w:after="0" w:line="252" w:lineRule="auto"/>
            </w:pPr>
            <w:r/>
            <w:r>
              <w:rPr>
                <w:rFonts w:ascii="Arial" w:hAnsi="Arial"/>
                <w:b/>
                <w:color w:val="FFFFFF"/>
                <w:sz w:val="18"/>
              </w:rPr>
              <w:t>Owner</w:t>
            </w:r>
          </w:p>
        </w:tc>
      </w:tr>
      <w:tr>
        <w:tc>
          <w:tcPr>
            <w:tcW w:type="dxa" w:w="3120"/>
            <w:vAlign w:val="center"/>
          </w:tcPr>
          <w:p>
            <w:pPr>
              <w:spacing w:before="0" w:after="0" w:line="252" w:lineRule="auto"/>
            </w:pPr>
            <w:r/>
            <w:r>
              <w:rPr>
                <w:rFonts w:ascii="Arial" w:hAnsi="Arial"/>
                <w:b w:val="0"/>
                <w:color w:val="000000"/>
                <w:sz w:val="17"/>
              </w:rPr>
              <w:t>PMS / Revenue / Estates / MIS</w:t>
            </w:r>
          </w:p>
        </w:tc>
        <w:tc>
          <w:tcPr>
            <w:tcW w:type="dxa" w:w="3120"/>
            <w:vAlign w:val="center"/>
          </w:tcPr>
          <w:p>
            <w:pPr>
              <w:spacing w:before="0" w:after="0" w:line="252" w:lineRule="auto"/>
            </w:pPr>
            <w:r/>
            <w:r>
              <w:rPr>
                <w:rFonts w:ascii="Arial" w:hAnsi="Arial"/>
                <w:b w:val="0"/>
                <w:color w:val="000000"/>
                <w:sz w:val="17"/>
              </w:rPr>
              <w:t>Property/debtor/billing/receipt master and revenue reconciliation source data.</w:t>
            </w:r>
          </w:p>
        </w:tc>
        <w:tc>
          <w:tcPr>
            <w:tcW w:type="dxa" w:w="3120"/>
            <w:vAlign w:val="center"/>
          </w:tcPr>
          <w:p>
            <w:pPr>
              <w:spacing w:before="0" w:after="0" w:line="252" w:lineRule="auto"/>
            </w:pPr>
            <w:r/>
            <w:r>
              <w:rPr>
                <w:rFonts w:ascii="Arial" w:hAnsi="Arial"/>
                <w:b w:val="0"/>
                <w:color w:val="000000"/>
                <w:sz w:val="17"/>
              </w:rPr>
              <w:t>PMS, Revenue, Estates, MIS, IT</w:t>
            </w:r>
          </w:p>
        </w:tc>
      </w:tr>
      <w:tr>
        <w:tc>
          <w:tcPr>
            <w:tcW w:type="dxa" w:w="3120"/>
            <w:vAlign w:val="center"/>
          </w:tcPr>
          <w:p>
            <w:pPr>
              <w:spacing w:before="0" w:after="0" w:line="252" w:lineRule="auto"/>
            </w:pPr>
            <w:r/>
            <w:r>
              <w:rPr>
                <w:rFonts w:ascii="Arial" w:hAnsi="Arial"/>
                <w:b w:val="0"/>
                <w:color w:val="000000"/>
                <w:sz w:val="17"/>
              </w:rPr>
              <w:t>Procurement / Inventory / Projects</w:t>
            </w:r>
          </w:p>
        </w:tc>
        <w:tc>
          <w:tcPr>
            <w:tcW w:type="dxa" w:w="3120"/>
            <w:vAlign w:val="center"/>
          </w:tcPr>
          <w:p>
            <w:pPr>
              <w:spacing w:before="0" w:after="0" w:line="252" w:lineRule="auto"/>
            </w:pPr>
            <w:r/>
            <w:r>
              <w:rPr>
                <w:rFonts w:ascii="Arial" w:hAnsi="Arial"/>
                <w:b w:val="0"/>
                <w:color w:val="000000"/>
                <w:sz w:val="17"/>
              </w:rPr>
              <w:t>PO, GRN/certificate, contract, commitment, and fixed-asset source events.</w:t>
            </w:r>
          </w:p>
        </w:tc>
        <w:tc>
          <w:tcPr>
            <w:tcW w:type="dxa" w:w="3120"/>
            <w:vAlign w:val="center"/>
          </w:tcPr>
          <w:p>
            <w:pPr>
              <w:spacing w:before="0" w:after="0" w:line="252" w:lineRule="auto"/>
            </w:pPr>
            <w:r/>
            <w:r>
              <w:rPr>
                <w:rFonts w:ascii="Arial" w:hAnsi="Arial"/>
                <w:b w:val="0"/>
                <w:color w:val="000000"/>
                <w:sz w:val="17"/>
              </w:rPr>
              <w:t>Procurement, Inventory, Project Management</w:t>
            </w:r>
          </w:p>
        </w:tc>
      </w:tr>
      <w:tr>
        <w:tc>
          <w:tcPr>
            <w:tcW w:type="dxa" w:w="3120"/>
            <w:vAlign w:val="center"/>
          </w:tcPr>
          <w:p>
            <w:pPr>
              <w:spacing w:before="0" w:after="0" w:line="252" w:lineRule="auto"/>
            </w:pPr>
            <w:r/>
            <w:r>
              <w:rPr>
                <w:rFonts w:ascii="Arial" w:hAnsi="Arial"/>
                <w:b w:val="0"/>
                <w:color w:val="000000"/>
                <w:sz w:val="17"/>
              </w:rPr>
              <w:t>Payroll / HR</w:t>
            </w:r>
          </w:p>
        </w:tc>
        <w:tc>
          <w:tcPr>
            <w:tcW w:type="dxa" w:w="3120"/>
            <w:vAlign w:val="center"/>
          </w:tcPr>
          <w:p>
            <w:pPr>
              <w:spacing w:before="0" w:after="0" w:line="252" w:lineRule="auto"/>
            </w:pPr>
            <w:r/>
            <w:r>
              <w:rPr>
                <w:rFonts w:ascii="Arial" w:hAnsi="Arial"/>
                <w:b w:val="0"/>
                <w:color w:val="000000"/>
                <w:sz w:val="17"/>
              </w:rPr>
              <w:t>Approved payroll journal/control-account and reconciliation interface.</w:t>
            </w:r>
          </w:p>
        </w:tc>
        <w:tc>
          <w:tcPr>
            <w:tcW w:type="dxa" w:w="3120"/>
            <w:vAlign w:val="center"/>
          </w:tcPr>
          <w:p>
            <w:pPr>
              <w:spacing w:before="0" w:after="0" w:line="252" w:lineRule="auto"/>
            </w:pPr>
            <w:r/>
            <w:r>
              <w:rPr>
                <w:rFonts w:ascii="Arial" w:hAnsi="Arial"/>
                <w:b w:val="0"/>
                <w:color w:val="000000"/>
                <w:sz w:val="17"/>
              </w:rPr>
              <w:t>Payroll, HR, IT, Accounts</w:t>
            </w:r>
          </w:p>
        </w:tc>
      </w:tr>
      <w:tr>
        <w:tc>
          <w:tcPr>
            <w:tcW w:type="dxa" w:w="3120"/>
            <w:vAlign w:val="center"/>
          </w:tcPr>
          <w:p>
            <w:pPr>
              <w:spacing w:before="0" w:after="0" w:line="252" w:lineRule="auto"/>
            </w:pPr>
            <w:r/>
            <w:r>
              <w:rPr>
                <w:rFonts w:ascii="Arial" w:hAnsi="Arial"/>
                <w:b w:val="0"/>
                <w:color w:val="000000"/>
                <w:sz w:val="17"/>
              </w:rPr>
              <w:t>Banks / Mobile-money providers</w:t>
            </w:r>
          </w:p>
        </w:tc>
        <w:tc>
          <w:tcPr>
            <w:tcW w:type="dxa" w:w="3120"/>
            <w:vAlign w:val="center"/>
          </w:tcPr>
          <w:p>
            <w:pPr>
              <w:spacing w:before="0" w:after="0" w:line="252" w:lineRule="auto"/>
            </w:pPr>
            <w:r/>
            <w:r>
              <w:rPr>
                <w:rFonts w:ascii="Arial" w:hAnsi="Arial"/>
                <w:b w:val="0"/>
                <w:color w:val="000000"/>
                <w:sz w:val="17"/>
              </w:rPr>
              <w:t>Statement, payment, settlement, collection, and reconciliation formats.</w:t>
            </w:r>
          </w:p>
        </w:tc>
        <w:tc>
          <w:tcPr>
            <w:tcW w:type="dxa" w:w="3120"/>
            <w:vAlign w:val="center"/>
          </w:tcPr>
          <w:p>
            <w:pPr>
              <w:spacing w:before="0" w:after="0" w:line="252" w:lineRule="auto"/>
            </w:pPr>
            <w:r/>
            <w:r>
              <w:rPr>
                <w:rFonts w:ascii="Arial" w:hAnsi="Arial"/>
                <w:b w:val="0"/>
                <w:color w:val="000000"/>
                <w:sz w:val="17"/>
              </w:rPr>
              <w:t>IT, Banks, Revenue</w:t>
            </w:r>
          </w:p>
        </w:tc>
      </w:tr>
      <w:tr>
        <w:tc>
          <w:tcPr>
            <w:tcW w:type="dxa" w:w="3120"/>
            <w:vAlign w:val="center"/>
          </w:tcPr>
          <w:p>
            <w:pPr>
              <w:spacing w:before="0" w:after="0" w:line="252" w:lineRule="auto"/>
            </w:pPr>
            <w:r/>
            <w:r>
              <w:rPr>
                <w:rFonts w:ascii="Arial" w:hAnsi="Arial"/>
                <w:b w:val="0"/>
                <w:color w:val="000000"/>
                <w:sz w:val="17"/>
              </w:rPr>
              <w:t>Internal Audit / Management / Board</w:t>
            </w:r>
          </w:p>
        </w:tc>
        <w:tc>
          <w:tcPr>
            <w:tcW w:type="dxa" w:w="3120"/>
            <w:vAlign w:val="center"/>
          </w:tcPr>
          <w:p>
            <w:pPr>
              <w:spacing w:before="0" w:after="0" w:line="252" w:lineRule="auto"/>
            </w:pPr>
            <w:r/>
            <w:r>
              <w:rPr>
                <w:rFonts w:ascii="Arial" w:hAnsi="Arial"/>
                <w:b w:val="0"/>
                <w:color w:val="000000"/>
                <w:sz w:val="17"/>
              </w:rPr>
              <w:t>Approval matrix, exceptions, disposal/virement/supplementary-budget governance.</w:t>
            </w:r>
          </w:p>
        </w:tc>
        <w:tc>
          <w:tcPr>
            <w:tcW w:type="dxa" w:w="3120"/>
            <w:vAlign w:val="center"/>
          </w:tcPr>
          <w:p>
            <w:pPr>
              <w:spacing w:before="0" w:after="0" w:line="252" w:lineRule="auto"/>
            </w:pPr>
            <w:r/>
            <w:r>
              <w:rPr>
                <w:rFonts w:ascii="Arial" w:hAnsi="Arial"/>
                <w:b w:val="0"/>
                <w:color w:val="000000"/>
                <w:sz w:val="17"/>
              </w:rPr>
              <w:t>Management, Internal Audit, Board</w:t>
            </w:r>
          </w:p>
        </w:tc>
      </w:tr>
      <w:tr>
        <w:tc>
          <w:tcPr>
            <w:tcW w:type="dxa" w:w="3120"/>
            <w:vAlign w:val="center"/>
          </w:tcPr>
          <w:p>
            <w:pPr>
              <w:spacing w:before="0" w:after="0" w:line="252" w:lineRule="auto"/>
            </w:pPr>
            <w:r/>
            <w:r>
              <w:rPr>
                <w:rFonts w:ascii="Arial" w:hAnsi="Arial"/>
                <w:b w:val="0"/>
                <w:color w:val="000000"/>
                <w:sz w:val="17"/>
              </w:rPr>
              <w:t>Legal</w:t>
            </w:r>
          </w:p>
        </w:tc>
        <w:tc>
          <w:tcPr>
            <w:tcW w:type="dxa" w:w="3120"/>
            <w:vAlign w:val="center"/>
          </w:tcPr>
          <w:p>
            <w:pPr>
              <w:spacing w:before="0" w:after="0" w:line="252" w:lineRule="auto"/>
            </w:pPr>
            <w:r/>
            <w:r>
              <w:rPr>
                <w:rFonts w:ascii="Arial" w:hAnsi="Arial"/>
                <w:b w:val="0"/>
                <w:color w:val="000000"/>
                <w:sz w:val="17"/>
              </w:rPr>
              <w:t>Debtor escalation case handover and outcome tracking.</w:t>
            </w:r>
          </w:p>
        </w:tc>
        <w:tc>
          <w:tcPr>
            <w:tcW w:type="dxa" w:w="3120"/>
            <w:vAlign w:val="center"/>
          </w:tcPr>
          <w:p>
            <w:pPr>
              <w:spacing w:before="0" w:after="0" w:line="252" w:lineRule="auto"/>
            </w:pPr>
            <w:r/>
            <w:r>
              <w:rPr>
                <w:rFonts w:ascii="Arial" w:hAnsi="Arial"/>
                <w:b w:val="0"/>
                <w:color w:val="000000"/>
                <w:sz w:val="17"/>
              </w:rPr>
              <w:t>Legal, Revenue</w:t>
            </w:r>
          </w:p>
        </w:tc>
      </w:tr>
    </w:tbl>
    <w:p>
      <w:pPr>
        <w:spacing w:after="40"/>
      </w:pPr>
    </w:p>
    <w:p>
      <w:pPr>
        <w:spacing w:before="280" w:after="120"/>
      </w:pPr>
      <w:r>
        <w:rPr>
          <w:rFonts w:ascii="Arial" w:hAnsi="Arial"/>
          <w:b/>
          <w:color w:val="1F4E78"/>
          <w:sz w:val="30"/>
        </w:rPr>
        <w:t>7. Recommended Next Steps</w:t>
      </w:r>
    </w:p>
    <w:p>
      <w:pPr>
        <w:pStyle w:val="ListBullet"/>
        <w:spacing w:after="80" w:line="259" w:lineRule="auto"/>
      </w:pPr>
      <w:r>
        <w:rPr>
          <w:rFonts w:ascii="Arial" w:hAnsi="Arial"/>
          <w:sz w:val="20"/>
        </w:rPr>
        <w:t>Use the accompanying Excel workbook as the formal Finance issue/action source of truth. Update it after every requirements, configuration, or dependency decision.</w:t>
      </w:r>
    </w:p>
    <w:p>
      <w:pPr>
        <w:pStyle w:val="ListBullet"/>
        <w:spacing w:after="80" w:line="259" w:lineRule="auto"/>
      </w:pPr>
      <w:r>
        <w:rPr>
          <w:rFonts w:ascii="Arial" w:hAnsi="Arial"/>
          <w:sz w:val="20"/>
        </w:rPr>
        <w:t>Hold a Finance design and decision workshop with Accounts, Internal Audit, Revenue/PMS, Procurement/Inventory, Payroll/HR, IT, and management owners.</w:t>
      </w:r>
    </w:p>
    <w:p>
      <w:pPr>
        <w:pStyle w:val="ListBullet"/>
        <w:spacing w:after="80" w:line="259" w:lineRule="auto"/>
      </w:pPr>
      <w:r>
        <w:rPr>
          <w:rFonts w:ascii="Arial" w:hAnsi="Arial"/>
          <w:sz w:val="20"/>
        </w:rPr>
        <w:t>Agree a phased scope: close process; PMS/revenue interface; budget commitments/virement; bank/mobile integrations; asset verification/disposal governance; reporting packs; and correction/reversal workflows.</w:t>
      </w:r>
    </w:p>
    <w:p>
      <w:pPr>
        <w:pStyle w:val="ListBullet"/>
        <w:spacing w:after="80" w:line="259" w:lineRule="auto"/>
      </w:pPr>
      <w:r>
        <w:rPr>
          <w:rFonts w:ascii="Arial" w:hAnsi="Arial"/>
          <w:sz w:val="20"/>
        </w:rPr>
        <w:t>Only after approved business inputs are available, load representative cutover data into UAT and run the tenant-level sign-off pack. Do not use synthetic/demo data as accountant approval evidence.</w:t>
      </w:r>
    </w:p>
    <w:p>
      <w:pPr>
        <w:spacing w:before="280" w:after="120"/>
      </w:pPr>
      <w:r>
        <w:rPr>
          <w:rFonts w:ascii="Arial" w:hAnsi="Arial"/>
          <w:b/>
          <w:color w:val="1F4E78"/>
          <w:sz w:val="30"/>
        </w:rPr>
        <w:t>8. Submission Note</w:t>
      </w:r>
    </w:p>
    <w:p>
      <w:pPr>
        <w:spacing w:before="0" w:after="120" w:line="269" w:lineRule="auto"/>
      </w:pPr>
      <w:r>
        <w:rPr>
          <w:rFonts w:ascii="Arial" w:hAnsi="Arial"/>
          <w:b w:val="0"/>
          <w:i w:val="0"/>
          <w:color w:val="000000"/>
          <w:sz w:val="21"/>
        </w:rPr>
        <w:t>This revised Finance submission replaces neither the prior July 10 pack nor the client SRS. It is a new, dated management baseline that merges the updated client requirements with the Finance implementation and limitation evidence available as of 17 July 2026. Where the client SRS expands a requirement, this pack records the expansion explicitly and assigns a status, dependency, issue, and action rather than assuming it is already delivered.</w:t>
      </w:r>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Finance-only management baseline | Version 2.0 | 17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666666"/>
        <w:sz w:val="16"/>
      </w:rPr>
      <w:t>TDC ERP | Finance Updated Requirements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