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/>
          <w:b/>
          <w:color w:val="0B2545"/>
          <w:sz w:val="36"/>
        </w:rPr>
        <w:t>PROPERTY LEASE / SALE AGREEMENT</w:t>
      </w:r>
    </w:p>
    <w:p>
      <w:pPr>
        <w:spacing w:after="240"/>
        <w:jc w:val="center"/>
      </w:pPr>
      <w:r>
        <w:rPr>
          <w:rFonts w:ascii="Calibri" w:hAnsi="Calibri"/>
          <w:b/>
          <w:color w:val="1F4D78"/>
          <w:sz w:val="22"/>
        </w:rPr>
        <w:t>Agreement Reference: {{AgreementReference}}</w:t>
      </w:r>
    </w:p>
    <w:p>
      <w:r>
        <w:rPr>
          <w:rFonts w:ascii="Calibri" w:hAnsi="Calibri"/>
          <w:b w:val="0"/>
          <w:sz w:val="22"/>
        </w:rPr>
        <w:t>This template is intended for generation by the Document Management System. Keep the double-brace fields unchanged when uploading the template so the system can merge captured property, customer, lease, billing, and acquisition values.</w:t>
      </w:r>
    </w:p>
    <w:p>
      <w:pPr>
        <w:pStyle w:val="Heading1"/>
      </w:pPr>
      <w:r>
        <w:t>Agreement Summary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Field</w:t>
            </w:r>
          </w:p>
        </w:tc>
        <w:tc>
          <w:tcPr>
            <w:tcW w:type="dxa" w:w="23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Value</w:t>
            </w:r>
          </w:p>
        </w:tc>
        <w:tc>
          <w:tcPr>
            <w:tcW w:type="dxa" w:w="23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Field</w:t>
            </w:r>
          </w:p>
        </w:tc>
        <w:tc>
          <w:tcPr>
            <w:tcW w:type="dxa" w:w="23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Value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>Agreement 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{{AgreementDate}}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>Move-in / start 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{{MoveInDate}}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>Property / unit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{{PropertyUnit}}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>Property reference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{{PropertyReference}}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>Customer / lessee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{{CustomerName}}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>Customer reference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{{CustomerReference}}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>Request type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{{RequestType}}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>Listing reference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{{ListingReference}}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>Lease term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{{LeaseTerm}}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>Billing start 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{{BillingStartDate}}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>Currency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{{Currency}}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>Rent / consideration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{{PaymentAmount}}</w:t>
            </w:r>
          </w:p>
        </w:tc>
      </w:tr>
    </w:tbl>
    <w:p>
      <w:pPr>
        <w:pStyle w:val="Heading1"/>
      </w:pPr>
      <w:r>
        <w:t>Parties</w:t>
      </w:r>
    </w:p>
    <w:p>
      <w:r>
        <w:rPr>
          <w:rFonts w:ascii="Calibri" w:hAnsi="Calibri"/>
          <w:b w:val="0"/>
          <w:sz w:val="22"/>
        </w:rPr>
        <w:t>This Agreement is made between {{GrantorName}} of {{GrantorAddress}} ('Owner/Lessor/Vendor') and {{GranteeName}} of {{GranteeAddress}} ('Customer/Lessee/Purchaser').</w:t>
      </w:r>
    </w:p>
    <w:p>
      <w:pPr>
        <w:pStyle w:val="Heading1"/>
      </w:pPr>
      <w:r>
        <w:t>Property</w:t>
      </w:r>
    </w:p>
    <w:p>
      <w:r>
        <w:rPr>
          <w:rFonts w:ascii="Calibri" w:hAnsi="Calibri"/>
          <w:b w:val="0"/>
          <w:sz w:val="22"/>
        </w:rPr>
        <w:t>The subject property is {{PropertyUnit}}, located at {{Location}}, with file or source reference {{SourceReference}}. The intended use is {{IntendedUse}}. Where applicable, the estimated size is {{EstimatedSize}} and the root of title is {{RootOfTitle}}.</w:t>
      </w:r>
    </w:p>
    <w:p>
      <w:pPr>
        <w:pStyle w:val="Heading1"/>
      </w:pPr>
      <w:r>
        <w:t>Commercial Terms</w:t>
      </w:r>
    </w:p>
    <w:p>
      <w:pPr>
        <w:spacing w:before="160" w:after="60"/>
      </w:pPr>
      <w:r>
        <w:rPr>
          <w:rFonts w:ascii="Calibri" w:hAnsi="Calibri"/>
          <w:b/>
          <w:color w:val="1F4D78"/>
          <w:sz w:val="24"/>
        </w:rPr>
        <w:t>1. Term and commencement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The tenancy, lease, sale, or acquisition arrangement starts on {{MoveInDate}} or such other date stated in the approved workflow. Billing shall start from {{BillingStartDate}}, which must not be earlier than the actual move-in or agreement start date.</w:t>
      </w:r>
    </w:p>
    <w:p>
      <w:pPr>
        <w:spacing w:before="160" w:after="60"/>
      </w:pPr>
      <w:r>
        <w:rPr>
          <w:rFonts w:ascii="Calibri" w:hAnsi="Calibri"/>
          <w:b/>
          <w:color w:val="1F4D78"/>
          <w:sz w:val="24"/>
        </w:rPr>
        <w:t>2. Payment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The payment type is {{PaymentType}}. The agreed amount is {{PaymentAmount}} {{Currency}}. The payment schedule is {{PaymentSchedule}}.</w:t>
      </w:r>
    </w:p>
    <w:p>
      <w:pPr>
        <w:spacing w:before="160" w:after="60"/>
      </w:pPr>
      <w:r>
        <w:rPr>
          <w:rFonts w:ascii="Calibri" w:hAnsi="Calibri"/>
          <w:b/>
          <w:color w:val="1F4D78"/>
          <w:sz w:val="24"/>
        </w:rPr>
        <w:t>3. Deposit, rent, service charge, or ground rent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The rent, deposit, service charge, ground rent, or other recurring charge shall be billed only after the signed agreement and the move-in / start date have been recorded in the system.</w:t>
      </w:r>
    </w:p>
    <w:p>
      <w:pPr>
        <w:pStyle w:val="Heading1"/>
      </w:pPr>
      <w:r>
        <w:t>Customer and Internal Approval</w:t>
      </w:r>
    </w:p>
    <w:p>
      <w:pPr>
        <w:spacing w:before="160" w:after="60"/>
      </w:pPr>
      <w:r>
        <w:rPr>
          <w:rFonts w:ascii="Calibri" w:hAnsi="Calibri"/>
          <w:b/>
          <w:color w:val="1F4D78"/>
          <w:sz w:val="24"/>
        </w:rPr>
        <w:t>4. Customer approval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The customer approval status is {{CustomerApprovalStatus}} and the approval date is {{CustomerApprovalDate}}.</w:t>
      </w:r>
    </w:p>
    <w:p>
      <w:pPr>
        <w:spacing w:before="160" w:after="60"/>
      </w:pPr>
      <w:r>
        <w:rPr>
          <w:rFonts w:ascii="Calibri" w:hAnsi="Calibri"/>
          <w:b/>
          <w:color w:val="1F4D78"/>
          <w:sz w:val="24"/>
        </w:rPr>
        <w:t>5. Internal approval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Internal workflow approval shall be evidenced by {{WorkflowReference}} and the routed approval record. The current approval owner or role is {{NextApproverRole}} where applicable.</w:t>
      </w:r>
    </w:p>
    <w:p>
      <w:pPr>
        <w:spacing w:before="160" w:after="60"/>
      </w:pPr>
      <w:r>
        <w:rPr>
          <w:rFonts w:ascii="Calibri" w:hAnsi="Calibri"/>
          <w:b/>
          <w:color w:val="1F4D78"/>
          <w:sz w:val="24"/>
        </w:rPr>
        <w:t>6. Digital signature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Where digital signing is used, the internal signer is {{InternalSignerName}}, signing as {{InternalSignerRole}}, with signature evidence reference {{InternalSignatureReference}}.</w:t>
      </w:r>
    </w:p>
    <w:p>
      <w:pPr>
        <w:pStyle w:val="Heading1"/>
      </w:pPr>
      <w:r>
        <w:t>Conditions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The customer shall comply with all property use rules, service obligations, estate regulations, and approved purpose restrictions.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The owner or estate manager may withhold handover until all required signed documents, identity checks, and payment conditions are satisfied.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Any variation, renewal, termination, assignment, or acquisition-stage change shall follow the applicable workflow approval route.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Special conditions: {{SpecialConditions}}</w:t>
      </w:r>
    </w:p>
    <w:p>
      <w:pPr>
        <w:pStyle w:val="Heading1"/>
      </w:pPr>
      <w:r>
        <w:t>Document and Records Control</w:t>
      </w:r>
    </w:p>
    <w:p>
      <w:r>
        <w:rPr>
          <w:rFonts w:ascii="Calibri" w:hAnsi="Calibri"/>
          <w:b w:val="0"/>
          <w:sz w:val="22"/>
        </w:rPr>
        <w:t>After execution, the signed agreement shall be uploaded or indexed under DMS reference {{AgreementDmsReference}} and property file reference {{PropertyFileReference}}. The generated agreement record is {{GeneratedAgreementReference}}.</w:t>
      </w:r>
    </w:p>
    <w:p>
      <w:pPr>
        <w:pStyle w:val="Heading1"/>
      </w:pPr>
      <w:r>
        <w:t>Execution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9360"/>
            <w:gridSpan w:val="2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2"/>
              </w:rPr>
              <w:t>Owner / Lessor / Vendor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{{GrantorName}}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>Signature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{{GrantorSignatureDate}}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>Witness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{{WitnessName}}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9360"/>
            <w:gridSpan w:val="2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2"/>
              </w:rPr>
              <w:t>Customer / Lessee / Purchaser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{{CustomerName}}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>Signature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{{CustomerSignatureDate}}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>Witness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{{WitnessName}}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9360"/>
            <w:gridSpan w:val="2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2"/>
              </w:rPr>
              <w:t>Internal Approval / Estate Manager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{{InternalSignerName}}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>Signature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{{InternalSignatureDate}}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>Witness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{{WitnessName}}</w:t>
            </w:r>
          </w:p>
        </w:tc>
      </w:tr>
    </w:tbl>
    <w:p/>
    <w:p>
      <w:pPr>
        <w:pStyle w:val="Heading1"/>
      </w:pPr>
      <w:r>
        <w:t>Placeholder Field Checklist</w:t>
      </w:r>
    </w:p>
    <w:p>
      <w:r>
        <w:rPr>
          <w:rFonts w:ascii="Calibri" w:hAnsi="Calibri"/>
          <w:b w:val="0"/>
          <w:sz w:val="22"/>
        </w:rPr>
        <w:t>Core fields used by this template: {{AgreementReference}}, {{AgreementDate}}, {{PropertyUnit}}, {{PropertyReference}}, {{ListingReference}}, {{CustomerName}}, {{CustomerReference}}, {{RequestType}}, {{MoveInDate}}, {{BillingStartDate}}, {{LeaseTerm}}, {{PaymentType}}, {{PaymentAmount}}, {{PaymentSchedule}}, {{Currency}}, {{GrantorName}}, {{GrantorAddress}}, {{GranteeName}}, {{GranteeAddress}}, {{Location}}, {{IntendedUse}}, {{EstimatedSize}}, {{RootOfTitle}}, {{WorkflowReference}}, {{NextApproverRole}}, {{InternalSignerName}}, {{InternalSignerRole}}, {{InternalSignatureReference}}, {{AgreementDmsReference}}, {{PropertyFileReference}}, {{GeneratedAgreementReference}}, and {{SpecialConditions}}.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B7280"/>
        <w:sz w:val="18"/>
      </w:rPr>
      <w:t>Prepared for DMS merge. Replace placeholders before execution.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B7280"/>
        <w:sz w:val="18"/>
      </w:rPr>
      <w:t>Estate Agreement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