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38"/>
          <w:sz w:val="52"/>
        </w:rPr>
        <w:t>Informe de Estado</w:t>
      </w:r>
    </w:p>
    <w:p>
      <w:pPr>
        <w:jc w:val="center"/>
      </w:pPr>
      <w:r>
        <w:rPr>
          <w:color w:val="34495E"/>
          <w:sz w:val="32"/>
        </w:rPr>
        <w:t>Revisión de Seguridad — OWASP Top 10:2025</w:t>
      </w:r>
    </w:p>
    <w:p>
      <w:pPr>
        <w:jc w:val="center"/>
      </w:pPr>
      <w:r>
        <w:rPr>
          <w:i/>
          <w:color w:val="5D6D7E"/>
          <w:sz w:val="25"/>
        </w:rPr>
        <w:t>Proyecto MuricSyncFront (frontend React/Vite)</w:t>
      </w:r>
    </w:p>
    <w:p/>
    <w:tbl>
      <w:tblPr>
        <w:tblW w:type="auto" w:w="0"/>
        <w:jc w:val="center"/>
        <w:tblLook w:firstColumn="1" w:firstRow="1" w:lastColumn="0" w:lastRow="0" w:noHBand="0" w:noVBand="1" w:val="04A0"/>
      </w:tblPr>
      <w:tblGrid>
        <w:gridCol w:w="2551"/>
        <w:gridCol w:w="5953"/>
      </w:tblGrid>
      <w:tr>
        <w:tc>
          <w:tcPr>
            <w:tcW w:type="dxa" w:w="4873"/>
            <w:shd w:val="clear" w:color="auto" w:fill="EAEDED"/>
          </w:tcPr>
          <w:p>
            <w:r/>
            <w:r>
              <w:rPr>
                <w:b/>
                <w:sz w:val="20"/>
              </w:rPr>
              <w:t>Fecha del informe</w:t>
            </w:r>
          </w:p>
        </w:tc>
        <w:tc>
          <w:tcPr>
            <w:tcW w:type="dxa" w:w="4873"/>
          </w:tcPr>
          <w:p>
            <w:r/>
            <w:r>
              <w:rPr>
                <w:sz w:val="20"/>
              </w:rPr>
              <w:t>2026-09-03</w:t>
            </w:r>
          </w:p>
        </w:tc>
      </w:tr>
      <w:tr>
        <w:tc>
          <w:tcPr>
            <w:tcW w:type="dxa" w:w="4873"/>
            <w:shd w:val="clear" w:color="auto" w:fill="EAEDED"/>
          </w:tcPr>
          <w:p>
            <w:r/>
            <w:r>
              <w:rPr>
                <w:b/>
                <w:sz w:val="20"/>
              </w:rPr>
              <w:t>Rama revisada</w:t>
            </w:r>
          </w:p>
        </w:tc>
        <w:tc>
          <w:tcPr>
            <w:tcW w:type="dxa" w:w="4873"/>
          </w:tcPr>
          <w:p>
            <w:r/>
            <w:r>
              <w:rPr>
                <w:sz w:val="20"/>
              </w:rPr>
              <w:t>rhenao-sprint04</w:t>
            </w:r>
          </w:p>
        </w:tc>
      </w:tr>
      <w:tr>
        <w:tc>
          <w:tcPr>
            <w:tcW w:type="dxa" w:w="4873"/>
            <w:shd w:val="clear" w:color="auto" w:fill="EAEDED"/>
          </w:tcPr>
          <w:p>
            <w:r/>
            <w:r>
              <w:rPr>
                <w:b/>
                <w:sz w:val="20"/>
              </w:rPr>
              <w:t>Alcance</w:t>
            </w:r>
          </w:p>
        </w:tc>
        <w:tc>
          <w:tcPr>
            <w:tcW w:type="dxa" w:w="4873"/>
          </w:tcPr>
          <w:p>
            <w:r/>
            <w:r>
              <w:rPr>
                <w:sz w:val="20"/>
              </w:rPr>
              <w:t>Código fuente del repositorio muricsyncfront (SPA)</w:t>
            </w:r>
          </w:p>
        </w:tc>
      </w:tr>
      <w:tr>
        <w:tc>
          <w:tcPr>
            <w:tcW w:type="dxa" w:w="4873"/>
            <w:shd w:val="clear" w:color="auto" w:fill="EAEDED"/>
          </w:tcPr>
          <w:p>
            <w:r/>
            <w:r>
              <w:rPr>
                <w:b/>
                <w:sz w:val="20"/>
              </w:rPr>
              <w:t>Metodología</w:t>
            </w:r>
          </w:p>
        </w:tc>
        <w:tc>
          <w:tcPr>
            <w:tcW w:type="dxa" w:w="4873"/>
          </w:tcPr>
          <w:p>
            <w:r/>
            <w:r>
              <w:rPr>
                <w:sz w:val="20"/>
              </w:rPr>
              <w:t>Revisión estática de código, npm audit, lectura de configuración. Sin pruebas dinámicas ni acceso al backend.</w:t>
            </w:r>
          </w:p>
        </w:tc>
      </w:tr>
      <w:tr>
        <w:tc>
          <w:tcPr>
            <w:tcW w:type="dxa" w:w="4873"/>
            <w:shd w:val="clear" w:color="auto" w:fill="EAEDED"/>
          </w:tcPr>
          <w:p>
            <w:r/>
            <w:r>
              <w:rPr>
                <w:b/>
                <w:sz w:val="20"/>
              </w:rPr>
              <w:t>Referencia normativa</w:t>
            </w:r>
          </w:p>
        </w:tc>
        <w:tc>
          <w:tcPr>
            <w:tcW w:type="dxa" w:w="4873"/>
          </w:tcPr>
          <w:p>
            <w:r/>
            <w:r>
              <w:rPr>
                <w:sz w:val="20"/>
              </w:rPr>
              <w:t>OWASP Top 10:2025 (owasp.org/Top10/2025/), versión final ratificada</w:t>
            </w:r>
          </w:p>
        </w:tc>
      </w:tr>
      <w:tr>
        <w:tc>
          <w:tcPr>
            <w:tcW w:type="dxa" w:w="4873"/>
            <w:shd w:val="clear" w:color="auto" w:fill="EAEDED"/>
          </w:tcPr>
          <w:p>
            <w:r/>
            <w:r>
              <w:rPr>
                <w:b/>
                <w:sz w:val="20"/>
              </w:rPr>
              <w:t>Revisión previa de referencia</w:t>
            </w:r>
          </w:p>
        </w:tc>
        <w:tc>
          <w:tcPr>
            <w:tcW w:type="dxa" w:w="4873"/>
          </w:tcPr>
          <w:p>
            <w:r/>
            <w:r>
              <w:rPr>
                <w:sz w:val="20"/>
              </w:rPr>
              <w:t>docs/security-review-owasp-top10-2025.md (2026-08-26) y docs/plan-remediacion-owasp-top10-2025.md</w:t>
            </w:r>
          </w:p>
        </w:tc>
      </w:tr>
    </w:tbl>
    <w:p>
      <w:r>
        <w:br w:type="page"/>
      </w:r>
    </w:p>
    <w:p>
      <w:pPr>
        <w:pStyle w:val="Heading1"/>
      </w:pPr>
      <w:r>
        <w:rPr>
          <w:color w:val="1B2A38"/>
        </w:rPr>
        <w:t>1. Objetivo del informe</w:t>
      </w:r>
    </w:p>
    <w:p>
      <w:pPr>
        <w:spacing w:after="120"/>
      </w:pPr>
      <w:r>
        <w:rPr>
          <w:b w:val="0"/>
          <w:i w:val="0"/>
          <w:sz w:val="21"/>
        </w:rPr>
        <w:t>Este informe documenta el estado actual del proceso de revisión de seguridad del frontend MuricSyncFront frente al checklist OWASP Top 10:2025. Se apoya en una revisión de seguridad previa realizada el 2026-08-26 (docs/security-review-owasp-top10-2025.md), en el plan de remediación derivado de ella (docs/plan-remediacion-owasp-top10-2025.md) y en el commit 5d71bd9 ("fix(security): remediar hallazgos OWASP Top 10:2025 (fases 1-5)", 2026-09-02), que implementó cambios sobre varios de los hallazgos originales. Para este informe se verificó directamente en el código actual (no solo en el mensaje del commit) qué se corrigió, qué quedó parcialmente corregido y qué no se tocó.</w:t>
      </w:r>
    </w:p>
    <w:p>
      <w:pPr>
        <w:spacing w:after="120"/>
      </w:pPr>
      <w:r>
        <w:rPr>
          <w:b w:val="0"/>
          <w:i/>
          <w:sz w:val="21"/>
        </w:rPr>
        <w:t>Por instrucción explícita, este informe no incluye recomendaciones de mitigación: únicamente indica, por categoría, si aplica, la evidencia encontrada en el código y el nivel de riesgo. Donde no se encontró evidencia suficiente, se indica explícitamente en vez de especular.</w:t>
      </w:r>
    </w:p>
    <w:p>
      <w:pPr>
        <w:pStyle w:val="Heading1"/>
      </w:pPr>
      <w:r>
        <w:rPr>
          <w:color w:val="1B2A38"/>
        </w:rPr>
        <w:t>2. Nota metodológica sobre la versión de OWASP Top 10:2025</w:t>
      </w:r>
    </w:p>
    <w:p>
      <w:pPr>
        <w:spacing w:after="120"/>
      </w:pPr>
      <w:r>
        <w:rPr>
          <w:b w:val="0"/>
          <w:i w:val="0"/>
          <w:sz w:val="21"/>
        </w:rPr>
        <w:t>La revisión previa (2026-08-26) fue redactada antes de la ratificación final del OWASP Top 10:2025 y usó para la categoría A10 el nombre "Mismatched Trust Boundaries (SSRF)". Se verificó contra la página oficial (owasp.org/Top10/2025/) que la lista final ratificada es distinta en ese punto: el SSRF quedó incorporado dentro de A01:2025 – Broken Access Control, y A10:2025 corresponde en realidad a "Mishandling of Exceptional Conditions" (manejo deficiente de condiciones excepcionales), una categoría nueva que la revisión previa no llegó a evaluar. Este informe corrige ese punto y evalúa A10 con su definición oficial vigente.</w:t>
      </w:r>
    </w:p>
    <w:p>
      <w:pPr>
        <w:pStyle w:val="ListBullet"/>
        <w:spacing w:after="60"/>
      </w:pPr>
      <w:r>
        <w:rPr>
          <w:sz w:val="20"/>
        </w:rPr>
        <w:t>A01:2025 – Broken Access Control</w:t>
      </w:r>
    </w:p>
    <w:p>
      <w:pPr>
        <w:pStyle w:val="ListBullet"/>
        <w:spacing w:after="60"/>
      </w:pPr>
      <w:r>
        <w:rPr>
          <w:sz w:val="20"/>
        </w:rPr>
        <w:t>A02:2025 – Security Misconfiguration</w:t>
      </w:r>
    </w:p>
    <w:p>
      <w:pPr>
        <w:pStyle w:val="ListBullet"/>
        <w:spacing w:after="60"/>
      </w:pPr>
      <w:r>
        <w:rPr>
          <w:sz w:val="20"/>
        </w:rPr>
        <w:t>A03:2025 – Software Supply Chain Failures</w:t>
      </w:r>
    </w:p>
    <w:p>
      <w:pPr>
        <w:pStyle w:val="ListBullet"/>
        <w:spacing w:after="60"/>
      </w:pPr>
      <w:r>
        <w:rPr>
          <w:sz w:val="20"/>
        </w:rPr>
        <w:t>A04:2025 – Cryptographic Failures</w:t>
      </w:r>
    </w:p>
    <w:p>
      <w:pPr>
        <w:pStyle w:val="ListBullet"/>
        <w:spacing w:after="60"/>
      </w:pPr>
      <w:r>
        <w:rPr>
          <w:sz w:val="20"/>
        </w:rPr>
        <w:t>A05:2025 – Injection</w:t>
      </w:r>
    </w:p>
    <w:p>
      <w:pPr>
        <w:pStyle w:val="ListBullet"/>
        <w:spacing w:after="60"/>
      </w:pPr>
      <w:r>
        <w:rPr>
          <w:sz w:val="20"/>
        </w:rPr>
        <w:t>A06:2025 – Insecure Design</w:t>
      </w:r>
    </w:p>
    <w:p>
      <w:pPr>
        <w:pStyle w:val="ListBullet"/>
        <w:spacing w:after="60"/>
      </w:pPr>
      <w:r>
        <w:rPr>
          <w:sz w:val="20"/>
        </w:rPr>
        <w:t>A07:2025 – Authentication Failures</w:t>
      </w:r>
    </w:p>
    <w:p>
      <w:pPr>
        <w:pStyle w:val="ListBullet"/>
        <w:spacing w:after="60"/>
      </w:pPr>
      <w:r>
        <w:rPr>
          <w:sz w:val="20"/>
        </w:rPr>
        <w:t>A08:2025 – Software or Data Integrity Failures</w:t>
      </w:r>
    </w:p>
    <w:p>
      <w:pPr>
        <w:pStyle w:val="ListBullet"/>
        <w:spacing w:after="60"/>
      </w:pPr>
      <w:r>
        <w:rPr>
          <w:sz w:val="20"/>
        </w:rPr>
        <w:t>A09:2025 – Security Logging and Alerting Failures</w:t>
      </w:r>
    </w:p>
    <w:p>
      <w:pPr>
        <w:pStyle w:val="ListBullet"/>
        <w:spacing w:after="60"/>
      </w:pPr>
      <w:r>
        <w:rPr>
          <w:sz w:val="20"/>
        </w:rPr>
        <w:t>A10:2025 – Mishandling of Exceptional Conditions</w:t>
      </w:r>
    </w:p>
    <w:p>
      <w:r>
        <w:br w:type="page"/>
      </w:r>
    </w:p>
    <w:p>
      <w:pPr>
        <w:pStyle w:val="Heading1"/>
      </w:pPr>
      <w:r>
        <w:rPr>
          <w:color w:val="1B2A38"/>
        </w:rPr>
        <w:t>3. Resumen ejecutivo — estado actual vs. revisión anterior</w:t>
      </w:r>
    </w:p>
    <w:p>
      <w:pPr>
        <w:spacing w:after="120"/>
      </w:pPr>
      <w:r>
        <w:rPr>
          <w:b w:val="0"/>
          <w:i w:val="0"/>
          <w:sz w:val="21"/>
        </w:rPr>
        <w:t>La tabla compara el nivel de riesgo evaluado en la revisión del 2026-08-26 contra el estado verificado en el código el 2026-09-03, tras la implementación de las fases 1-5 del plan de remediación.</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624"/>
            <w:shd w:val="clear" w:color="auto" w:fill="2C3E50"/>
          </w:tcPr>
          <w:p>
            <w:r>
              <w:rPr>
                <w:b/>
                <w:color w:val="FFFFFF"/>
                <w:sz w:val="20"/>
              </w:rPr>
            </w:r>
            <w:r>
              <w:rPr>
                <w:b/>
                <w:color w:val="FFFFFF"/>
                <w:sz w:val="20"/>
              </w:rPr>
              <w:t>#</w:t>
            </w:r>
          </w:p>
        </w:tc>
        <w:tc>
          <w:tcPr>
            <w:tcW w:type="dxa" w:w="2438"/>
            <w:shd w:val="clear" w:color="auto" w:fill="2C3E50"/>
          </w:tcPr>
          <w:p>
            <w:r>
              <w:rPr>
                <w:b/>
                <w:color w:val="FFFFFF"/>
                <w:sz w:val="20"/>
              </w:rPr>
            </w:r>
            <w:r>
              <w:rPr>
                <w:b/>
                <w:color w:val="FFFFFF"/>
                <w:sz w:val="20"/>
              </w:rPr>
              <w:t>Categoría</w:t>
            </w:r>
          </w:p>
        </w:tc>
        <w:tc>
          <w:tcPr>
            <w:tcW w:type="dxa" w:w="1587"/>
            <w:shd w:val="clear" w:color="auto" w:fill="2C3E50"/>
          </w:tcPr>
          <w:p>
            <w:r>
              <w:rPr>
                <w:b/>
                <w:color w:val="FFFFFF"/>
                <w:sz w:val="20"/>
              </w:rPr>
            </w:r>
            <w:r>
              <w:rPr>
                <w:b/>
                <w:color w:val="FFFFFF"/>
                <w:sz w:val="20"/>
              </w:rPr>
              <w:t>¿Aplica?</w:t>
            </w:r>
          </w:p>
        </w:tc>
        <w:tc>
          <w:tcPr>
            <w:tcW w:type="dxa" w:w="1757"/>
            <w:shd w:val="clear" w:color="auto" w:fill="2C3E50"/>
          </w:tcPr>
          <w:p>
            <w:r>
              <w:rPr>
                <w:b/>
                <w:color w:val="FFFFFF"/>
                <w:sz w:val="20"/>
              </w:rPr>
            </w:r>
            <w:r>
              <w:rPr>
                <w:b/>
                <w:color w:val="FFFFFF"/>
                <w:sz w:val="20"/>
              </w:rPr>
              <w:t>Riesgo 2026-08-26</w:t>
            </w:r>
          </w:p>
        </w:tc>
        <w:tc>
          <w:tcPr>
            <w:tcW w:type="dxa" w:w="1757"/>
            <w:shd w:val="clear" w:color="auto" w:fill="2C3E50"/>
          </w:tcPr>
          <w:p>
            <w:r>
              <w:rPr>
                <w:b/>
                <w:color w:val="FFFFFF"/>
                <w:sz w:val="20"/>
              </w:rPr>
            </w:r>
            <w:r>
              <w:rPr>
                <w:b/>
                <w:color w:val="FFFFFF"/>
                <w:sz w:val="20"/>
              </w:rPr>
              <w:t>Riesgo 2026-09-03</w:t>
            </w:r>
          </w:p>
        </w:tc>
      </w:tr>
      <w:tr>
        <w:tc>
          <w:tcPr>
            <w:tcW w:type="dxa" w:w="624"/>
          </w:tcPr>
          <w:p>
            <w:r>
              <w:rPr>
                <w:sz w:val="19"/>
              </w:rPr>
              <w:t>A01</w:t>
            </w:r>
          </w:p>
        </w:tc>
        <w:tc>
          <w:tcPr>
            <w:tcW w:type="dxa" w:w="2438"/>
          </w:tcPr>
          <w:p>
            <w:r>
              <w:rPr>
                <w:sz w:val="19"/>
              </w:rPr>
              <w:t>Broken Access Control</w:t>
            </w:r>
          </w:p>
        </w:tc>
        <w:tc>
          <w:tcPr>
            <w:tcW w:type="dxa" w:w="1587"/>
          </w:tcPr>
          <w:p>
            <w:r>
              <w:rPr>
                <w:sz w:val="19"/>
              </w:rPr>
              <w:t>Sí</w:t>
            </w:r>
          </w:p>
        </w:tc>
        <w:tc>
          <w:tcPr>
            <w:tcW w:type="dxa" w:w="1757"/>
          </w:tcPr>
          <w:p>
            <w:r>
              <w:rPr>
                <w:sz w:val="19"/>
              </w:rPr>
              <w:t>Alto</w:t>
            </w:r>
          </w:p>
        </w:tc>
        <w:tc>
          <w:tcPr>
            <w:tcW w:type="dxa" w:w="1757"/>
          </w:tcPr>
          <w:p>
            <w:r>
              <w:rPr>
                <w:b/>
                <w:color w:val="D4AC0D"/>
                <w:sz w:val="19"/>
              </w:rPr>
              <w:t>Medio</w:t>
            </w:r>
          </w:p>
        </w:tc>
      </w:tr>
      <w:tr>
        <w:tc>
          <w:tcPr>
            <w:tcW w:type="dxa" w:w="624"/>
          </w:tcPr>
          <w:p>
            <w:r>
              <w:rPr>
                <w:sz w:val="19"/>
              </w:rPr>
              <w:t>A02</w:t>
            </w:r>
          </w:p>
        </w:tc>
        <w:tc>
          <w:tcPr>
            <w:tcW w:type="dxa" w:w="2438"/>
          </w:tcPr>
          <w:p>
            <w:r>
              <w:rPr>
                <w:sz w:val="19"/>
              </w:rPr>
              <w:t>Security Misconfiguration</w:t>
            </w:r>
          </w:p>
        </w:tc>
        <w:tc>
          <w:tcPr>
            <w:tcW w:type="dxa" w:w="1587"/>
          </w:tcPr>
          <w:p>
            <w:r>
              <w:rPr>
                <w:sz w:val="19"/>
              </w:rPr>
              <w:t>Sí</w:t>
            </w:r>
          </w:p>
        </w:tc>
        <w:tc>
          <w:tcPr>
            <w:tcW w:type="dxa" w:w="1757"/>
          </w:tcPr>
          <w:p>
            <w:r>
              <w:rPr>
                <w:sz w:val="19"/>
              </w:rPr>
              <w:t>Medio</w:t>
            </w:r>
          </w:p>
        </w:tc>
        <w:tc>
          <w:tcPr>
            <w:tcW w:type="dxa" w:w="1757"/>
          </w:tcPr>
          <w:p>
            <w:r>
              <w:rPr>
                <w:b/>
                <w:color w:val="7D9C1F"/>
                <w:sz w:val="19"/>
              </w:rPr>
              <w:t>Bajo-Medio</w:t>
            </w:r>
          </w:p>
        </w:tc>
      </w:tr>
      <w:tr>
        <w:tc>
          <w:tcPr>
            <w:tcW w:type="dxa" w:w="624"/>
          </w:tcPr>
          <w:p>
            <w:r>
              <w:rPr>
                <w:sz w:val="19"/>
              </w:rPr>
              <w:t>A03</w:t>
            </w:r>
          </w:p>
        </w:tc>
        <w:tc>
          <w:tcPr>
            <w:tcW w:type="dxa" w:w="2438"/>
          </w:tcPr>
          <w:p>
            <w:r>
              <w:rPr>
                <w:sz w:val="19"/>
              </w:rPr>
              <w:t>Software Supply Chain Failures</w:t>
            </w:r>
          </w:p>
        </w:tc>
        <w:tc>
          <w:tcPr>
            <w:tcW w:type="dxa" w:w="1587"/>
          </w:tcPr>
          <w:p>
            <w:r>
              <w:rPr>
                <w:sz w:val="19"/>
              </w:rPr>
              <w:t>Sí</w:t>
            </w:r>
          </w:p>
        </w:tc>
        <w:tc>
          <w:tcPr>
            <w:tcW w:type="dxa" w:w="1757"/>
          </w:tcPr>
          <w:p>
            <w:r>
              <w:rPr>
                <w:sz w:val="19"/>
              </w:rPr>
              <w:t>Alto</w:t>
            </w:r>
          </w:p>
        </w:tc>
        <w:tc>
          <w:tcPr>
            <w:tcW w:type="dxa" w:w="1757"/>
          </w:tcPr>
          <w:p>
            <w:r>
              <w:rPr>
                <w:b/>
                <w:color w:val="7D9C1F"/>
                <w:sz w:val="19"/>
              </w:rPr>
              <w:t>Bajo-Medio</w:t>
            </w:r>
          </w:p>
        </w:tc>
      </w:tr>
      <w:tr>
        <w:tc>
          <w:tcPr>
            <w:tcW w:type="dxa" w:w="624"/>
          </w:tcPr>
          <w:p>
            <w:r>
              <w:rPr>
                <w:sz w:val="19"/>
              </w:rPr>
              <w:t>A04</w:t>
            </w:r>
          </w:p>
        </w:tc>
        <w:tc>
          <w:tcPr>
            <w:tcW w:type="dxa" w:w="2438"/>
          </w:tcPr>
          <w:p>
            <w:r>
              <w:rPr>
                <w:sz w:val="19"/>
              </w:rPr>
              <w:t>Cryptographic Failures</w:t>
            </w:r>
          </w:p>
        </w:tc>
        <w:tc>
          <w:tcPr>
            <w:tcW w:type="dxa" w:w="1587"/>
          </w:tcPr>
          <w:p>
            <w:r>
              <w:rPr>
                <w:sz w:val="19"/>
              </w:rPr>
              <w:t>Parcial</w:t>
            </w:r>
          </w:p>
        </w:tc>
        <w:tc>
          <w:tcPr>
            <w:tcW w:type="dxa" w:w="1757"/>
          </w:tcPr>
          <w:p>
            <w:r>
              <w:rPr>
                <w:sz w:val="19"/>
              </w:rPr>
              <w:t>Medio-Alto</w:t>
            </w:r>
          </w:p>
        </w:tc>
        <w:tc>
          <w:tcPr>
            <w:tcW w:type="dxa" w:w="1757"/>
          </w:tcPr>
          <w:p>
            <w:r>
              <w:rPr>
                <w:b/>
                <w:color w:val="D4AC0D"/>
                <w:sz w:val="19"/>
              </w:rPr>
              <w:t>Medio</w:t>
            </w:r>
          </w:p>
        </w:tc>
      </w:tr>
      <w:tr>
        <w:tc>
          <w:tcPr>
            <w:tcW w:type="dxa" w:w="624"/>
          </w:tcPr>
          <w:p>
            <w:r>
              <w:rPr>
                <w:sz w:val="19"/>
              </w:rPr>
              <w:t>A05</w:t>
            </w:r>
          </w:p>
        </w:tc>
        <w:tc>
          <w:tcPr>
            <w:tcW w:type="dxa" w:w="2438"/>
          </w:tcPr>
          <w:p>
            <w:r>
              <w:rPr>
                <w:sz w:val="19"/>
              </w:rPr>
              <w:t>Injection</w:t>
            </w:r>
          </w:p>
        </w:tc>
        <w:tc>
          <w:tcPr>
            <w:tcW w:type="dxa" w:w="1587"/>
          </w:tcPr>
          <w:p>
            <w:r>
              <w:rPr>
                <w:sz w:val="19"/>
              </w:rPr>
              <w:t>Sin evidencia suficiente</w:t>
            </w:r>
          </w:p>
        </w:tc>
        <w:tc>
          <w:tcPr>
            <w:tcW w:type="dxa" w:w="1757"/>
          </w:tcPr>
          <w:p>
            <w:r>
              <w:rPr>
                <w:sz w:val="19"/>
              </w:rPr>
              <w:t>Bajo</w:t>
            </w:r>
          </w:p>
        </w:tc>
        <w:tc>
          <w:tcPr>
            <w:tcW w:type="dxa" w:w="1757"/>
          </w:tcPr>
          <w:p>
            <w:r>
              <w:rPr>
                <w:b/>
                <w:color w:val="27AE60"/>
                <w:sz w:val="19"/>
              </w:rPr>
              <w:t>Bajo</w:t>
            </w:r>
          </w:p>
        </w:tc>
      </w:tr>
      <w:tr>
        <w:tc>
          <w:tcPr>
            <w:tcW w:type="dxa" w:w="624"/>
          </w:tcPr>
          <w:p>
            <w:r>
              <w:rPr>
                <w:sz w:val="19"/>
              </w:rPr>
              <w:t>A06</w:t>
            </w:r>
          </w:p>
        </w:tc>
        <w:tc>
          <w:tcPr>
            <w:tcW w:type="dxa" w:w="2438"/>
          </w:tcPr>
          <w:p>
            <w:r>
              <w:rPr>
                <w:sz w:val="19"/>
              </w:rPr>
              <w:t>Insecure Design</w:t>
            </w:r>
          </w:p>
        </w:tc>
        <w:tc>
          <w:tcPr>
            <w:tcW w:type="dxa" w:w="1587"/>
          </w:tcPr>
          <w:p>
            <w:r>
              <w:rPr>
                <w:sz w:val="19"/>
              </w:rPr>
              <w:t>Sí</w:t>
            </w:r>
          </w:p>
        </w:tc>
        <w:tc>
          <w:tcPr>
            <w:tcW w:type="dxa" w:w="1757"/>
          </w:tcPr>
          <w:p>
            <w:r>
              <w:rPr>
                <w:sz w:val="19"/>
              </w:rPr>
              <w:t>Medio</w:t>
            </w:r>
          </w:p>
        </w:tc>
        <w:tc>
          <w:tcPr>
            <w:tcW w:type="dxa" w:w="1757"/>
          </w:tcPr>
          <w:p>
            <w:r>
              <w:rPr>
                <w:b/>
                <w:color w:val="7D9C1F"/>
                <w:sz w:val="19"/>
              </w:rPr>
              <w:t>Bajo-Medio</w:t>
            </w:r>
          </w:p>
        </w:tc>
      </w:tr>
      <w:tr>
        <w:tc>
          <w:tcPr>
            <w:tcW w:type="dxa" w:w="624"/>
          </w:tcPr>
          <w:p>
            <w:r>
              <w:rPr>
                <w:sz w:val="19"/>
              </w:rPr>
              <w:t>A07</w:t>
            </w:r>
          </w:p>
        </w:tc>
        <w:tc>
          <w:tcPr>
            <w:tcW w:type="dxa" w:w="2438"/>
          </w:tcPr>
          <w:p>
            <w:r>
              <w:rPr>
                <w:sz w:val="19"/>
              </w:rPr>
              <w:t>Authentication Failures</w:t>
            </w:r>
          </w:p>
        </w:tc>
        <w:tc>
          <w:tcPr>
            <w:tcW w:type="dxa" w:w="1587"/>
          </w:tcPr>
          <w:p>
            <w:r>
              <w:rPr>
                <w:sz w:val="19"/>
              </w:rPr>
              <w:t>Sí</w:t>
            </w:r>
          </w:p>
        </w:tc>
        <w:tc>
          <w:tcPr>
            <w:tcW w:type="dxa" w:w="1757"/>
          </w:tcPr>
          <w:p>
            <w:r>
              <w:rPr>
                <w:sz w:val="19"/>
              </w:rPr>
              <w:t>Medio-Alto</w:t>
            </w:r>
          </w:p>
        </w:tc>
        <w:tc>
          <w:tcPr>
            <w:tcW w:type="dxa" w:w="1757"/>
          </w:tcPr>
          <w:p>
            <w:r>
              <w:rPr>
                <w:b/>
                <w:color w:val="D4AC0D"/>
                <w:sz w:val="19"/>
              </w:rPr>
              <w:t>Medio</w:t>
            </w:r>
          </w:p>
        </w:tc>
      </w:tr>
      <w:tr>
        <w:tc>
          <w:tcPr>
            <w:tcW w:type="dxa" w:w="624"/>
          </w:tcPr>
          <w:p>
            <w:r>
              <w:rPr>
                <w:sz w:val="19"/>
              </w:rPr>
              <w:t>A08</w:t>
            </w:r>
          </w:p>
        </w:tc>
        <w:tc>
          <w:tcPr>
            <w:tcW w:type="dxa" w:w="2438"/>
          </w:tcPr>
          <w:p>
            <w:r>
              <w:rPr>
                <w:sz w:val="19"/>
              </w:rPr>
              <w:t>Software or Data Integrity Failures</w:t>
            </w:r>
          </w:p>
        </w:tc>
        <w:tc>
          <w:tcPr>
            <w:tcW w:type="dxa" w:w="1587"/>
          </w:tcPr>
          <w:p>
            <w:r>
              <w:rPr>
                <w:sz w:val="19"/>
              </w:rPr>
              <w:t>Sin evidencia suficiente</w:t>
            </w:r>
          </w:p>
        </w:tc>
        <w:tc>
          <w:tcPr>
            <w:tcW w:type="dxa" w:w="1757"/>
          </w:tcPr>
          <w:p>
            <w:r>
              <w:rPr>
                <w:sz w:val="19"/>
              </w:rPr>
              <w:t>N/A</w:t>
            </w:r>
          </w:p>
        </w:tc>
        <w:tc>
          <w:tcPr>
            <w:tcW w:type="dxa" w:w="1757"/>
          </w:tcPr>
          <w:p>
            <w:r>
              <w:rPr>
                <w:b/>
                <w:color w:val="7F8C8D"/>
                <w:sz w:val="19"/>
              </w:rPr>
              <w:t>N/A</w:t>
            </w:r>
          </w:p>
        </w:tc>
      </w:tr>
      <w:tr>
        <w:tc>
          <w:tcPr>
            <w:tcW w:type="dxa" w:w="624"/>
          </w:tcPr>
          <w:p>
            <w:r>
              <w:rPr>
                <w:sz w:val="19"/>
              </w:rPr>
              <w:t>A09</w:t>
            </w:r>
          </w:p>
        </w:tc>
        <w:tc>
          <w:tcPr>
            <w:tcW w:type="dxa" w:w="2438"/>
          </w:tcPr>
          <w:p>
            <w:r>
              <w:rPr>
                <w:sz w:val="19"/>
              </w:rPr>
              <w:t>Security Logging and Alerting Failures</w:t>
            </w:r>
          </w:p>
        </w:tc>
        <w:tc>
          <w:tcPr>
            <w:tcW w:type="dxa" w:w="1587"/>
          </w:tcPr>
          <w:p>
            <w:r>
              <w:rPr>
                <w:sz w:val="19"/>
              </w:rPr>
              <w:t>Sí</w:t>
            </w:r>
          </w:p>
        </w:tc>
        <w:tc>
          <w:tcPr>
            <w:tcW w:type="dxa" w:w="1757"/>
          </w:tcPr>
          <w:p>
            <w:r>
              <w:rPr>
                <w:sz w:val="19"/>
              </w:rPr>
              <w:t>Medio-Alto</w:t>
            </w:r>
          </w:p>
        </w:tc>
        <w:tc>
          <w:tcPr>
            <w:tcW w:type="dxa" w:w="1757"/>
          </w:tcPr>
          <w:p>
            <w:r>
              <w:rPr>
                <w:b/>
                <w:color w:val="D4AC0D"/>
                <w:sz w:val="19"/>
              </w:rPr>
              <w:t>Medio</w:t>
            </w:r>
          </w:p>
        </w:tc>
      </w:tr>
      <w:tr>
        <w:tc>
          <w:tcPr>
            <w:tcW w:type="dxa" w:w="624"/>
          </w:tcPr>
          <w:p>
            <w:r>
              <w:rPr>
                <w:sz w:val="19"/>
              </w:rPr>
              <w:t>A10</w:t>
            </w:r>
          </w:p>
        </w:tc>
        <w:tc>
          <w:tcPr>
            <w:tcW w:type="dxa" w:w="2438"/>
          </w:tcPr>
          <w:p>
            <w:r>
              <w:rPr>
                <w:sz w:val="19"/>
              </w:rPr>
              <w:t>Mishandling of Exceptional Conditions</w:t>
            </w:r>
          </w:p>
        </w:tc>
        <w:tc>
          <w:tcPr>
            <w:tcW w:type="dxa" w:w="1587"/>
          </w:tcPr>
          <w:p>
            <w:r>
              <w:rPr>
                <w:sz w:val="19"/>
              </w:rPr>
              <w:t>Sí</w:t>
            </w:r>
          </w:p>
        </w:tc>
        <w:tc>
          <w:tcPr>
            <w:tcW w:type="dxa" w:w="1757"/>
          </w:tcPr>
          <w:p>
            <w:r>
              <w:rPr>
                <w:sz w:val="19"/>
              </w:rPr>
              <w:t>No evaluado antes</w:t>
            </w:r>
          </w:p>
        </w:tc>
        <w:tc>
          <w:tcPr>
            <w:tcW w:type="dxa" w:w="1757"/>
          </w:tcPr>
          <w:p>
            <w:r>
              <w:rPr>
                <w:b/>
                <w:color w:val="D4AC0D"/>
                <w:sz w:val="19"/>
              </w:rPr>
              <w:t>Medio</w:t>
            </w:r>
          </w:p>
        </w:tc>
      </w:tr>
    </w:tbl>
    <w:p>
      <w:r>
        <w:br w:type="page"/>
      </w:r>
    </w:p>
    <w:p>
      <w:pPr>
        <w:pStyle w:val="Heading1"/>
      </w:pPr>
      <w:r>
        <w:rPr>
          <w:color w:val="1B2A38"/>
        </w:rPr>
        <w:t>4. Detalle por categoría</w:t>
      </w:r>
    </w:p>
    <w:p>
      <w:pPr>
        <w:spacing w:after="120"/>
      </w:pPr>
      <w:r>
        <w:rPr>
          <w:b w:val="0"/>
          <w:i/>
          <w:sz w:val="21"/>
        </w:rPr>
        <w:t>Cada categoría indica si aplica, la evidencia encontrada directamente en el código actual (con referencias a archivo y línea) y el nivel de riesgo. No se incluyen pasos de mitigación.</w:t>
      </w:r>
    </w:p>
    <w:p>
      <w:pPr>
        <w:pStyle w:val="Heading2"/>
      </w:pPr>
      <w:r>
        <w:rPr>
          <w:color w:val="1B2A38"/>
        </w:rPr>
        <w:t>A01:2025 – Broken Access Control</w:t>
      </w:r>
    </w:p>
    <w:p>
      <w:pPr>
        <w:spacing w:after="80"/>
      </w:pPr>
      <w:r>
        <w:rPr>
          <w:b/>
          <w:sz w:val="21"/>
        </w:rPr>
        <w:t xml:space="preserve">¿Aplica?: </w:t>
      </w:r>
      <w:r>
        <w:rPr>
          <w:sz w:val="21"/>
        </w:rPr>
        <w:t>Sí</w:t>
      </w:r>
    </w:p>
    <w:p>
      <w:pPr>
        <w:spacing w:after="80"/>
      </w:pPr>
      <w:r>
        <w:rPr>
          <w:b/>
          <w:sz w:val="21"/>
        </w:rPr>
        <w:t xml:space="preserve">Nivel de riesgo: </w:t>
      </w:r>
      <w:r>
        <w:rPr>
          <w:b/>
          <w:color w:val="D4AC0D"/>
          <w:sz w:val="21"/>
        </w:rPr>
        <w:t>Medio</w:t>
      </w:r>
    </w:p>
    <w:p>
      <w:pPr>
        <w:spacing w:after="40"/>
      </w:pPr>
      <w:r>
        <w:rPr>
          <w:b/>
          <w:i w:val="0"/>
          <w:sz w:val="21"/>
        </w:rPr>
        <w:t>Evidencia:</w:t>
      </w:r>
    </w:p>
    <w:p>
      <w:pPr>
        <w:pStyle w:val="ListBullet"/>
        <w:spacing w:after="60"/>
      </w:pPr>
      <w:r>
        <w:rPr>
          <w:sz w:val="20"/>
        </w:rPr>
        <w:t>src/AppRoutes.tsx:171-223 ahora envuelve las rutas administrativas con guards a nivel de ruta: /app/lista-usuarios con RequireRole(['ADMIN','SEGURIDAD']), /app/lista-roles y /app/lista-permisos con RequirePermission(['roles.manage']), /app/reporte-usuarios con RequirePermission(['usuarios.read']), /app/config-seguridad con RequirePermission(['seguridad.manage']), /app/audit-logs con RequireRole(['ADMIN','AuditViewer']). Antes, /app/lista-usuarios (ListUsers.tsx) no tenía ningún chequeo, ni de ruta ni de componente.</w:t>
      </w:r>
    </w:p>
    <w:p>
      <w:pPr>
        <w:pStyle w:val="ListBullet"/>
        <w:spacing w:after="60"/>
      </w:pPr>
      <w:r>
        <w:rPr>
          <w:sz w:val="20"/>
        </w:rPr>
        <w:t>Los chequeos duplicados if(!hasPermission(...)) que antes vivían dentro de ListRoles.tsx, ListPermissions.tsx, ReporteUsuarios.tsx y FormConfigSeguridad.tsx fueron removidos; se confirmó por grep que ya no existen ('hasPermission' sin resultados en src/features/security/components).</w:t>
      </w:r>
    </w:p>
    <w:p>
      <w:pPr>
        <w:pStyle w:val="ListBullet"/>
        <w:spacing w:after="60"/>
      </w:pPr>
      <w:r>
        <w:rPr>
          <w:sz w:val="20"/>
        </w:rPr>
        <w:t>Se agregó un nuevo guard src/features/auth/components/RequirePermission.tsx (usa hasAnyPermission del hook useAuth y redirige a /app/forbidden).</w:t>
      </w:r>
    </w:p>
    <w:p>
      <w:pPr>
        <w:pStyle w:val="ListBullet"/>
        <w:spacing w:after="60"/>
      </w:pPr>
      <w:r>
        <w:rPr>
          <w:sz w:val="20"/>
        </w:rPr>
        <w:t>Persiste el mismo diseño de fondo señalado en la revisión anterior: los datos que alimentan estos guards (user.roles, user.permissions) provienen de un objeto localStorage.user en JSON plano, editable desde DevTools (AuthService.ts:43-44). La validación real de cada request contra el backend no es verificable desde este repositorio.</w:t>
      </w:r>
    </w:p>
    <w:p>
      <w:pPr>
        <w:spacing w:after="200"/>
      </w:pPr>
      <w:r>
        <w:rPr>
          <w:b w:val="0"/>
          <w:i/>
          <w:color w:val="5D6D7E"/>
          <w:sz w:val="19"/>
        </w:rPr>
        <w:t>Se reclasifica de Alto a Medio: el hueco puntual y la duplicación de chequeos fueron cerrados; el riesgo residual es estructural (dependencia de datos de cliente editables) y no verificable en su impacto real sin el backend.</w:t>
      </w:r>
    </w:p>
    <w:p>
      <w:pPr>
        <w:pStyle w:val="Heading2"/>
      </w:pPr>
      <w:r>
        <w:rPr>
          <w:color w:val="1B2A38"/>
        </w:rPr>
        <w:t>A02:2025 – Security Misconfiguration</w:t>
      </w:r>
    </w:p>
    <w:p>
      <w:pPr>
        <w:spacing w:after="80"/>
      </w:pPr>
      <w:r>
        <w:rPr>
          <w:b/>
          <w:sz w:val="21"/>
        </w:rPr>
        <w:t xml:space="preserve">¿Aplica?: </w:t>
      </w:r>
      <w:r>
        <w:rPr>
          <w:sz w:val="21"/>
        </w:rPr>
        <w:t>Sí</w:t>
      </w:r>
    </w:p>
    <w:p>
      <w:pPr>
        <w:spacing w:after="80"/>
      </w:pPr>
      <w:r>
        <w:rPr>
          <w:b/>
          <w:sz w:val="21"/>
        </w:rPr>
        <w:t xml:space="preserve">Nivel de riesgo: </w:t>
      </w:r>
      <w:r>
        <w:rPr>
          <w:b/>
          <w:color w:val="7D9C1F"/>
          <w:sz w:val="21"/>
        </w:rPr>
        <w:t>Bajo-Medio</w:t>
      </w:r>
    </w:p>
    <w:p>
      <w:pPr>
        <w:spacing w:after="40"/>
      </w:pPr>
      <w:r>
        <w:rPr>
          <w:b/>
          <w:i w:val="0"/>
          <w:sz w:val="21"/>
        </w:rPr>
        <w:t>Evidencia:</w:t>
      </w:r>
    </w:p>
    <w:p>
      <w:pPr>
        <w:pStyle w:val="ListBullet"/>
        <w:spacing w:after="60"/>
      </w:pPr>
      <w:r>
        <w:rPr>
          <w:sz w:val="20"/>
        </w:rPr>
        <w:t>index.html:7-10 ahora define una meta Content-Security-Policy ("default-src 'self'; script-src 'self'; style-src 'self' 'unsafe-inline'; img-src 'self' data:; font-src 'self' data:; connect-src 'self' https://localhost:7167; object-src 'none'; base-uri 'self'; form-action 'self'"). No existía en la revisión anterior.</w:t>
      </w:r>
    </w:p>
    <w:p>
      <w:pPr>
        <w:pStyle w:val="ListBullet"/>
        <w:spacing w:after="60"/>
      </w:pPr>
      <w:r>
        <w:rPr>
          <w:sz w:val="20"/>
        </w:rPr>
        <w:t>connect-src en la CSP incluye https://localhost:7167 (URL de desarrollo) codificado en el HTML servido; no se pudo verificar si existe una CSP equivalente para el build de producción, cuyo host destino real difiere (VITE_API_URL_SECURITY=/api en .env.production, ruta relativa).</w:t>
      </w:r>
    </w:p>
    <w:p>
      <w:pPr>
        <w:pStyle w:val="ListBullet"/>
        <w:spacing w:after="60"/>
      </w:pPr>
      <w:r>
        <w:rPr>
          <w:sz w:val="20"/>
        </w:rPr>
        <w:t>vite.config.ts:5-9 ahora define esbuild.drop=['console','debugger'] cuando mode==='production', eliminando esas llamadas del bundle de producción. No existía en la revisión anterior.</w:t>
      </w:r>
    </w:p>
    <w:p>
      <w:pPr>
        <w:pStyle w:val="ListBullet"/>
        <w:spacing w:after="60"/>
      </w:pPr>
      <w:r>
        <w:rPr>
          <w:sz w:val="20"/>
        </w:rPr>
        <w:t>git ls-files confirma que .env y .env.production siguen versionados en el repositorio. Su contenido actual (.env: VITE_API_URL, VITE_API_URL_SECURITY, VITE_APP_VERSION; .env.production: mismas claves con rutas relativas) no contiene credenciales ni tokens.</w:t>
      </w:r>
    </w:p>
    <w:p>
      <w:pPr>
        <w:pStyle w:val="ListBullet"/>
        <w:spacing w:after="60"/>
      </w:pPr>
      <w:r>
        <w:rPr>
          <w:sz w:val="20"/>
        </w:rPr>
        <w:t>Cabeceras de seguridad HTTP del servidor/CDN que sirve el build (HSTS, X-Frame-Options, CSP real vía header en vez de meta tag) siguen sin ser verificables desde este repositorio.</w:t>
      </w:r>
    </w:p>
    <w:p>
      <w:pPr>
        <w:pStyle w:val="Heading2"/>
      </w:pPr>
      <w:r>
        <w:rPr>
          <w:color w:val="1B2A38"/>
        </w:rPr>
        <w:t>A03:2025 – Software Supply Chain Failures</w:t>
      </w:r>
    </w:p>
    <w:p>
      <w:pPr>
        <w:spacing w:after="80"/>
      </w:pPr>
      <w:r>
        <w:rPr>
          <w:b/>
          <w:sz w:val="21"/>
        </w:rPr>
        <w:t xml:space="preserve">¿Aplica?: </w:t>
      </w:r>
      <w:r>
        <w:rPr>
          <w:sz w:val="21"/>
        </w:rPr>
        <w:t>Sí</w:t>
      </w:r>
    </w:p>
    <w:p>
      <w:pPr>
        <w:spacing w:after="80"/>
      </w:pPr>
      <w:r>
        <w:rPr>
          <w:b/>
          <w:sz w:val="21"/>
        </w:rPr>
        <w:t xml:space="preserve">Nivel de riesgo: </w:t>
      </w:r>
      <w:r>
        <w:rPr>
          <w:b/>
          <w:color w:val="7D9C1F"/>
          <w:sz w:val="21"/>
        </w:rPr>
        <w:t>Bajo-Medio</w:t>
      </w:r>
    </w:p>
    <w:p>
      <w:pPr>
        <w:spacing w:after="40"/>
      </w:pPr>
      <w:r>
        <w:rPr>
          <w:b/>
          <w:i w:val="0"/>
          <w:sz w:val="21"/>
        </w:rPr>
        <w:t>Evidencia:</w:t>
      </w:r>
    </w:p>
    <w:p>
      <w:pPr>
        <w:pStyle w:val="ListBullet"/>
        <w:spacing w:after="60"/>
      </w:pPr>
      <w:r>
        <w:rPr>
          <w:sz w:val="20"/>
        </w:rPr>
        <w:t>npm audit ejecutado sobre el repositorio actual reporta 0 vulnerabilidades (antes: 2 HIGH en xlsx@0.18.5).</w:t>
      </w:r>
    </w:p>
    <w:p>
      <w:pPr>
        <w:pStyle w:val="ListBullet"/>
        <w:spacing w:after="60"/>
      </w:pPr>
      <w:r>
        <w:rPr>
          <w:sz w:val="20"/>
        </w:rPr>
        <w:t>package.json:23 reemplazó "xlsx": "^0.18.5" (registro npm) por "xlsx": "https://cdn.sheetjs.com/xlsx-0.20.3/xlsx-0.20.3.tgz" (build oficial parcheada del propio mantenedor SheetJS, distribuida fuera del registro npm). package-lock.json:4662-4666 registra un hash de integridad (sha512) para ese tarball, por lo que una instalación con npm ci verificará su contenido contra ese hash.</w:t>
      </w:r>
    </w:p>
    <w:p>
      <w:pPr>
        <w:pStyle w:val="ListBullet"/>
        <w:spacing w:after="60"/>
      </w:pPr>
      <w:r>
        <w:rPr>
          <w:sz w:val="20"/>
        </w:rPr>
        <w:t>Todas las dependencias listadas en package.json:12-38 tienen versión exacta fijada (p. ej. axios 1.20.0, react-router-dom 7.18.3, react 19.1.1); ya no aparece el literal "latest" que antes afectaba a react, react-dom, react-router-dom, axios, @mui/*, material-react-table, yup, @emotion/*.</w:t>
      </w:r>
    </w:p>
    <w:p>
      <w:pPr>
        <w:pStyle w:val="ListBullet"/>
        <w:spacing w:after="60"/>
      </w:pPr>
      <w:r>
        <w:rPr>
          <w:sz w:val="20"/>
        </w:rPr>
        <w:t>El archivo sigue siendo un .xlsx/.xls cargado por el usuario final en src/features/upload/components/CargaArchivos.tsx:586 (accept=".csv,.txt,.xlsx,.xls"), es decir, la superficie de ataque (parseo de archivos subidos) se mantiene; lo que cambió es que la librería que los procesa ya no tiene CVEs conocidos sin parchear.</w:t>
      </w:r>
    </w:p>
    <w:p>
      <w:pPr>
        <w:pStyle w:val="Heading2"/>
      </w:pPr>
      <w:r>
        <w:rPr>
          <w:color w:val="1B2A38"/>
        </w:rPr>
        <w:t>A04:2025 – Cryptographic Failures</w:t>
      </w:r>
    </w:p>
    <w:p>
      <w:pPr>
        <w:spacing w:after="80"/>
      </w:pPr>
      <w:r>
        <w:rPr>
          <w:b/>
          <w:sz w:val="21"/>
        </w:rPr>
        <w:t xml:space="preserve">¿Aplica?: </w:t>
      </w:r>
      <w:r>
        <w:rPr>
          <w:sz w:val="21"/>
        </w:rPr>
        <w:t>Parcial</w:t>
      </w:r>
    </w:p>
    <w:p>
      <w:pPr>
        <w:spacing w:after="80"/>
      </w:pPr>
      <w:r>
        <w:rPr>
          <w:b/>
          <w:sz w:val="21"/>
        </w:rPr>
        <w:t xml:space="preserve">Nivel de riesgo: </w:t>
      </w:r>
      <w:r>
        <w:rPr>
          <w:b/>
          <w:color w:val="D4AC0D"/>
          <w:sz w:val="21"/>
        </w:rPr>
        <w:t>Medio</w:t>
      </w:r>
    </w:p>
    <w:p>
      <w:pPr>
        <w:spacing w:after="40"/>
      </w:pPr>
      <w:r>
        <w:rPr>
          <w:b/>
          <w:i w:val="0"/>
          <w:sz w:val="21"/>
        </w:rPr>
        <w:t>Evidencia:</w:t>
      </w:r>
    </w:p>
    <w:p>
      <w:pPr>
        <w:pStyle w:val="ListBullet"/>
        <w:spacing w:after="60"/>
      </w:pPr>
      <w:r>
        <w:rPr>
          <w:sz w:val="20"/>
        </w:rPr>
        <w:t>Se confirmó la eliminación de los console.log de contraseña en texto plano que existían antes en src/features/security/components/PasswordChange.tsx y DialogResetPassword.tsx (ya no aparecen en el código actual).</w:t>
      </w:r>
    </w:p>
    <w:p>
      <w:pPr>
        <w:pStyle w:val="ListBullet"/>
        <w:spacing w:after="60"/>
      </w:pPr>
      <w:r>
        <w:rPr>
          <w:sz w:val="20"/>
        </w:rPr>
        <w:t>src/features/security/services/AuthService.ts:24-49 ya no imprime response.data completo tras el login; los console.log/console.error restantes en ese archivo (líneas 26-27, 51-59) están envueltos en if(import.meta.env.DEV).</w:t>
      </w:r>
    </w:p>
    <w:p>
      <w:pPr>
        <w:pStyle w:val="ListBullet"/>
        <w:spacing w:after="60"/>
      </w:pPr>
      <w:r>
        <w:rPr>
          <w:sz w:val="20"/>
        </w:rPr>
        <w:t>Persiste, sin guard de entorno, src/features/security/components/Login.tsx:43 (console.log("✅ Respuesta del login:", response)), que imprime el objeto AuthResponseDto completo devuelto por el backend — incluyendo el token JWT (campo token del DTO) — de forma incondicional, no solo en desarrollo. En el build de producción esta llamada se elimina por el esbuild.drop de vite.config.ts (ver A02), pero el código fuente en sí sigue exponiendo el token si se ejecuta fuera de ese build (p. ej. npm run dev, o cualquier build que no use mode=production).</w:t>
      </w:r>
    </w:p>
    <w:p>
      <w:pPr>
        <w:pStyle w:val="ListBullet"/>
        <w:spacing w:after="60"/>
      </w:pPr>
      <w:r>
        <w:rPr>
          <w:sz w:val="20"/>
        </w:rPr>
        <w:t>El JWT y el objeto user siguen almacenados en localStorage en texto plano (AuthService.ts:43-45), sin cambios respecto a la revisión anterior; documentado como decisión de diseño aceptada en CLAUDE.md.</w:t>
      </w:r>
    </w:p>
    <w:p>
      <w:pPr>
        <w:spacing w:after="200"/>
      </w:pPr>
      <w:r>
        <w:rPr>
          <w:b w:val="0"/>
          <w:i/>
          <w:color w:val="5D6D7E"/>
          <w:sz w:val="19"/>
        </w:rPr>
        <w:t>Se reclasifica de Medio-Alto a Medio: los logs de contraseña en texto plano fueron eliminados, pero queda un logging de token sin guardas a nivel de código fuente, mitigado únicamente por la configuración de build de producción.</w:t>
      </w:r>
    </w:p>
    <w:p>
      <w:pPr>
        <w:pStyle w:val="Heading2"/>
      </w:pPr>
      <w:r>
        <w:rPr>
          <w:color w:val="1B2A38"/>
        </w:rPr>
        <w:t>A05:2025 – Injection</w:t>
      </w:r>
    </w:p>
    <w:p>
      <w:pPr>
        <w:spacing w:after="80"/>
      </w:pPr>
      <w:r>
        <w:rPr>
          <w:b/>
          <w:sz w:val="21"/>
        </w:rPr>
        <w:t xml:space="preserve">¿Aplica?: </w:t>
      </w:r>
      <w:r>
        <w:rPr>
          <w:sz w:val="21"/>
        </w:rPr>
        <w:t>Sin evidencia suficiente</w:t>
      </w:r>
    </w:p>
    <w:p>
      <w:pPr>
        <w:spacing w:after="80"/>
      </w:pPr>
      <w:r>
        <w:rPr>
          <w:b/>
          <w:sz w:val="21"/>
        </w:rPr>
        <w:t xml:space="preserve">Nivel de riesgo: </w:t>
      </w:r>
      <w:r>
        <w:rPr>
          <w:b/>
          <w:color w:val="27AE60"/>
          <w:sz w:val="21"/>
        </w:rPr>
        <w:t>Bajo</w:t>
      </w:r>
    </w:p>
    <w:p>
      <w:pPr>
        <w:spacing w:after="40"/>
      </w:pPr>
      <w:r>
        <w:rPr>
          <w:b/>
          <w:i w:val="0"/>
          <w:sz w:val="21"/>
        </w:rPr>
        <w:t>Evidencia:</w:t>
      </w:r>
    </w:p>
    <w:p>
      <w:pPr>
        <w:pStyle w:val="ListBullet"/>
        <w:spacing w:after="60"/>
      </w:pPr>
      <w:r>
        <w:rPr>
          <w:sz w:val="20"/>
        </w:rPr>
        <w:t>Búsqueda de dangerouslySetInnerHTML, innerHTML, eval(, new Function(, document.write en src/: sin resultados, igual que en la revisión anterior.</w:t>
      </w:r>
    </w:p>
    <w:p>
      <w:pPr>
        <w:pStyle w:val="ListBullet"/>
        <w:spacing w:after="60"/>
      </w:pPr>
      <w:r>
        <w:rPr>
          <w:sz w:val="20"/>
        </w:rPr>
        <w:t>No se encontró construcción de queries OData por concatenación de strings con entrada de usuario en los componentes revisados.</w:t>
      </w:r>
    </w:p>
    <w:p>
      <w:pPr>
        <w:pStyle w:val="ListBullet"/>
        <w:spacing w:after="60"/>
      </w:pPr>
      <w:r>
        <w:rPr>
          <w:sz w:val="20"/>
        </w:rPr>
        <w:t>El manejo de inyección en el backend (SQL/OData) no es verificable desde este repositorio.</w:t>
      </w:r>
    </w:p>
    <w:p>
      <w:pPr>
        <w:pStyle w:val="Heading2"/>
      </w:pPr>
      <w:r>
        <w:rPr>
          <w:color w:val="1B2A38"/>
        </w:rPr>
        <w:t>A06:2025 – Insecure Design</w:t>
      </w:r>
    </w:p>
    <w:p>
      <w:pPr>
        <w:spacing w:after="80"/>
      </w:pPr>
      <w:r>
        <w:rPr>
          <w:b/>
          <w:sz w:val="21"/>
        </w:rPr>
        <w:t xml:space="preserve">¿Aplica?: </w:t>
      </w:r>
      <w:r>
        <w:rPr>
          <w:sz w:val="21"/>
        </w:rPr>
        <w:t>Sí</w:t>
      </w:r>
    </w:p>
    <w:p>
      <w:pPr>
        <w:spacing w:after="80"/>
      </w:pPr>
      <w:r>
        <w:rPr>
          <w:b/>
          <w:sz w:val="21"/>
        </w:rPr>
        <w:t xml:space="preserve">Nivel de riesgo: </w:t>
      </w:r>
      <w:r>
        <w:rPr>
          <w:b/>
          <w:color w:val="7D9C1F"/>
          <w:sz w:val="21"/>
        </w:rPr>
        <w:t>Bajo-Medio</w:t>
      </w:r>
    </w:p>
    <w:p>
      <w:pPr>
        <w:spacing w:after="40"/>
      </w:pPr>
      <w:r>
        <w:rPr>
          <w:b/>
          <w:i w:val="0"/>
          <w:sz w:val="21"/>
        </w:rPr>
        <w:t>Evidencia:</w:t>
      </w:r>
    </w:p>
    <w:p>
      <w:pPr>
        <w:pStyle w:val="ListBullet"/>
        <w:spacing w:after="60"/>
      </w:pPr>
      <w:r>
        <w:rPr>
          <w:sz w:val="20"/>
        </w:rPr>
        <w:t>src/features/security/utils/passwordPolicy.ts (archivo nuevo) define PASSWORD_MIN_LENGTH=10 y validatePasswordStrength(), que exige minúscula, mayúscula, número y carácter especial. Se confirmó su uso real en DialogRegisterUser.tsx:83 (validatePasswordStrength(formData.password)). Antes el único requisito era formData.password.length &lt; 6 sin complejidad.</w:t>
      </w:r>
    </w:p>
    <w:p>
      <w:pPr>
        <w:pStyle w:val="ListBullet"/>
        <w:spacing w:after="60"/>
      </w:pPr>
      <w:r>
        <w:rPr>
          <w:sz w:val="20"/>
        </w:rPr>
        <w:t>La autorización se centralizó en guards de ruta (RequireRole/RequirePermission en AppRoutes.tsx) en vez de reimplementarse por componente — ver A01.</w:t>
      </w:r>
    </w:p>
    <w:p>
      <w:pPr>
        <w:pStyle w:val="ListBullet"/>
        <w:spacing w:after="60"/>
      </w:pPr>
      <w:r>
        <w:rPr>
          <w:sz w:val="20"/>
        </w:rPr>
        <w:t>La expiración de sesión se sigue calculando enteramente en el cliente comparando new Date() contra tokenExpiry de localStorage (AuthService.ts:79-86, axiosSecurityAPIClient.ts:19-27), un valor editable por el usuario desde DevTools; sin cambios respecto a la revisión anterior. CLAUDE.md ahora documenta explícitamente que esto es solo una conveniencia de UX y no un límite real de sesión.</w:t>
      </w:r>
    </w:p>
    <w:p>
      <w:pPr>
        <w:pStyle w:val="Heading2"/>
      </w:pPr>
      <w:r>
        <w:rPr>
          <w:color w:val="1B2A38"/>
        </w:rPr>
        <w:t>A07:2025 – Authentication Failures</w:t>
      </w:r>
    </w:p>
    <w:p>
      <w:pPr>
        <w:spacing w:after="80"/>
      </w:pPr>
      <w:r>
        <w:rPr>
          <w:b/>
          <w:sz w:val="21"/>
        </w:rPr>
        <w:t xml:space="preserve">¿Aplica?: </w:t>
      </w:r>
      <w:r>
        <w:rPr>
          <w:sz w:val="21"/>
        </w:rPr>
        <w:t>Sí</w:t>
      </w:r>
    </w:p>
    <w:p>
      <w:pPr>
        <w:spacing w:after="80"/>
      </w:pPr>
      <w:r>
        <w:rPr>
          <w:b/>
          <w:sz w:val="21"/>
        </w:rPr>
        <w:t xml:space="preserve">Nivel de riesgo: </w:t>
      </w:r>
      <w:r>
        <w:rPr>
          <w:b/>
          <w:color w:val="D4AC0D"/>
          <w:sz w:val="21"/>
        </w:rPr>
        <w:t>Medio</w:t>
      </w:r>
    </w:p>
    <w:p>
      <w:pPr>
        <w:spacing w:after="40"/>
      </w:pPr>
      <w:r>
        <w:rPr>
          <w:b/>
          <w:i w:val="0"/>
          <w:sz w:val="21"/>
        </w:rPr>
        <w:t>Evidencia:</w:t>
      </w:r>
    </w:p>
    <w:p>
      <w:pPr>
        <w:pStyle w:val="ListBullet"/>
        <w:spacing w:after="60"/>
      </w:pPr>
      <w:r>
        <w:rPr>
          <w:sz w:val="20"/>
        </w:rPr>
        <w:t>Misma política de contraseña reforzada citada en A06, aplicada también en cambio y reseteo de contraseña (PasswordChange.tsx, DialogResetPassword.tsx usan validatePasswordStrength).</w:t>
      </w:r>
    </w:p>
    <w:p>
      <w:pPr>
        <w:pStyle w:val="ListBullet"/>
        <w:spacing w:after="60"/>
      </w:pPr>
      <w:r>
        <w:rPr>
          <w:sz w:val="20"/>
        </w:rPr>
        <w:t>No se observan controles de fuerza bruta en el frontend (contador de intentos, backoff, CAPTCHA) en Login.tsx; el rate limiting real es responsabilidad del backend y no es verificable desde este repositorio.</w:t>
      </w:r>
    </w:p>
    <w:p>
      <w:pPr>
        <w:pStyle w:val="ListBullet"/>
        <w:spacing w:after="60"/>
      </w:pPr>
      <w:r>
        <w:rPr>
          <w:sz w:val="20"/>
        </w:rPr>
        <w:t>Login.tsx:43 sigue registrando en consola la respuesta completa del login, incluido el token, sin guard de entorno (ver detalle en A04).</w:t>
      </w:r>
    </w:p>
    <w:p>
      <w:pPr>
        <w:pStyle w:val="ListBullet"/>
        <w:spacing w:after="60"/>
      </w:pPr>
      <w:r>
        <w:rPr>
          <w:sz w:val="20"/>
        </w:rPr>
        <w:t>src/api/axiosSecurityAPIClient.ts:11,46,53,56,75-76,80,86 contiene múltiples console.log incondicionales (sin guard DEV) sobre el flujo de autenticación: baseURL configurada, si se agrega el token a una petición, si el token expiró, códigos de estado de error. No exponen el valor del token, pero sí detalles operativos del mecanismo de autenticación.</w:t>
      </w:r>
    </w:p>
    <w:p>
      <w:pPr>
        <w:pStyle w:val="Heading2"/>
      </w:pPr>
      <w:r>
        <w:rPr>
          <w:color w:val="1B2A38"/>
        </w:rPr>
        <w:t>A08:2025 – Software or Data Integrity Failures</w:t>
      </w:r>
    </w:p>
    <w:p>
      <w:pPr>
        <w:spacing w:after="80"/>
      </w:pPr>
      <w:r>
        <w:rPr>
          <w:b/>
          <w:sz w:val="21"/>
        </w:rPr>
        <w:t xml:space="preserve">¿Aplica?: </w:t>
      </w:r>
      <w:r>
        <w:rPr>
          <w:sz w:val="21"/>
        </w:rPr>
        <w:t>Sin evidencia suficiente</w:t>
      </w:r>
    </w:p>
    <w:p>
      <w:pPr>
        <w:spacing w:after="80"/>
      </w:pPr>
      <w:r>
        <w:rPr>
          <w:b/>
          <w:sz w:val="21"/>
        </w:rPr>
        <w:t xml:space="preserve">Nivel de riesgo: </w:t>
      </w:r>
      <w:r>
        <w:rPr>
          <w:b/>
          <w:color w:val="7F8C8D"/>
          <w:sz w:val="21"/>
        </w:rPr>
        <w:t>N/A</w:t>
      </w:r>
    </w:p>
    <w:p>
      <w:pPr>
        <w:spacing w:after="40"/>
      </w:pPr>
      <w:r>
        <w:rPr>
          <w:b/>
          <w:i w:val="0"/>
          <w:sz w:val="21"/>
        </w:rPr>
        <w:t>Evidencia:</w:t>
      </w:r>
    </w:p>
    <w:p>
      <w:pPr>
        <w:pStyle w:val="ListBullet"/>
        <w:spacing w:after="60"/>
      </w:pPr>
      <w:r>
        <w:rPr>
          <w:sz w:val="20"/>
        </w:rPr>
        <w:t>No existen archivos de pipeline CI/CD (p. ej. .github/workflows) en este repositorio para revisar integridad de artefactos, firmas o despliegues; sin cambios respecto a la revisión anterior.</w:t>
      </w:r>
    </w:p>
    <w:p>
      <w:pPr>
        <w:pStyle w:val="ListBullet"/>
        <w:spacing w:after="60"/>
      </w:pPr>
      <w:r>
        <w:rPr>
          <w:sz w:val="20"/>
        </w:rPr>
        <w:t>El build sigue siendo el estándar de Vite (tsc -b &amp;&amp; vite build, package.json:8), sin carga dinámica de código remoto ni mecanismos de auto-actualización detectados en src/.</w:t>
      </w:r>
    </w:p>
    <w:p>
      <w:pPr>
        <w:pStyle w:val="Heading2"/>
      </w:pPr>
      <w:r>
        <w:rPr>
          <w:color w:val="1B2A38"/>
        </w:rPr>
        <w:t>A09:2025 – Security Logging and Alerting Failures</w:t>
      </w:r>
    </w:p>
    <w:p>
      <w:pPr>
        <w:spacing w:after="80"/>
      </w:pPr>
      <w:r>
        <w:rPr>
          <w:b/>
          <w:sz w:val="21"/>
        </w:rPr>
        <w:t xml:space="preserve">¿Aplica?: </w:t>
      </w:r>
      <w:r>
        <w:rPr>
          <w:sz w:val="21"/>
        </w:rPr>
        <w:t>Sí</w:t>
      </w:r>
    </w:p>
    <w:p>
      <w:pPr>
        <w:spacing w:after="80"/>
      </w:pPr>
      <w:r>
        <w:rPr>
          <w:b/>
          <w:sz w:val="21"/>
        </w:rPr>
        <w:t xml:space="preserve">Nivel de riesgo: </w:t>
      </w:r>
      <w:r>
        <w:rPr>
          <w:b/>
          <w:color w:val="D4AC0D"/>
          <w:sz w:val="21"/>
        </w:rPr>
        <w:t>Medio</w:t>
      </w:r>
    </w:p>
    <w:p>
      <w:pPr>
        <w:spacing w:after="40"/>
      </w:pPr>
      <w:r>
        <w:rPr>
          <w:b/>
          <w:i w:val="0"/>
          <w:sz w:val="21"/>
        </w:rPr>
        <w:t>Evidencia:</w:t>
      </w:r>
    </w:p>
    <w:p>
      <w:pPr>
        <w:pStyle w:val="ListBullet"/>
        <w:spacing w:after="60"/>
      </w:pPr>
      <w:r>
        <w:rPr>
          <w:sz w:val="20"/>
        </w:rPr>
        <w:t>Se confirmó por grep en src/ que ya no aparecen contraseñas en texto plano en ningún console.* (criterio de aceptación de la fase 1 del plan de remediación, cumplido).</w:t>
      </w:r>
    </w:p>
    <w:p>
      <w:pPr>
        <w:pStyle w:val="ListBullet"/>
        <w:spacing w:after="60"/>
      </w:pPr>
      <w:r>
        <w:rPr>
          <w:sz w:val="20"/>
        </w:rPr>
        <w:t>Persisten console.log/console.error sin guard de import.meta.env.DEV en múltiples archivos fuera del alcance de la fase 1: Login.tsx:30-34,43,46,49,57 (incluye la respuesta completa del login), axiosSecurityAPIClient.ts (7 llamadas, líneas 11,46,53,56,75,76,80,86), Menu.tsx:74 (console.log("Permisos del usuario:", {...}), expone roles/permisos calculados), ListUsers.tsx:44 (registra el userId al resetear contraseña), useEntidades.ts y useGetUsers.tsx (warnings/errores de formato de respuesta).</w:t>
      </w:r>
    </w:p>
    <w:p>
      <w:pPr>
        <w:pStyle w:val="ListBullet"/>
        <w:spacing w:after="60"/>
      </w:pPr>
      <w:r>
        <w:rPr>
          <w:sz w:val="20"/>
        </w:rPr>
        <w:t>Estas llamadas se eliminan del bundle final únicamente por el esbuild.drop de vite.config.ts cuando el build corre en mode=production (ver A02); en el código fuente, y en cualquier ejecución que no use ese modo (dev, preview sin flag), siguen presentes sin filtrar.</w:t>
      </w:r>
    </w:p>
    <w:p>
      <w:pPr>
        <w:pStyle w:val="ListBullet"/>
        <w:spacing w:after="60"/>
      </w:pPr>
      <w:r>
        <w:rPr>
          <w:sz w:val="20"/>
        </w:rPr>
        <w:t>No se observa telemetría de seguridad del lado cliente (reporte de intentos fallidos o accesos denegados hacia un backend de monitoreo); sin cambios respecto a la revisión anterior.</w:t>
      </w:r>
    </w:p>
    <w:p>
      <w:pPr>
        <w:spacing w:after="200"/>
      </w:pPr>
      <w:r>
        <w:rPr>
          <w:b w:val="0"/>
          <w:i/>
          <w:color w:val="5D6D7E"/>
          <w:sz w:val="19"/>
        </w:rPr>
        <w:t>Se reclasifica de Medio-Alto a Medio: el hallazgo original y más sensible (contraseñas en texto plano en consola) fue remediado en el código fuente; el resto del logging sin guardas queda mitigado solo a nivel de configuración de build, no a nivel de código.</w:t>
      </w:r>
    </w:p>
    <w:p>
      <w:pPr>
        <w:pStyle w:val="Heading2"/>
      </w:pPr>
      <w:r>
        <w:rPr>
          <w:color w:val="1B2A38"/>
        </w:rPr>
        <w:t>A10:2025 – Mishandling of Exceptional Conditions</w:t>
      </w:r>
    </w:p>
    <w:p>
      <w:pPr>
        <w:spacing w:after="80"/>
      </w:pPr>
      <w:r>
        <w:rPr>
          <w:b/>
          <w:sz w:val="21"/>
        </w:rPr>
        <w:t xml:space="preserve">¿Aplica?: </w:t>
      </w:r>
      <w:r>
        <w:rPr>
          <w:sz w:val="21"/>
        </w:rPr>
        <w:t>Sí</w:t>
      </w:r>
    </w:p>
    <w:p>
      <w:pPr>
        <w:spacing w:after="80"/>
      </w:pPr>
      <w:r>
        <w:rPr>
          <w:b/>
          <w:sz w:val="21"/>
        </w:rPr>
        <w:t xml:space="preserve">Nivel de riesgo: </w:t>
      </w:r>
      <w:r>
        <w:rPr>
          <w:b/>
          <w:color w:val="D4AC0D"/>
          <w:sz w:val="21"/>
        </w:rPr>
        <w:t>Medio</w:t>
      </w:r>
    </w:p>
    <w:p>
      <w:pPr>
        <w:spacing w:after="40"/>
      </w:pPr>
      <w:r>
        <w:rPr>
          <w:b/>
          <w:i w:val="0"/>
          <w:sz w:val="21"/>
        </w:rPr>
        <w:t>Evidencia:</w:t>
      </w:r>
    </w:p>
    <w:p>
      <w:pPr>
        <w:pStyle w:val="ListBullet"/>
        <w:spacing w:after="60"/>
      </w:pPr>
      <w:r>
        <w:rPr>
          <w:sz w:val="20"/>
        </w:rPr>
        <w:t>No se encontró ningún componente de tipo ErrorBoundary (ni uso de componentDidCatch / getDerivedStateFromError) en todo src/. Una excepción no controlada durante el renderizado de cualquier pantalla no tiene una pantalla de fallback definida a nivel de aplicación.</w:t>
      </w:r>
    </w:p>
    <w:p>
      <w:pPr>
        <w:pStyle w:val="ListBullet"/>
        <w:spacing w:after="60"/>
      </w:pPr>
      <w:r>
        <w:rPr>
          <w:sz w:val="20"/>
        </w:rPr>
        <w:t>Varios componentes propagan directamente al usuario el contenido devuelto por el backend en errores: PasswordChange.tsx:130-132, DialogResetPassword.tsx:123-125, ForgotPassword.tsx:71-73 leen error.response?.data?.errors / error.response?.data?.message y lo muestran tal cual en la UI.</w:t>
      </w:r>
    </w:p>
    <w:p>
      <w:pPr>
        <w:pStyle w:val="ListBullet"/>
        <w:spacing w:after="60"/>
      </w:pPr>
      <w:r>
        <w:rPr>
          <w:sz w:val="20"/>
        </w:rPr>
        <w:t>Cuando no hay respuesta estructurada del backend, varios componentes concatenan directamente error.message (mensaje nativo de la excepción de JavaScript/Axios) en el texto mostrado al usuario: DialogRegisterUser.tsx:135, DialogUpdateUser.tsx:128, DialogUser.tsx:132, Login.tsx:62, DialogResetPassword.tsx:135, ForgotPassword.tsx:85, PasswordChange.tsx:142, ConfigMapeoCarga.tsx:256.</w:t>
      </w:r>
    </w:p>
    <w:p>
      <w:pPr>
        <w:pStyle w:val="ListBullet"/>
        <w:spacing w:after="60"/>
      </w:pPr>
      <w:r>
        <w:rPr>
          <w:sz w:val="20"/>
        </w:rPr>
        <w:t>No fue posible determinar desde este repositorio qué contenido exacto devuelve el backend en sus payloads de error (p. ej. si incluye detalles internos o stack traces), por lo que el impacto real de este patrón de paso directo no es verificable sin el backend.</w:t>
      </w:r>
    </w:p>
    <w:p>
      <w:pPr>
        <w:spacing w:after="200"/>
      </w:pPr>
      <w:r>
        <w:rPr>
          <w:b w:val="0"/>
          <w:i/>
          <w:color w:val="5D6D7E"/>
          <w:sz w:val="19"/>
        </w:rPr>
        <w:t>Categoría nueva en la lista oficial 2025, no evaluada en la revisión del 2026-08-26 (que usaba la definición incorrecta de A10 — ver sección 2). Se evalúa aquí por primera vez.</w:t>
      </w:r>
    </w:p>
    <w:p>
      <w:r>
        <w:br w:type="page"/>
      </w:r>
    </w:p>
    <w:p>
      <w:pPr>
        <w:pStyle w:val="Heading1"/>
      </w:pPr>
      <w:r>
        <w:rPr>
          <w:color w:val="1B2A38"/>
        </w:rPr>
        <w:t>5. Historial de cambios desde la revisión anterior</w:t>
      </w:r>
    </w:p>
    <w:p>
      <w:pPr>
        <w:spacing w:after="120"/>
      </w:pPr>
      <w:r>
        <w:rPr>
          <w:b w:val="0"/>
          <w:i w:val="0"/>
          <w:sz w:val="21"/>
        </w:rPr>
        <w:t>El commit 5d71bd9 ("fix(security): remediar hallazgos OWASP Top 10:2025 (fases 1-5)", 2026-09-02) implementó el plan de remediación en 5 fases. Se verificó en el código, no solo en el mensaje del commit, el estado real de cada una:</w:t>
      </w:r>
    </w:p>
    <w:tbl>
      <w:tblPr>
        <w:tblStyle w:val="TableGrid"/>
        <w:tblW w:type="auto" w:w="0"/>
        <w:tblLook w:firstColumn="1" w:firstRow="1" w:lastColumn="0" w:lastRow="0" w:noHBand="0" w:noVBand="1" w:val="04A0"/>
      </w:tblPr>
      <w:tblGrid>
        <w:gridCol w:w="3249"/>
        <w:gridCol w:w="3249"/>
        <w:gridCol w:w="3249"/>
      </w:tblGrid>
      <w:tr>
        <w:tc>
          <w:tcPr>
            <w:tcW w:type="dxa" w:w="2381"/>
            <w:shd w:val="clear" w:color="auto" w:fill="2C3E50"/>
          </w:tcPr>
          <w:p>
            <w:r>
              <w:rPr>
                <w:b/>
                <w:color w:val="FFFFFF"/>
                <w:sz w:val="20"/>
              </w:rPr>
            </w:r>
            <w:r>
              <w:rPr>
                <w:b/>
                <w:color w:val="FFFFFF"/>
                <w:sz w:val="20"/>
              </w:rPr>
              <w:t>Ítem del plan</w:t>
            </w:r>
          </w:p>
        </w:tc>
        <w:tc>
          <w:tcPr>
            <w:tcW w:type="dxa" w:w="1871"/>
            <w:shd w:val="clear" w:color="auto" w:fill="2C3E50"/>
          </w:tcPr>
          <w:p>
            <w:r>
              <w:rPr>
                <w:b/>
                <w:color w:val="FFFFFF"/>
                <w:sz w:val="20"/>
              </w:rPr>
            </w:r>
            <w:r>
              <w:rPr>
                <w:b/>
                <w:color w:val="FFFFFF"/>
                <w:sz w:val="20"/>
              </w:rPr>
              <w:t>Estado verificado</w:t>
            </w:r>
          </w:p>
        </w:tc>
        <w:tc>
          <w:tcPr>
            <w:tcW w:type="dxa" w:w="3402"/>
            <w:shd w:val="clear" w:color="auto" w:fill="2C3E50"/>
          </w:tcPr>
          <w:p>
            <w:r>
              <w:rPr>
                <w:b/>
                <w:color w:val="FFFFFF"/>
                <w:sz w:val="20"/>
              </w:rPr>
            </w:r>
            <w:r>
              <w:rPr>
                <w:b/>
                <w:color w:val="FFFFFF"/>
                <w:sz w:val="20"/>
              </w:rPr>
              <w:t>Observación</w:t>
            </w:r>
          </w:p>
        </w:tc>
      </w:tr>
      <w:tr>
        <w:tc>
          <w:tcPr>
            <w:tcW w:type="dxa" w:w="2381"/>
          </w:tcPr>
          <w:p>
            <w:r>
              <w:rPr>
                <w:sz w:val="18"/>
              </w:rPr>
              <w:t>Fase 1 — Logs de credenciales</w:t>
            </w:r>
          </w:p>
        </w:tc>
        <w:tc>
          <w:tcPr>
            <w:tcW w:type="dxa" w:w="1871"/>
          </w:tcPr>
          <w:p>
            <w:r>
              <w:rPr>
                <w:sz w:val="18"/>
              </w:rPr>
              <w:t>Implementada</w:t>
            </w:r>
          </w:p>
        </w:tc>
        <w:tc>
          <w:tcPr>
            <w:tcW w:type="dxa" w:w="3402"/>
          </w:tcPr>
          <w:p>
            <w:r>
              <w:rPr>
                <w:sz w:val="18"/>
              </w:rPr>
              <w:t>Contraseñas ya no se registran en consola. Token de login aún se registra sin guard en Login.tsx:43 (ver A04/A09).</w:t>
            </w:r>
          </w:p>
        </w:tc>
      </w:tr>
      <w:tr>
        <w:tc>
          <w:tcPr>
            <w:tcW w:type="dxa" w:w="2381"/>
          </w:tcPr>
          <w:p>
            <w:r>
              <w:rPr>
                <w:sz w:val="18"/>
              </w:rPr>
              <w:t>Fase 1 — esbuild.drop</w:t>
            </w:r>
          </w:p>
        </w:tc>
        <w:tc>
          <w:tcPr>
            <w:tcW w:type="dxa" w:w="1871"/>
          </w:tcPr>
          <w:p>
            <w:r>
              <w:rPr>
                <w:sz w:val="18"/>
              </w:rPr>
              <w:t>Implementada</w:t>
            </w:r>
          </w:p>
        </w:tc>
        <w:tc>
          <w:tcPr>
            <w:tcW w:type="dxa" w:w="3402"/>
          </w:tcPr>
          <w:p>
            <w:r>
              <w:rPr>
                <w:sz w:val="18"/>
              </w:rPr>
              <w:t>vite.config.ts elimina console/debugger en build de producción.</w:t>
            </w:r>
          </w:p>
        </w:tc>
      </w:tr>
      <w:tr>
        <w:tc>
          <w:tcPr>
            <w:tcW w:type="dxa" w:w="2381"/>
          </w:tcPr>
          <w:p>
            <w:r>
              <w:rPr>
                <w:sz w:val="18"/>
              </w:rPr>
              <w:t>Fase 1 — versiones exactas</w:t>
            </w:r>
          </w:p>
        </w:tc>
        <w:tc>
          <w:tcPr>
            <w:tcW w:type="dxa" w:w="1871"/>
          </w:tcPr>
          <w:p>
            <w:r>
              <w:rPr>
                <w:sz w:val="18"/>
              </w:rPr>
              <w:t>Implementada</w:t>
            </w:r>
          </w:p>
        </w:tc>
        <w:tc>
          <w:tcPr>
            <w:tcW w:type="dxa" w:w="3402"/>
          </w:tcPr>
          <w:p>
            <w:r>
              <w:rPr>
                <w:sz w:val="18"/>
              </w:rPr>
              <w:t>package.json ya no usa "latest" en ninguna dependencia.</w:t>
            </w:r>
          </w:p>
        </w:tc>
      </w:tr>
      <w:tr>
        <w:tc>
          <w:tcPr>
            <w:tcW w:type="dxa" w:w="2381"/>
          </w:tcPr>
          <w:p>
            <w:r>
              <w:rPr>
                <w:sz w:val="18"/>
              </w:rPr>
              <w:t>Fase 2 — reemplazo de xlsx</w:t>
            </w:r>
          </w:p>
        </w:tc>
        <w:tc>
          <w:tcPr>
            <w:tcW w:type="dxa" w:w="1871"/>
          </w:tcPr>
          <w:p>
            <w:r>
              <w:rPr>
                <w:sz w:val="18"/>
              </w:rPr>
              <w:t>Implementada</w:t>
            </w:r>
          </w:p>
        </w:tc>
        <w:tc>
          <w:tcPr>
            <w:tcW w:type="dxa" w:w="3402"/>
          </w:tcPr>
          <w:p>
            <w:r>
              <w:rPr>
                <w:sz w:val="18"/>
              </w:rPr>
              <w:t>npm audit pasa de 2 HIGH a 0 vulnerabilidades; xlsx ahora vía CDN oficial de SheetJS con hash de integridad en el lockfile.</w:t>
            </w:r>
          </w:p>
        </w:tc>
      </w:tr>
      <w:tr>
        <w:tc>
          <w:tcPr>
            <w:tcW w:type="dxa" w:w="2381"/>
          </w:tcPr>
          <w:p>
            <w:r>
              <w:rPr>
                <w:sz w:val="18"/>
              </w:rPr>
              <w:t>Fase 3 — RequireRole/RequirePermission centralizados</w:t>
            </w:r>
          </w:p>
        </w:tc>
        <w:tc>
          <w:tcPr>
            <w:tcW w:type="dxa" w:w="1871"/>
          </w:tcPr>
          <w:p>
            <w:r>
              <w:rPr>
                <w:sz w:val="18"/>
              </w:rPr>
              <w:t>Implementada</w:t>
            </w:r>
          </w:p>
        </w:tc>
        <w:tc>
          <w:tcPr>
            <w:tcW w:type="dxa" w:w="3402"/>
          </w:tcPr>
          <w:p>
            <w:r>
              <w:rPr>
                <w:sz w:val="18"/>
              </w:rPr>
              <w:t>Todas las rutas administrativas identificadas en la revisión anterior tienen guard a nivel de ruta; chequeos duplicados por componente, removidos.</w:t>
            </w:r>
          </w:p>
        </w:tc>
      </w:tr>
      <w:tr>
        <w:tc>
          <w:tcPr>
            <w:tcW w:type="dxa" w:w="2381"/>
          </w:tcPr>
          <w:p>
            <w:r>
              <w:rPr>
                <w:sz w:val="18"/>
              </w:rPr>
              <w:t>Fase 4 — política de contraseñas</w:t>
            </w:r>
          </w:p>
        </w:tc>
        <w:tc>
          <w:tcPr>
            <w:tcW w:type="dxa" w:w="1871"/>
          </w:tcPr>
          <w:p>
            <w:r>
              <w:rPr>
                <w:sz w:val="18"/>
              </w:rPr>
              <w:t>Implementada</w:t>
            </w:r>
          </w:p>
        </w:tc>
        <w:tc>
          <w:tcPr>
            <w:tcW w:type="dxa" w:w="3402"/>
          </w:tcPr>
          <w:p>
            <w:r>
              <w:rPr>
                <w:sz w:val="18"/>
              </w:rPr>
              <w:t>Mínimo 10 caracteres + complejidad, aplicado en registro, cambio y reseteo.</w:t>
            </w:r>
          </w:p>
        </w:tc>
      </w:tr>
      <w:tr>
        <w:tc>
          <w:tcPr>
            <w:tcW w:type="dxa" w:w="2381"/>
          </w:tcPr>
          <w:p>
            <w:r>
              <w:rPr>
                <w:sz w:val="18"/>
              </w:rPr>
              <w:t>Fase 4 — documentar trade-off de localStorage</w:t>
            </w:r>
          </w:p>
        </w:tc>
        <w:tc>
          <w:tcPr>
            <w:tcW w:type="dxa" w:w="1871"/>
          </w:tcPr>
          <w:p>
            <w:r>
              <w:rPr>
                <w:sz w:val="18"/>
              </w:rPr>
              <w:t>Implementada</w:t>
            </w:r>
          </w:p>
        </w:tc>
        <w:tc>
          <w:tcPr>
            <w:tcW w:type="dxa" w:w="3402"/>
          </w:tcPr>
          <w:p>
            <w:r>
              <w:rPr>
                <w:sz w:val="18"/>
              </w:rPr>
              <w:t>CLAUDE.md documenta que tokenExpiry/roles en localStorage son solo UX.</w:t>
            </w:r>
          </w:p>
        </w:tc>
      </w:tr>
      <w:tr>
        <w:tc>
          <w:tcPr>
            <w:tcW w:type="dxa" w:w="2381"/>
          </w:tcPr>
          <w:p>
            <w:r>
              <w:rPr>
                <w:sz w:val="18"/>
              </w:rPr>
              <w:t>Fase 5 — CSP básica</w:t>
            </w:r>
          </w:p>
        </w:tc>
        <w:tc>
          <w:tcPr>
            <w:tcW w:type="dxa" w:w="1871"/>
          </w:tcPr>
          <w:p>
            <w:r>
              <w:rPr>
                <w:sz w:val="18"/>
              </w:rPr>
              <w:t>Implementada</w:t>
            </w:r>
          </w:p>
        </w:tc>
        <w:tc>
          <w:tcPr>
            <w:tcW w:type="dxa" w:w="3402"/>
          </w:tcPr>
          <w:p>
            <w:r>
              <w:rPr>
                <w:sz w:val="18"/>
              </w:rPr>
              <w:t>Meta CSP agregada en index.html.</w:t>
            </w:r>
          </w:p>
        </w:tc>
      </w:tr>
      <w:tr>
        <w:tc>
          <w:tcPr>
            <w:tcW w:type="dxa" w:w="2381"/>
          </w:tcPr>
          <w:p>
            <w:r>
              <w:rPr>
                <w:sz w:val="18"/>
              </w:rPr>
              <w:t>Fase 5 — .env versionados</w:t>
            </w:r>
          </w:p>
        </w:tc>
        <w:tc>
          <w:tcPr>
            <w:tcW w:type="dxa" w:w="1871"/>
          </w:tcPr>
          <w:p>
            <w:r>
              <w:rPr>
                <w:sz w:val="18"/>
              </w:rPr>
              <w:t>Sin cambio (opción mínima)</w:t>
            </w:r>
          </w:p>
        </w:tc>
        <w:tc>
          <w:tcPr>
            <w:tcW w:type="dxa" w:w="3402"/>
          </w:tcPr>
          <w:p>
            <w:r>
              <w:rPr>
                <w:sz w:val="18"/>
              </w:rPr>
              <w:t>.env y .env.production siguen en git; se optó por dejarlos así (sin secretos) en vez de moverlos fuera del control de versiones.</w:t>
            </w:r>
          </w:p>
        </w:tc>
      </w:tr>
    </w:tbl>
    <w:p>
      <w:r>
        <w:br w:type="page"/>
      </w:r>
    </w:p>
    <w:p>
      <w:pPr>
        <w:pStyle w:val="Heading1"/>
      </w:pPr>
      <w:r>
        <w:rPr>
          <w:color w:val="1B2A38"/>
        </w:rPr>
        <w:t>6. Limitaciones de esta revisión</w:t>
      </w:r>
    </w:p>
    <w:p>
      <w:pPr>
        <w:pStyle w:val="ListBullet"/>
        <w:spacing w:after="60"/>
      </w:pPr>
      <w:r>
        <w:rPr>
          <w:sz w:val="20"/>
        </w:rPr>
        <w:t>Alcance limitado al código fuente de este repositorio (SPA React/Vite). No hubo acceso al backend (API OData / Security API), a la configuración del servidor/CDN de despliegue, ni al pipeline CI/CD.</w:t>
      </w:r>
    </w:p>
    <w:p>
      <w:pPr>
        <w:pStyle w:val="ListBullet"/>
        <w:spacing w:after="60"/>
      </w:pPr>
      <w:r>
        <w:rPr>
          <w:sz w:val="20"/>
        </w:rPr>
        <w:t>No se realizaron pruebas dinámicas (pentesting, DAST) ni se ejecutó la aplicación contra un backend real; toda la evidencia proviene de lectura estática de código, npm audit y configuración.</w:t>
      </w:r>
    </w:p>
    <w:p>
      <w:pPr>
        <w:pStyle w:val="ListBullet"/>
        <w:spacing w:after="60"/>
      </w:pPr>
      <w:r>
        <w:rPr>
          <w:sz w:val="20"/>
        </w:rPr>
        <w:t>Las categorías cuyo control real depende del backend o de la infraestructura de despliegue (revalidación de rol/permiso por endpoint, rate limiting de login, cabeceras HTTP del servidor, integridad del pipeline CI/CD, contenido exacto de los payloads de error del backend) se marcan explícitamente como no verificables desde este repositorio, no como resueltas ni como ausentes.</w:t>
      </w:r>
    </w:p>
    <w:p>
      <w:pPr>
        <w:pStyle w:val="ListBullet"/>
        <w:spacing w:after="60"/>
      </w:pPr>
      <w:r>
        <w:rPr>
          <w:sz w:val="20"/>
        </w:rPr>
        <w:t>Este informe no incluye pasos de mitigación ni recomendaciones, por instrucción explícita.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