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w:body>
    <w:p>
      <w:pPr><w:pStyle w:val="Title"/><w:jc w:val="center"/></w:pPr>
      <w:r><w:t>PREPFORD</w:t></w:r>
    </w:p>
    <w:p>
      <w:pPr><w:pStyle w:val="Subtitle"/><w:jc w:val="center"/></w:pPr>
      <w:r><w:t>Project Progress &amp; Accomplishments Report</w:t></w:r>
    </w:p>
    <w:p>
      <w:pPr><w:jc w:val="center"/><w:spacing w:after="360"/></w:pPr>
      <w:r><w:rPr><w:b/><w:color w:val="142B4A"/></w:rPr><w:t>Product: </w:t></w:r>
      <w:r><w:t>PrepFord — NCLEX-RN &amp; NCLEX-PN Preparation Platform  |  </w:t></w:r>
      <w:r><w:rPr><w:b/><w:color w:val="142B4A"/></w:rPr><w:t>Reporting Date: </w:t></w:r>
      <w:r><w:t>30 October 2026</w:t></w:r>
    </w:p>

    <w:p>
      <w:pPr>
        <w:pBdr><w:left w:val="single" w:sz="24" w:space="12" w:color="0D9488"/></w:pBdr>
        <w:shd w:val="clear" w:color="auto" w:fill="F8FAFC"/>
        <w:spacing w:before="120" w:after="240"/>
      </w:pPr>
      <w:r><w:rPr><w:b/><w:color w:val="142B4A"/></w:rPr><w:t>Executive Summary &amp; Classification: </w:t></w:r>
      <w:r><w:t>This report delivers a rigorous technical assessment of the PrepFord clinical nursing preparation platform. Major developments include the complete migration to an ASP.NET Core 8 Web API + PostgreSQL architecture, Next.js 16 (App Router) BFF with mutual HMAC signing, full-screen clinical authentication UI/UX, and comprehensive NGN CJMM examination foundations.</w:t></w:r>
    </w:p>

    <w:p><w:pPr><w:pStyle w:val="Heading1"/></w:pPr><w:r><w:t>02. Executive Summary</w:t></w:r></w:p>
    <w:p><w:r><w:t>During the current development cycle, PrepFord achieved critical engineering milestones that establish a modern, scalable, and resilient clinical preparation platform. Prototype implementations built on NestJS and Prisma were decommissioned in favor of an enterprise-grade ASP.NET Core 8 Web API coupled with PostgreSQL 16. Local SQLite files have been completely eliminated under a strict Zero-SQLite runtime policy.</w:t></w:r></w:p>
    <w:p><w:r><w:t>The platform implements a Next.js Backend-for-Frontend (BFF) proxy architecture with mutual HMAC-SHA256 cryptographic request signing, secure PBKDF2 credential hashing, HttpOnly session cookies, and a granular 7-tier Role-Based Access Control (RBAC) hierarchy. With 109 backend tests and 324 frontend tests passing in development test suites, the foundation is established for upcoming staging deployment and Super Admin bootstrap execution.</w:t></w:r></w:p>

    <w:p><w:pPr><w:pStyle w:val="Heading1"/></w:pPr><w:r><w:t>03. Project Overview &amp; Objectives</w:t></w:r></w:p>
    <w:p><w:r><w:t>PrepFord is purpose-built to prepare candidates for the Next Generation NCLEX examinations (NCLEX-RN and NCLEX-PN). The core platform objectives comprise:</w:t></w:r></w:p>
    <w:p><w:r><w:rPr><w:b/><w:color w:val="0D9488"/></w:rPr><w:t>1. Clinical Judgment Measurement Model (CJMM) Alignment: </w:t></w:r><w:r><w:t>Native cognitive scaffolding reflecting all 6 NCSBN layers: Recognize Cues, Analyze Cues, Prioritize Hypotheses, Generate Solutions, Take Actions, and Evaluate Outcomes.</w:t></w:r></w:p>
    <w:p><w:r><w:rPr><w:b/><w:color w:val="0D9488"/></w:rPr><w:t>2. Dual-Pathway Curriculum Segmentation: </w:t></w:r><w:r><w:t>Independent tracks for NCLEX-RN (comprehensive assessment, complex prioritization, nursing judgment) and NCLEX-PN (focused assessment, routine care, practical delegation).</w:t></w:r></w:p>
    <w:p><w:r><w:rPr><w:b/><w:color w:val="0D9488"/></w:rPr><w:t>3. Enterprise Security &amp; Data Governance: </w:t></w:r><w:r><w:t>Multi-role authorization, immutable audit logging, session revocation, and zero unauthenticated data leaks.</w:t></w:r></w:p>
    <w:p><w:r><w:rPr><w:b/><w:color w:val="0D9488"/></w:rPr><w:t>4. Transparent Readiness Telemetry: </w:t></w:r><w:r><w:t>Evidence-based competency analytics and spaced-repetition schedules, strictly avoiding unscientific commercial pass guarantees.</w:t></w:r></w:p>

    <w:p><w:pPr><w:pStyle w:val="Heading1"/></w:pPr><w:r><w:t>04. Technology Architecture</w:t></w:r></w:p>
    <w:p><w:r><w:t>PrepFord features a decoupled, multi-tiered enterprise architecture:</w:t></w:r></w:p>
    <w:p><w:r><w:rPr><w:b/></w:rPr><w:t>&bull; Presentation &amp; BFF Layer: </w:t></w:r><w:r><w:t>Next.js 16 (App Router), React 19, TypeScript 5, Tailwind CSS, and shadcn/ui. Dedicated Next.js API route handlers act as a reverse-proxy barrier, enforcing cookie session handling without exposing backend ports.</w:t></w:r></w:p>
    <w:p><w:r><w:rPr><w:b/></w:rPr><w:t>&bull; Core Application Service Layer: </w:t></w:r><w:r><w:t>ASP.NET Core 8 Web API (C#), Entity Framework Core 8 (Npgsql), Clean Architecture pattern with Controllers, Domain Services, and Repositories. Features HMAC-SHA256 mutual request validation, rate limiting, and exception middleware.</w:t></w:r></w:p>
    <w:p><w:r><w:rPr><w:b/></w:rPr><w:t>&bull; Data Persistence Layer: </w:t></w:r><w:r><w:t>PostgreSQL 16 relational database with 27 production tables, foreign key constraints, ACID compliance, and dedicated audit log structures.</w:t></w:r></w:p>

    <w:p><w:pPr><w:pStyle w:val="Heading1"/></w:pPr><w:r><w:t>05. Major Development Accomplishments</w:t></w:r></w:p>
    <w:p><w:r><w:t>The platform completed several foundational milestones:</w:t></w:r></w:p>
    <w:p><w:r><w:rPr><w:b/><w:color w:val="142B4A"/></w:rPr><w:t>&bull; ASP.NET Core 8 API Migration: </w:t></w:r><w:r><w:t>Consolidated all domain logic, auth workflows, and assessment models into strongly typed C# services. [Implemented / Reported]</w:t></w:r></w:p>
    <w:p><w:r><w:rPr><w:b/><w:color w:val="142B4A"/></w:rPr><w:t>&bull; Zero-SQLite Policy: </w:t></w:r><w:r><w:t>Completely eliminated local SQLite file dependencies in favor of unified PostgreSQL containers. [Implemented / Reported]</w:t></w:r></w:p>
    <w:p><w:r><w:rPr><w:b/><w:color w:val="142B4A"/></w:rPr><w:t>&bull; BFF Authentication Routing: </w:t></w:r><w:r><w:t>Deployed Next.js API routes (/api/auth/*) forwarding requests to backend endpoints with mutual HMAC signing. [Implemented / Reported]</w:t></w:r></w:p>
    <w:p><w:r><w:rPr><w:b/><w:color w:val="142B4A"/></w:rPr><w:t>&bull; 7 Clinical Study Domains: </w:t></w:r><w:r><w:t>Cardiovascular, Respiratory, Neuro, Pharmacology, Pediatrics, Maternal-Newborn, and Mental Health curriculum modules indexed in database. [Implemented / Reported]</w:t></w:r></w:p>
    <w:p><w:r><w:rPr><w:b/><w:color w:val="142B4A"/></w:rPr><w:t>&bull; Multi-Role Deterministic Resolver: </w:t></w:r><w:r><w:t>Synchronized role resolution algorithm implemented on frontend and backend, validated by 37 unit test cases. [Implemented / Reported]</w:t></w:r></w:p>

    <w:p><w:pPr><w:pStyle w:val="Heading1"/></w:pPr><w:r><w:t>06. Authentication &amp; Security Foundation</w:t></w:r></w:p>
    <w:p><w:r><w:t>PrepFord implements a defense-in-depth posture: BFF isolation ensures direct database connections are inaccessible from client browsers. HMAC-SHA256 signature headers prevent request tampering and enforce a 300-second maximum clock skew. Credentials are protected using PBKDF2 with HMAC-SHA512 (100,000 iterations, 32-byte salt). Sessions use HttpOnly, Secure, SameSite=Strict cookies. Raw HTTP errors (400, 401, 403, 404, 409, 422, 429, 500, 502/503) are normalized into clear, actionable user messages.</w:t></w:r></w:p>

    <w:p><w:pPr><w:pStyle w:val="Heading1"/></w:pPr><w:r><w:t>07. Role-Based Access Control (RBAC) &amp; Hierarchy</w:t></w:r></w:p>
    <w:p><w:r><w:t>The platform enforces a strict 7-tier role hierarchy:</w:t></w:r></w:p>
    <w:p><w:r><w:rPr><w:b/><w:color w:val="142B4A"/></w:rPr><w:t>Super Admin (Tier 1) &rarr; Administrator (Tier 2) &rarr; Exam Manager (Tier 3) &rarr; Content Manager (Tier 4) &rarr; Reviewer (Tier 5) &rarr; Instructor (Tier 6) &rarr; Candidate (Tier 7)</w:t></w:r></w:p>
    <w:p><w:r><w:t>A centralized role resolver algorithm guarantees that users with multiple assigned roles always resolve deterministically to their highest privilege level. This behavior is covered by 37 automated test scenarios.</w:t></w:r></w:p>

    <w:p><w:pPr><w:pStyle w:val="Heading1"/></w:pPr><w:r><w:t>08. Learning &amp; Examination Platform Foundations</w:t></w:r></w:p>
    <w:p><w:r><w:t>The assessment engine supports complex Next Generation NCLEX question formats: Extended Multiple Response, Extended Drag-and-Drop, Matrix/Grid, Drop-Down Cloze, Highlight/Hotspot, and Bowtie items. Polytomous scoring with partial credit and +/- rules (with floor at zero) ensures realistic examination conditions.</w:t></w:r></w:p>

    <w:p><w:pPr><w:pStyle w:val="Heading1"/></w:pPr><w:r><w:t>09. Administrative Management</w:t></w:r></w:p>
    <w:p><w:r><w:t>Administrative tools feature a synchronized role catalogue, immutable PostgreSQL audit logging for all privilege changes and system actions, and emergency one-click session invalidation capabilities.</w:t></w:r></w:p>

    <w:p><w:pPr><w:pStyle w:val="Heading1"/></w:pPr><w:r><w:t>10. UI/UX Transformation</w:t></w:r></w:p>
    <w:p><w:r><w:t>The authentication experience was redesigned into full-screen, standalone viewports free from global navigation chrome. Desktop view utilizes a two-column layout: left brand storytelling panel with animated normal sinus rhythm ECG pulse line, and right panel with accessible, high-contrast form controls complying with WCAG 2.1 AA standards.</w:t></w:r></w:p>

    <w:p><w:pPr><w:pStyle w:val="Heading1"/></w:pPr><w:r><w:t>11. Quality Assurance &amp; Reported Test Results</w:t></w:r></w:p>
    <w:p><w:r><w:t>Reported Test Metrics (Executed by Implementation Agent during Development):</w:t></w:r></w:p>
    <w:p><w:r><w:rPr><w:b/><w:color w:val="0D9488"/></w:rPr><w:t>&bull; 109 Backend Tests Passed </w:t></w:r><w:r><w:t>(xUnit / Moq API test suite)</w:t></w:r></w:p>
    <w:p><w:r><w:rPr><w:b/><w:color w:val="0D9488"/></w:rPr><w:t>&bull; 324 Frontend Tests Passed </w:t></w:r><w:r><w:t>(Vitest suite across 41 test files)</w:t></w:r></w:p>
    <w:p><w:r><w:rPr><w:b/><w:color w:val="0D9488"/></w:rPr><w:t>&bull; 0 TypeScript Compiler Errors </w:t></w:r><w:r><w:t>(Clean workspace compile)</w:t></w:r></w:p>
    <w:p><w:r><w:rPr><w:b/><w:color w:val="0D9488"/></w:rPr><w:t>&bull; 37 Role-Resolution Tests Passed </w:t></w:r><w:r><w:t>(Deterministic matrix)</w:t></w:r></w:p>
    <w:p><w:r><w:rPr><w:b/><w:color w:val="0D9488"/></w:rPr><w:t>&bull; 3 DB Connection String Tests Passed </w:t></w:r><w:r><w:t>(Sanitizer verified)</w:t></w:r></w:p>
    <w:p><w:r><w:rPr><w:b/><w:color w:val="0D9488"/></w:rPr><w:t>&bull; 27 PostgreSQL Tables Verified </w:t></w:r><w:r><w:t>(Relational schema)</w:t></w:r></w:p>
    <w:p><w:r><w:rPr><w:b/><w:color w:val="0D9488"/></w:rPr><w:t>&bull; 7 Canonical Catalogue Roles Synchronized</w:t></w:r></w:p>
    <w:p><w:pPr><w:pBdr><w:left w:val="single" w:sz="18" w:space="8" w:color="F59E0B"/></w:pBdr><w:shd w:val="clear" w:color="auto" w:fill="FFFBEB"/></w:pPr><w:r><w:rPr><w:b/><w:color w:val="92400E"/></w:rPr><w:t>Notice: </w:t></w:r><w:r><w:t>All figures represent implementation-agent-reported test results. Formal independent reverification by dedicated QA engineers is scheduled as a prerequisite for staging gate sign-off.</w:t></w:r></w:p>

    <w:p><w:pPr><w:pStyle w:val="Heading1"/></w:pPr><w:r><w:t>12. Recent Technical Corrections &amp; Outstanding Issues</w:t></w:r></w:p>
    <w:p><w:r><w:t>Resolved: (1) Standardized /manifest.webmanifest handler to eliminate PWA manifest 500 error; (2) Harmonized frontend /api/auth/login route to proxy directly to backend /api/v1/auth/login on port 5000, resolving 404 port collisions; (3) Corrected connection string parser to handle query parameters (?schema=public) gracefully.</w:t></w:r></w:p>
    <w:p><w:r><w:t>Outstanding Under Observation: Local dev cold-start proxy latency and Turbopack cache staleness in local dev environments.</w:t></w:r></w:p>

    <w:p><w:pPr><w:pStyle w:val="Heading1"/></w:pPr><w:r><w:t>13. Super Admin Provisioning Status</w:t></w:r></w:p>
    <w:p><w:pPr><w:pBdr><w:left w:val="single" w:sz="18" w:space="8" w:color="0D9488"/></w:pBdr><w:shd w:val="clear" w:color="auto" w:fill="F0FDFA"/></w:pPr><w:r><w:rPr><w:b/><w:color w:val="142B4A"/></w:rPr><w:t>Status: </w:t></w:r><w:r><w:t>Audit Complete &amp; Bootstrap Scripts Staged — Account NOT Yet Confirmed as Provisioned in Production/Live DB. Seeding scripts (scripts/seed-superadmin.sql and C# bootstrap utilities) are staged awaiting one-time deployment execution with secret injection.</w:t></w:r></w:p>

    <w:p><w:pPr><w:pStyle w:val="Heading1"/></w:pPr><w:r><w:t>14. Immediate Development Priorities (Roadmap)</w:t></w:r></w:p>
    <w:p><w:r><w:rPr><w:b/></w:rPr><w:t>01. Super Admin Bootstrap Execution </w:t></w:r><w:r><w:rPr><w:color w:val="3730A3"/><w:b/></w:rPr><w:t>[Pending Verification]</w:t></w:r><w:r><w:t> — Execute staged script in staging database.</w:t></w:r></w:p>
    <w:p><w:r><w:rPr><w:b/></w:rPr><w:t>02. End-to-End Live Auth Verification </w:t></w:r><w:r><w:rPr><w:color w:val="92400E"/><w:b/></w:rPr><w:t>[In Progress]</w:t></w:r><w:r><w:t> — Validate live cookie lifecycle through reverse proxy.</w:t></w:r></w:p>
    <w:p><w:r><w:rPr><w:b/></w:rPr><w:t>03. Clinical Case Study Multi-Tab Interface </w:t></w:r><w:r><w:rPr><w:color w:val="92400E"/><w:b/></w:rPr><w:t>[In Progress]</w:t></w:r><w:r><w:t> — Finalize patient chart interface.</w:t></w:r></w:p>
    <w:p><w:r><w:rPr><w:b/></w:rPr><w:t>04. 7 Clinical Domain Content Population </w:t></w:r><w:r><w:rPr><w:color w:val="166534"/><w:b/></w:rPr><w:t>[Implemented / Reported]</w:t></w:r><w:r><w:t> — Core curriculum indexed in database.</w:t></w:r></w:p>
    <w:p><w:r><w:rPr><w:b/></w:rPr><w:t>05. Staging CI/CD Pipeline Automation </w:t></w:r><w:r><w:rPr><w:color w:val="3730A3"/><w:b/></w:rPr><w:t>[Pending Verification]</w:t></w:r><w:r><w:t> — Automate backend/frontend suites on PRs.</w:t></w:r></w:p>
    <w:p><w:r><w:rPr><w:b/></w:rPr><w:t>06. RBAC Client/Server Role Resolver </w:t></w:r><w:r><w:rPr><w:color w:val="166534"/><w:b/></w:rPr><w:t>[Implemented / Reported]</w:t></w:r><w:r><w:t> — Validated across 37 unit tests.</w:t></w:r></w:p>
    <w:p><w:r><w:rPr><w:b/></w:rPr><w:t>07. WCAG 2.1 AA Accessibility Audit </w:t></w:r><w:r><w:rPr><w:color w:val="92400E"/><w:b/></w:rPr><w:t>[In Progress]</w:t></w:r><w:r><w:t> — Automated and screen-reader accessibility audit.</w:t></w:r></w:p>
    <w:p><w:r><w:rPr><w:b/></w:rPr><w:t>08. PostgreSQL Concurrency Telemetry </w:t></w:r><w:r><w:rPr><w:color w:val="3730A3"/><w:b/></w:rPr><w:t>[Pending Verification]</w:t></w:r><w:r><w:t> — Concurrent submission latency testing.</w:t></w:r></w:p>

    <w:p><w:pPr><w:pStyle w:val="Heading1"/></w:pPr><w:r><w:t>15. Overall Project Assessment &amp; Conclusion</w:t></w:r></w:p>
    <w:p><w:r><w:t>PrepFord has achieved a critical engineering inflection point, successfully transitioning from early experimental prototypes into a technologically mature, secure, and resilient clinical preparation platform. The unified architecture of ASP.NET Core 8 Web API, PostgreSQL 16, and Next.js 16 establishes high stability, strong type safety, and enterprise governance. The immediate operational path is clear: finalize staging deployment, execute Super Admin bootstrapping, and proceed with end-to-end integration validation.</w:t></w:r></w:p>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E2E8F0"/>
      </w:pBdr>
      <w:tabs>
        <w:tab w:val="right" w:pos="9072"/>
      </w:tabs>
    </w:pPr>
    <w:r>
      <w:rPr>
        <w:rFonts w:ascii="Segoe UI"/>
        <w:color w:val="64748B"/>
        <w:sz w:val="18"/>
      </w:rPr>
      <w:t>PrepFord NCLEX-RN &amp; NCLEX-PN Platform | Confidential</w:t>
    </w:r>
    <w:r>
      <w:tab/>
    </w:r>
    <w:r>
      <w:rPr>
        <w:rFonts w:ascii="Segoe UI"/>
        <w:color w:val="64748B"/>
        <w:sz w:val="18"/>
      </w:rPr>
      <w:t>Page </w:t>
    </w:r>
    <w:fldSimple w:instr="PAGE"/>
    <w:r>
      <w:rPr>
        <w:rFonts w:ascii="Segoe UI"/>
        <w:color w:val="64748B"/>
        <w:sz w:val="18"/>
      </w:rPr>
      <w:t> of </w:t>
    </w:r>
    <w:fldSimple w:instr="NUMPAGES"/>
  </w:p>
</w:ftr>
</file>

<file path=word/header1.xml><?xml version="1.0" encoding="utf-8"?>
<w:hdr xmlns:w="http://schemas.openxmlformats.org/wordprocessingml/2006/main">
  <w:p>
    <w:pPr>
      <w:jc w:val="right"/>
      <w:pBdr>
        <w:bottom w:val="single" w:sz="6" w:space="4" w:color="E2E8F0"/>
      </w:pBdr>
    </w:pPr>
    <w:r>
      <w:rPr>
        <w:rFonts w:ascii="Segoe UI"/>
        <w:color w:val="64748B"/>
        <w:sz w:val="18"/>
      </w:rPr>
      <w:t>PREPFORD — PROJECT PROGRESS &amp; ACCOMPLISHMENTS REPORT (30 OCT 2026)</w:t>
    </w:r>
  </w:p>
</w:hdr>
</file>

<file path=word/styles.xml><?xml version="1.0" encoding="utf-8"?>
<w:styles xmlns:w="http://schemas.openxmlformats.org/wordprocessingml/2006/main">
  <w:docDefaults>
    <w:rPrDefault>
      <w:rPr>
        <w:rFonts w:ascii="Segoe UI" w:hAnsi="Segoe UI" w:cs="Segoe UI"/>
        <w:color w:val="475569"/>
        <w:sz w:val="22"/>
        <w:szCs w:val="22"/>
      </w:rPr>
    </w:rPrDefault>
    <w:pPrDefault>
      <w:pPr>
        <w:spacing w:line="276" w:lineRule="auto" w:after="160"/>
      </w:pPr>
    </w:pPrDefault>
  </w:docDefaults>
  <w:style w:type="paragraph" w:styleId="Normal" w:default="1">
    <w:name w:val="Normal"/>
  </w:style>
  <w:style w:type="paragraph" w:styleId="Title">
    <w:name w:val="Title"/>
    <w:pPr>
      <w:spacing w:before="240" w:after="120"/>
    </w:pPr>
    <w:rPr>
      <w:rFonts w:ascii="Segoe UI" w:hAnsi="Segoe UI"/>
      <w:b/>
      <w:color w:val="142B4A"/>
      <w:sz w:val="56"/>
    </w:rPr>
  </w:style>
  <w:style w:type="paragraph" w:styleId="Subtitle">
    <w:name w:val="Subtitle"/>
    <w:pPr>
      <w:spacing w:after="240"/>
    </w:pPr>
    <w:rPr>
      <w:color w:val="0D9488"/>
      <w:sz w:val="28"/>
      <w:b/>
    </w:rPr>
  </w:style>
  <w:style w:type="paragraph" w:styleId="Heading1">
    <w:name w:val="heading 1"/>
    <w:pPr>
      <w:spacing w:before="360" w:after="140"/>
      <w:pBdr>
        <w:bottom w:val="single" w:sz="12" w:space="4" w:color="0D9488"/>
      </w:pBdr>
    </w:pPr>
    <w:rPr>
      <w:b/>
      <w:color w:val="142B4A"/>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image" Target="media/image1.png"/>
</Relationships>
</file>