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Supplementary material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Hospitalizations for ambulatory care sensitive conditions in Ecuador, 2000–2024. Henriquez-Trujillo MC, Bonilla E, Henriquez-Trujillo AR.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Tables S4–S8 are provided as spreadsheet files: S4 joinpoint regression of all series; S5 segmented regression by ACSC group; S6 sensitivity analyses; S7 annual provincial age-standardized rates with 95% confidence intervals for 2000–2024; S8 annual indicators of geographic variation.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S1. ICD-10 codes of the 20 groups of ambulatory care sensitive conditions (ACSC), number of hospitalizations and age-standardized rates by period, Ecuador, 2000–2024.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700"/>
        <w:gridCol w:w="1300"/>
        <w:gridCol w:w="1100"/>
        <w:gridCol w:w="700"/>
        <w:gridCol w:w="820"/>
        <w:gridCol w:w="820"/>
        <w:gridCol w:w="820"/>
        <w:gridCol w:w="820"/>
      </w:tblGrid>
      <w:tr>
        <w:trPr>
          <w:tblHeader/>
        </w:trPr>
        <w:tc>
          <w:tcPr>
            <w:tcW w:type="dxa" w:w="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Group</w:t>
            </w:r>
          </w:p>
        </w:tc>
        <w:tc>
          <w:tcPr>
            <w:tcW w:type="dxa" w:w="2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Condition</w:t>
            </w:r>
          </w:p>
        </w:tc>
        <w:tc>
          <w:tcPr>
            <w:tcW w:type="dxa" w:w="2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ICD-10 codes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 2000–2024</w:t>
            </w:r>
          </w:p>
        </w:tc>
        <w:tc>
          <w:tcPr>
            <w:tcW w:type="dxa" w:w="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% of ACSC</w:t>
            </w:r>
          </w:p>
        </w:tc>
        <w:tc>
          <w:tcPr>
            <w:tcW w:type="dxa" w:w="8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ASR 2000–2007</w:t>
            </w:r>
          </w:p>
        </w:tc>
        <w:tc>
          <w:tcPr>
            <w:tcW w:type="dxa" w:w="8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ASR 2008–2014</w:t>
            </w:r>
          </w:p>
        </w:tc>
        <w:tc>
          <w:tcPr>
            <w:tcW w:type="dxa" w:w="8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ASR 2015–2019</w:t>
            </w:r>
          </w:p>
        </w:tc>
        <w:tc>
          <w:tcPr>
            <w:tcW w:type="dxa" w:w="8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ASR 2020–2024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Anemia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D50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Other acute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19,951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Angina pectoris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39,306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13.7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Asthma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J45-J46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70,906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Nutritional deficiencies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E40-E46, E50-E64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Other acute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27,745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3.6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Diabetes mellitus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E10-E14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357,721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100.8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138.4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108.5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83.4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Female pelvic inflammatory disease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N70-N73, N75-N76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Other acute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73,792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14.6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Cerebrovascular diseases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I63-I67, I69, G45-G46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174,416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55.8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59.4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51.4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45.6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Lower respiratory tract diseases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J20-J21, J40-J44, J47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214,413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49.6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70.0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64.7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Immunization-preventable diseases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A17.0, A19, A33-A37, A95, B05-B06, B16, B26, G00.0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Vaccine-preventable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11,135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Conditions related to prenatal and childbirth care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A50, O23, P35.0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Infectious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253,630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42.3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69.0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83.7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67.7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Epilepsy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G40-G41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Other acute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80,692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25.6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Infectious gastroenteritis and complications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A00-A09, E86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Infectious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990,268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304.3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290.3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204.1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128.8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Hypertension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I10-I11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178,021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71.7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73.3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41.8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Ear, nose and throat infections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H66, J00-J03, J06, J31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Infectious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103,681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19.9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Skin and subcutaneous tissue infections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A46, L01-L04, L08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Infectious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230,020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45.8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62.6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71.9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60.9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Kidney and urinary tract infections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N10-N12, N30, N34, N39.0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Infectious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453,185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94.0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142.4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145.3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107.5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Heart failure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I50, J81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Chronic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120,795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45.3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41.5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32.1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28.5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Bacterial pneumonia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J13-J14, J15.3-J15.4, J15.8-J15.9, J18.1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Vaccine-preventable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125,140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15.1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53.8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Gastrointestinal ulcer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K25-K28, K92.0-K92.2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Other acute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161,981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4.3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50.6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46.7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47.4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Other avoidable conditions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A15-A16, A17.1-A17.9, A18, A51-A53, B50-B54, B77, I00-I02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Vaccine-preventable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105,762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2.8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64.6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20.2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13.9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12.0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sz w:val="16"/>
          <w:szCs w:val="16"/>
        </w:rPr>
        <w:t xml:space="preserve">Main diagnosis only. Three-character items include all subcategories; four-character items do not include records coded only with the three-character category. ASR: age-standardized rate per 100,000, projected 2022 population of Ecuador as standard.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S2. Age-standardized ACSC hospitalization rates by province of residence and period, Ecuador, 2000–2024.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000"/>
        <w:gridCol w:w="1000"/>
        <w:gridCol w:w="1000"/>
        <w:gridCol w:w="1000"/>
        <w:gridCol w:w="1100"/>
        <w:gridCol w:w="2300"/>
        <w:gridCol w:w="700"/>
      </w:tblGrid>
      <w:tr>
        <w:tc>
          <w:tcPr>
            <w:tcW w:type="dxa" w:w="3500"/>
            <w:gridSpan w:val="2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  <w:tc>
          <w:tcPr>
            <w:tcW w:type="dxa" w:w="5100"/>
            <w:gridSpan w:val="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Age-standardized rate per 100,000</w:t>
            </w:r>
          </w:p>
        </w:tc>
        <w:tc>
          <w:tcPr>
            <w:tcW w:type="dxa" w:w="3000"/>
            <w:gridSpan w:val="2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/>
            </w:r>
          </w:p>
        </w:tc>
      </w:tr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Province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Region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2000–2007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2008–2014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2015–2019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2020–2024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2000–2024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APC 2011–2019, % (95%CI)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LISA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Morona Santiago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1,910.0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2,457.5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2,508.0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1,787.6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2,162.4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−1.4 (−3.9 to 1.3)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Pastaza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2,613.5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2,237.8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1,790.0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1,184.2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1,920.6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−1.5 (−3.5 to 0.5)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Napo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2,032.1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2,045.4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1,418.0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1,039.6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1,626.4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−4.8 (−7.9 to −1.5)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Zamora Chinchipe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1,332.1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1,694.5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1,757.3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1,549.2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1,571.8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2.1 (0.7 to 3.5)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Cañar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1,265.4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1,560.7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1,521.1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1,186.7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1,376.9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 (−1.9 to 1.9)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Galápagos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Galápagos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954.8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1,384.0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1,611.9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928.7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1,226.5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−0.1 (−3.6 to 3.6)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Oro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1,237.9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1,382.6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1,344.6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851.1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1,193.7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−1.7 (−4.7 to 1.4)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Azuay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1,189.8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1,268.8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1,106.1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882.4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1,121.4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−2.2 (−3.4 to −0.9)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Tungurahua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980.3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1,337.5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1,202.8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951.5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1,112.6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−2.6 (−4.8 to −0.3)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Los Ríos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1,314.5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1,276.3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1,134.8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717.9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1,108.2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−2.9 (−4.8 to −1.0)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Santo Domingo de los Tsáchilas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1,026.1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1,132.2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1,087.4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972.9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1,052.6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 (−2.5 to 3.1)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Chimborazo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948.1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1,176.5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1,184.5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870.2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1,038.8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−0.5 (−1.1 to 0.2)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Esmeraldas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1,267.6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1,082.2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948.2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790.4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1,023.3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0.4 (−3.1 to 4.1)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Manabí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1,001.8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1,274.7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950.9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795.3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1,011.4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−6.0 (−8.3 to −3.7)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Loja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887.5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1,217.4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1,064.9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853.4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1,008.0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−2.7 (−4.9 to −0.4)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Sucumbíos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890.3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1,066.8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1,247.1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756.5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987.5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0.5 (−4.0 to 5.2)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Cotopaxi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989.3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1,184.8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1,107.3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646.0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980.8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−2.0 (−3.6 to −0.3)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Santa Elena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774.6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1,070.4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1,217.9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752.0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948.5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−0.9 (−4.0 to 2.3)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Carchi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934.1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972.4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961.9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876.3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941.1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 (−1.9 to 2.0)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Imbabura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877.6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1,101.1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867.9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882.0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935.9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−3.0 (−5.0 to −0.9)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Pichincha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1,002.5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1,003.2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964.7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809.7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927.1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 (−0.8 to 1.0)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Guayas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Coast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1,001.1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1,067.0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893.7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649.4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906.9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−3.0 (−4.7 to −1.4)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Bolívar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Highlands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727.8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974.1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951.7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733.5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839.4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−1.4 (−2.3 to −0.5)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Orellana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726.3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1,018.3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837.0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625.7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800.3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−3.6 (−6.1 to −1.1)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</w:t>
            </w:r>
          </w:p>
        </w:tc>
      </w:tr>
      <w:tr>
        <w:tc>
          <w:tcPr>
            <w:tcW w:type="dxa" w:w="11600"/>
            <w:gridSpan w:val="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Geographic variation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Extremal quotient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2.86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2.70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Coefficient of variation, 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29.8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29.4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Systematic component of variation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13.4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12.8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11.1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Moran's I, contiguity (p)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0.08 (0.103)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0.26 (0.012)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0.24 (0.013)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0.30 (0.006)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0.24 (0.017)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Moran's I, 4 nearest (p)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0.02 (0.253)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0.13 (0.072)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0.10 (0.103)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0.08 (0.139)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0.09 (0.114)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sz w:val="16"/>
          <w:szCs w:val="16"/>
        </w:rPr>
        <w:t xml:space="preserve">Rates per 100,000 person-years. APC: annual percentage change 2011–2019 from a log-linear model. LISA: local Moran's I cluster for 2000–2024 at p &lt; 0.05, queen contiguity (HH high-high; LH low-high; NS not significant; – no neighbours). Moran's I with 999 permutations; Galápagos excluded from contiguity statistics.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S3. Five most frequent ACSC diagnoses by age group and sex, Ecuador, 2000–2024.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000"/>
        <w:gridCol w:w="1300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Rank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ICD-10</w:t>
            </w:r>
          </w:p>
        </w:tc>
        <w:tc>
          <w:tcPr>
            <w:tcW w:type="dxa" w:w="6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Diagnosis (INEC label)</w:t>
            </w:r>
          </w:p>
        </w:tc>
        <w:tc>
          <w:tcPr>
            <w:tcW w:type="dxa" w:w="1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% of ACSC in stratum</w:t>
            </w:r>
          </w:p>
        </w:tc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Crude rate per 100,000</w:t>
            </w:r>
          </w:p>
        </w:tc>
      </w:tr>
      <w:tr>
        <w:tc>
          <w:tcPr>
            <w:tcW w:type="dxa" w:w="1190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0-14 years, men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A09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Diarrea y gastroenteritis de presunto origen infeccioso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233,232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389.8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J20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Bronquitis aguda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33,397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55.8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J15.9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Neumonía bacteriana, no especificada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30,167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50.4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L02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Absceso cutáneo, furúnculo y ántrax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24,224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E86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Depleción del volumen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23,989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40.1</w:t>
            </w:r>
          </w:p>
        </w:tc>
      </w:tr>
      <w:tr>
        <w:tc>
          <w:tcPr>
            <w:tcW w:type="dxa" w:w="1190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0-14 years, women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A09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Diarrea y gastroenteritis de presunto origen infeccioso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193,703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34.6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337.4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N39.0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Infección de vías urinarias, sitio no especificado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60,633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10.8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105.6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J20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Bronquitis aguda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26,438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J15.9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Neumonía bacteriana, no especificada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26,154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45.6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E86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Depleción del volumen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21,466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37.4</w:t>
            </w:r>
          </w:p>
        </w:tc>
      </w:tr>
      <w:tr>
        <w:tc>
          <w:tcPr>
            <w:tcW w:type="dxa" w:w="1190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15-64 years, men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A09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Diarrea y gastroenteritis de presunto origen infeccioso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76,408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63.3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E11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Diabetes mellitus no insulinodependiente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46,446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38.5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K92.2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Hemorragia gastrointestinal, no especificada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36,426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E14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Diabetes mellitus, no especificada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32,485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26.9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I10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Hipertensión esencial (primaria)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30,596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25.4</w:t>
            </w:r>
          </w:p>
        </w:tc>
      </w:tr>
      <w:tr>
        <w:tc>
          <w:tcPr>
            <w:tcW w:type="dxa" w:w="1190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15-64 years, women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O23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Infección de las vías genitourinarias en el embarazo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245,249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21.9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N39.0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Infección de vías urinarias, sitio no especificado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126,655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11.3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103.4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A09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Diarrea y gastroenteritis de presunto origen infeccioso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100,706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82.2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E11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Diabetes mellitus no insulinodependiente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54,385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44.4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N12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Nefritis tubulointersticial, no especificada como aguda o crónica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54,134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44.2</w:t>
            </w:r>
          </w:p>
        </w:tc>
      </w:tr>
      <w:tr>
        <w:tc>
          <w:tcPr>
            <w:tcW w:type="dxa" w:w="1190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65+ years, men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I50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Insuficiencia cardíaca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39,422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353.5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J44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Otras enfermedades pulmonares obstructivas crónicas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33,438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299.9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I10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Hipertensión esencial (primaria)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31,590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283.3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K92.2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Hemorragia gastrointestinal, no especificada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30,652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274.9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E11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Diabetes mellitus no insulinodependiente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30,387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272.5</w:t>
            </w:r>
          </w:p>
        </w:tc>
      </w:tr>
      <w:tr>
        <w:tc>
          <w:tcPr>
            <w:tcW w:type="dxa" w:w="1190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65+ years, women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I10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Hipertensión esencial (primaria)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46,803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346.8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E11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Diabetes mellitus no insulinodependiente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46,282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9.6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343.0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N39.0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Infección de vías urinarias, sitio no especificado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42,057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311.7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I50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Insuficiencia cardíaca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39,770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294.7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A09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Diarrea y gastroenteritis de presunto origen infeccioso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34,254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7.1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20"/>
              <w:left w:type="dxa" w:w="50"/>
              <w:bottom w:type="dxa" w:w="20"/>
              <w:right w:type="dxa" w:w="5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253.8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sz w:val="16"/>
          <w:szCs w:val="16"/>
        </w:rPr>
        <w:t xml:space="preserve">Three-character ICD-10 categories, except where the ACSC list includes only one subcategory (J15.9, N39.0, K92.2). Diagnosis labels as published by INEC. Crude rates per 100,000 person-years.</w:t>
      </w:r>
    </w:p>
    <w:p>
      <w:pPr>
        <w:pageBreakBefore/>
        <w:jc w:val="center"/>
      </w:pPr>
      <w:r>
        <w:drawing>
          <wp:inline distT="0" distB="0" distL="0" distR="0">
            <wp:extent cx="85725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S1. Age-standardized ACSC hospitalization rates by condition category, Ecuador, 2000–2024.</w:t>
      </w:r>
      <w:r>
        <w:rPr>
          <w:rFonts w:ascii="Arial" w:cs="Arial" w:eastAsia="Arial" w:hAnsi="Arial"/>
          <w:sz w:val="20"/>
          <w:szCs w:val="20"/>
        </w:rPr>
        <w:t xml:space="preserve"> Points with 95% confidence intervals; lines show joinpoint models. Dotted line: 2008; dashed line: March 2020.</w:t>
      </w:r>
    </w:p>
    <w:p>
      <w:pPr>
        <w:pageBreakBefore/>
        <w:jc w:val="center"/>
      </w:pPr>
      <w:r>
        <w:drawing>
          <wp:inline distT="0" distB="0" distL="0" distR="0">
            <wp:extent cx="8572500" cy="1000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S2. Age-standardized hospitalization rates by ACSC group, Ecuador, 2000–2024.</w:t>
      </w:r>
      <w:r>
        <w:rPr>
          <w:rFonts w:ascii="Arial" w:cs="Arial" w:eastAsia="Arial" w:hAnsi="Arial"/>
          <w:sz w:val="20"/>
          <w:szCs w:val="20"/>
        </w:rPr>
        <w:t xml:space="preserve"> Points show annual rates and lines the joinpoint models; vertical scales differ.</w:t>
      </w:r>
    </w:p>
    <w:p>
      <w:pPr>
        <w:pageBreakBefore/>
        <w:jc w:val="center"/>
      </w:pPr>
      <w:r>
        <w:drawing>
          <wp:inline distT="0" distB="0" distL="0" distR="0">
            <wp:extent cx="8572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S3. Geographic variation in provincial ACSC hospitalization rates, Ecuador, 2000–2024.</w:t>
      </w:r>
      <w:r>
        <w:rPr>
          <w:rFonts w:ascii="Arial" w:cs="Arial" w:eastAsia="Arial" w:hAnsi="Arial"/>
          <w:sz w:val="20"/>
          <w:szCs w:val="20"/>
        </w:rPr>
        <w:t xml:space="preserve"> Annual coefficient of variation, global Moran's I (circled where p &lt; 0.05) and systematic component of variation.</w:t>
      </w:r>
    </w:p>
    <w:p>
      <w:pPr>
        <w:pageBreakBefore/>
        <w:jc w:val="center"/>
      </w:pPr>
      <w:r>
        <w:drawing>
          <wp:inline distT="0" distB="0" distL="0" distR="0">
            <wp:extent cx="85725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S4. Segmented regression of monthly hospitalizations around the 2008 health reform and the onset of the COVID-19 pandemic.</w:t>
      </w:r>
      <w:r>
        <w:rPr>
          <w:rFonts w:ascii="Arial" w:cs="Arial" w:eastAsia="Arial" w:hAnsi="Arial"/>
          <w:sz w:val="20"/>
          <w:szCs w:val="20"/>
        </w:rPr>
        <w:t xml:space="preserve"> A: ACSC, 2000–2019. B: ACSC as a percentage of hospitalizations excluding deliveries, 2000–2019. C: ACSC and D: non-ACSC hospitalizations, 2012–2024. Solid lines: deseasonalized fitted trend; dashed lines: projection without the interruption.</w:t>
      </w:r>
    </w:p>
    <w:p>
      <w:pPr>
        <w:pageBreakBefore/>
        <w:jc w:val="center"/>
      </w:pPr>
      <w:r>
        <w:drawing>
          <wp:inline distT="0" distB="0" distL="0" distR="0">
            <wp:extent cx="8572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S5. Age-specific ACSC hospitalization rates by sex and period, Ecuador, 2000–2024.</w:t>
      </w:r>
      <w:r>
        <w:rPr>
          <w:rFonts w:ascii="Arial" w:cs="Arial" w:eastAsia="Arial" w:hAnsi="Arial"/>
          <w:sz w:val="20"/>
          <w:szCs w:val="20"/>
        </w:rPr>
        <w:t xml:space="preserve"> Hospitalizations per 100,000 person-years, log scale.</w:t>
      </w:r>
    </w:p>
    <w:p>
      <w:pPr>
        <w:pageBreakBefore/>
        <w:jc w:val="center"/>
      </w:pPr>
      <w:r>
        <w:drawing>
          <wp:inline distT="0" distB="0" distL="0" distR="0">
            <wp:extent cx="8572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S6. Annual age-standardized ACSC hospitalization rates by province, Ecuador, 2000–2024.</w:t>
      </w:r>
      <w:r>
        <w:rPr>
          <w:rFonts w:ascii="Arial" w:cs="Arial" w:eastAsia="Arial" w:hAnsi="Arial"/>
          <w:sz w:val="20"/>
          <w:szCs w:val="20"/>
        </w:rPr>
        <w:t xml:space="preserve"> Provinces ordered by their rate for the whole period.</w:t>
      </w:r>
    </w:p>
    <w:p>
      <w:pPr>
        <w:pageBreakBefore/>
        <w:jc w:val="center"/>
      </w:pPr>
      <w:r>
        <w:drawing>
          <wp:inline distT="0" distB="0" distL="0" distR="0">
            <wp:extent cx="8572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Figure S7. Local spatial clusters of ACSC hospitalization rates by period, Ecuador, 2000–2024.</w:t>
      </w:r>
      <w:r>
        <w:rPr>
          <w:rFonts w:ascii="Arial" w:cs="Arial" w:eastAsia="Arial" w:hAnsi="Arial"/>
          <w:sz w:val="20"/>
          <w:szCs w:val="20"/>
        </w:rPr>
        <w:t xml:space="preserve"> Local Moran's I clusters at p &lt; 0.05, queen contiguity.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a746373f7b43b52a1c4950bb35ac5445cdb5ea.png"/><Relationship Id="rId8" Type="http://schemas.openxmlformats.org/officeDocument/2006/relationships/image" Target="media/8c4236b2dd05fd329c0bd518c188d0d07005098e.png"/><Relationship Id="rId9" Type="http://schemas.openxmlformats.org/officeDocument/2006/relationships/image" Target="media/9167085466a475de8778bd934dc2bbf045175547.png"/><Relationship Id="rId10" Type="http://schemas.openxmlformats.org/officeDocument/2006/relationships/image" Target="media/44e9ba1347888466e93a50c73da651d7520e3705.png"/><Relationship Id="rId11" Type="http://schemas.openxmlformats.org/officeDocument/2006/relationships/image" Target="media/2db1410c697c180ee4736ad0b0bfc86b6b842b84.png"/><Relationship Id="rId12" Type="http://schemas.openxmlformats.org/officeDocument/2006/relationships/image" Target="media/f1beb63a1c23b96f2687ab0025e1f38a06e7a087.png"/><Relationship Id="rId13" Type="http://schemas.openxmlformats.org/officeDocument/2006/relationships/image" Target="media/631226104e29ac9eccb234401c679944bca5ec6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2026-10-14T08:27:11.738Z</dcterms:created>
  <dcterms:modified xsi:type="dcterms:W3CDTF">2026-10-14T08:27:11.738Z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