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pPr>
      <w:r>
        <w:rPr>
          <w:rFonts w:ascii="Calibri" w:hAnsi="Calibri"/>
          <w:b/>
          <w:caps/>
          <w:color w:val="8A6D2F"/>
          <w:sz w:val="17"/>
        </w:rPr>
        <w:t>VECTOR EQUINE  ·  ARCHITECTURE REVIEW</w:t>
      </w:r>
    </w:p>
    <w:p>
      <w:pPr>
        <w:spacing w:after="0"/>
      </w:pPr>
      <w:r>
        <w:rPr>
          <w:rFonts w:ascii="Georgia" w:hAnsi="Georgia"/>
          <w:color w:val="0E1729"/>
          <w:sz w:val="52"/>
        </w:rPr>
        <w:t>Response to Platform Architecture</w:t>
      </w:r>
    </w:p>
    <w:p>
      <w:pPr>
        <w:spacing w:after="240"/>
        <w:pBdr>
          <w:bottom w:val="single" w:sz="8" w:space="10" w:color="D1A955"/>
        </w:pBdr>
      </w:pPr>
      <w:r>
        <w:rPr>
          <w:rFonts w:ascii="Georgia" w:hAnsi="Georgia"/>
          <w:i/>
          <w:color w:val="9A7526"/>
          <w:sz w:val="26"/>
        </w:rPr>
        <w:t>Nine findings, one contradiction, and the four questions that block implementation</w:t>
      </w:r>
    </w:p>
    <w:p>
      <w:pPr>
        <w:spacing w:after="180"/>
      </w:pPr>
      <w:r>
        <w:rPr>
          <w:rFonts w:ascii="Calibri" w:hAnsi="Calibri"/>
          <w:color w:val="3A4152"/>
          <w:sz w:val="21"/>
        </w:rPr>
        <w:t xml:space="preserve">Reviewing </w:t>
      </w:r>
      <w:r>
        <w:rPr>
          <w:rFonts w:ascii="Calibri" w:hAnsi="Calibri"/>
          <w:b/>
          <w:color w:val="1A2133"/>
          <w:sz w:val="21"/>
        </w:rPr>
        <w:t>Platform Architecture</w:t>
      </w:r>
      <w:r>
        <w:rPr>
          <w:rFonts w:ascii="Calibri" w:hAnsi="Calibri"/>
          <w:color w:val="3A4152"/>
          <w:sz w:val="21"/>
        </w:rPr>
        <w:t xml:space="preserve"> (three tiers, one session), August 2026, against the codebase as it stands on </w:t>
      </w:r>
      <w:r>
        <w:rPr>
          <w:rFonts w:ascii="Consolas" w:hAnsi="Consolas"/>
          <w:color w:val="9A7526"/>
          <w:sz w:val="18"/>
        </w:rPr>
        <w:t>main</w:t>
      </w:r>
      <w:r>
        <w:rPr>
          <w:rFonts w:ascii="Calibri" w:hAnsi="Calibri"/>
          <w:color w:val="3A4152"/>
          <w:sz w:val="21"/>
        </w:rPr>
        <w:t>. Every claim in the memo that could be checked against code has been checked; results are in section 2 with file and line references.</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752"/>
        <w:gridCol w:w="4752"/>
      </w:tblGrid>
      <w:tr>
        <w:trPr>
          <w:tblHeader/>
        </w:trPr>
        <w:tc>
          <w:tcPr>
            <w:tcW w:type="dxa" w:w="2520"/>
            <w:shd w:val="clear" w:color="auto" w:fill="0E1729"/>
            <w:tcMar>
              <w:top w:w="80" w:type="dxa"/>
              <w:left w:w="110" w:type="dxa"/>
              <w:bottom w:w="80" w:type="dxa"/>
              <w:right w:w="110" w:type="dxa"/>
            </w:tcMar>
          </w:tcPr>
          <w:p>
            <w:pPr>
              <w:spacing w:after="0"/>
            </w:pPr>
            <w:r>
              <w:rPr>
                <w:rFonts w:ascii="Calibri" w:hAnsi="Calibri"/>
                <w:b/>
                <w:caps/>
                <w:color w:val="FCF2E6"/>
                <w:sz w:val="16"/>
              </w:rPr>
              <w:t>Verdict</w:t>
            </w:r>
          </w:p>
        </w:tc>
        <w:tc>
          <w:tcPr>
            <w:tcW w:type="dxa" w:w="6984"/>
            <w:shd w:val="clear" w:color="auto" w:fill="0E1729"/>
            <w:tcMar>
              <w:top w:w="80" w:type="dxa"/>
              <w:left w:w="110" w:type="dxa"/>
              <w:bottom w:w="80" w:type="dxa"/>
              <w:right w:w="110" w:type="dxa"/>
            </w:tcMar>
          </w:tcPr>
          <w:p>
            <w:pPr>
              <w:spacing w:after="0"/>
            </w:pPr>
            <w:r>
              <w:rPr>
                <w:rFonts w:ascii="Calibri" w:hAnsi="Calibri"/>
                <w:b/>
                <w:caps/>
                <w:color w:val="FCF2E6"/>
                <w:sz w:val="16"/>
              </w:rPr>
              <w:t>Detail</w:t>
            </w:r>
          </w:p>
        </w:tc>
      </w:tr>
      <w:tr>
        <w:tc>
          <w:tcPr>
            <w:tcW w:type="dxa" w:w="2520"/>
            <w:tcMar>
              <w:top w:w="80" w:type="dxa"/>
              <w:left w:w="110" w:type="dxa"/>
              <w:bottom w:w="80" w:type="dxa"/>
              <w:right w:w="110" w:type="dxa"/>
            </w:tcMar>
          </w:tcPr>
          <w:p>
            <w:pPr>
              <w:spacing w:after="0" w:line="278" w:lineRule="auto"/>
            </w:pPr>
            <w:r>
              <w:rPr>
                <w:rFonts w:ascii="Calibri" w:hAnsi="Calibri"/>
                <w:b/>
                <w:color w:val="1A2133"/>
                <w:sz w:val="18"/>
              </w:rPr>
              <w:t>Architecture is sound</w:t>
            </w:r>
          </w:p>
        </w:tc>
        <w:tc>
          <w:tcPr>
            <w:tcW w:type="dxa" w:w="6984"/>
            <w:tcMar>
              <w:top w:w="80" w:type="dxa"/>
              <w:left w:w="110" w:type="dxa"/>
              <w:bottom w:w="80" w:type="dxa"/>
              <w:right w:w="110" w:type="dxa"/>
            </w:tcMar>
          </w:tcPr>
          <w:p>
            <w:pPr>
              <w:spacing w:after="0" w:line="278" w:lineRule="auto"/>
            </w:pPr>
            <w:r>
              <w:rPr>
                <w:rFonts w:ascii="Calibri" w:hAnsi="Calibri"/>
                <w:color w:val="3A4152"/>
                <w:sz w:val="18"/>
              </w:rPr>
              <w:t>The tier model, the invariants, and the control plane recommendation are all right. Nothing here argues with the direction.</w:t>
            </w:r>
          </w:p>
        </w:tc>
      </w:tr>
      <w:tr>
        <w:tc>
          <w:tcPr>
            <w:tcW w:type="dxa" w:w="2520"/>
            <w:tcMar>
              <w:top w:w="80" w:type="dxa"/>
              <w:left w:w="110" w:type="dxa"/>
              <w:bottom w:w="80" w:type="dxa"/>
              <w:right w:w="110" w:type="dxa"/>
            </w:tcMar>
            <w:shd w:val="clear" w:color="auto" w:fill="FBF6EE"/>
          </w:tcPr>
          <w:p>
            <w:pPr>
              <w:spacing w:after="0" w:line="278" w:lineRule="auto"/>
            </w:pPr>
            <w:r>
              <w:rPr>
                <w:rFonts w:ascii="Calibri" w:hAnsi="Calibri"/>
                <w:b/>
                <w:color w:val="1A2133"/>
                <w:sz w:val="18"/>
              </w:rPr>
              <w:t>Every factual claim checks out</w:t>
            </w:r>
          </w:p>
        </w:tc>
        <w:tc>
          <w:tcPr>
            <w:tcW w:type="dxa" w:w="6984"/>
            <w:tcMar>
              <w:top w:w="80" w:type="dxa"/>
              <w:left w:w="110" w:type="dxa"/>
              <w:bottom w:w="80" w:type="dxa"/>
              <w:right w:w="110" w:type="dxa"/>
            </w:tcMar>
            <w:shd w:val="clear" w:color="auto" w:fill="FBF6EE"/>
          </w:tcPr>
          <w:p>
            <w:pPr>
              <w:spacing w:after="0" w:line="278" w:lineRule="auto"/>
            </w:pPr>
            <w:r>
              <w:rPr>
                <w:rFonts w:ascii="Calibri" w:hAnsi="Calibri"/>
                <w:color w:val="3A4152"/>
                <w:sz w:val="18"/>
              </w:rPr>
              <w:t>Nine claims verified against code. All accurate. See §2.</w:t>
            </w:r>
          </w:p>
        </w:tc>
      </w:tr>
      <w:tr>
        <w:tc>
          <w:tcPr>
            <w:tcW w:type="dxa" w:w="2520"/>
            <w:tcMar>
              <w:top w:w="80" w:type="dxa"/>
              <w:left w:w="110" w:type="dxa"/>
              <w:bottom w:w="80" w:type="dxa"/>
              <w:right w:w="110" w:type="dxa"/>
            </w:tcMar>
          </w:tcPr>
          <w:p>
            <w:pPr>
              <w:spacing w:after="0" w:line="278" w:lineRule="auto"/>
            </w:pPr>
            <w:r>
              <w:rPr>
                <w:rFonts w:ascii="Calibri" w:hAnsi="Calibri"/>
                <w:b/>
                <w:color w:val="1A2133"/>
                <w:sz w:val="18"/>
              </w:rPr>
              <w:t>One thing is materially underscoped</w:t>
            </w:r>
          </w:p>
        </w:tc>
        <w:tc>
          <w:tcPr>
            <w:tcW w:type="dxa" w:w="6984"/>
            <w:tcMar>
              <w:top w:w="80" w:type="dxa"/>
              <w:left w:w="110" w:type="dxa"/>
              <w:bottom w:w="80" w:type="dxa"/>
              <w:right w:w="110" w:type="dxa"/>
            </w:tcMar>
          </w:tcPr>
          <w:p>
            <w:pPr>
              <w:spacing w:after="0" w:line="278" w:lineRule="auto"/>
            </w:pPr>
            <w:r>
              <w:rPr>
                <w:rFonts w:ascii="Calibri" w:hAnsi="Calibri"/>
                <w:color w:val="3A4152"/>
                <w:sz w:val="18"/>
              </w:rPr>
              <w:t xml:space="preserve">Decision 1 is described as a device identity change. It is a tenancy project — </w:t>
            </w:r>
            <w:r>
              <w:rPr>
                <w:rFonts w:ascii="Calibri" w:hAnsi="Calibri"/>
                <w:b/>
                <w:color w:val="1A2133"/>
                <w:sz w:val="18"/>
              </w:rPr>
              <w:t>no organizational entity exists anywhere in the schema.</w:t>
            </w:r>
            <w:r>
              <w:rPr>
                <w:rFonts w:ascii="Calibri" w:hAnsi="Calibri"/>
                <w:color w:val="3A4152"/>
                <w:sz w:val="18"/>
              </w:rPr>
              <w:t xml:space="preserve"> See F1.</w:t>
            </w:r>
          </w:p>
        </w:tc>
      </w:tr>
      <w:tr>
        <w:tc>
          <w:tcPr>
            <w:tcW w:type="dxa" w:w="2520"/>
            <w:tcMar>
              <w:top w:w="80" w:type="dxa"/>
              <w:left w:w="110" w:type="dxa"/>
              <w:bottom w:w="80" w:type="dxa"/>
              <w:right w:w="110" w:type="dxa"/>
            </w:tcMar>
            <w:shd w:val="clear" w:color="auto" w:fill="FBF6EE"/>
          </w:tcPr>
          <w:p>
            <w:pPr>
              <w:spacing w:after="0" w:line="278" w:lineRule="auto"/>
            </w:pPr>
            <w:r>
              <w:rPr>
                <w:rFonts w:ascii="Calibri" w:hAnsi="Calibri"/>
                <w:b/>
                <w:color w:val="1A2133"/>
                <w:sz w:val="18"/>
              </w:rPr>
              <w:t>One internal contradiction</w:t>
            </w:r>
          </w:p>
        </w:tc>
        <w:tc>
          <w:tcPr>
            <w:tcW w:type="dxa" w:w="6984"/>
            <w:tcMar>
              <w:top w:w="80" w:type="dxa"/>
              <w:left w:w="110" w:type="dxa"/>
              <w:bottom w:w="80" w:type="dxa"/>
              <w:right w:w="110" w:type="dxa"/>
            </w:tcMar>
            <w:shd w:val="clear" w:color="auto" w:fill="FBF6EE"/>
          </w:tcPr>
          <w:p>
            <w:pPr>
              <w:spacing w:after="0" w:line="278" w:lineRule="auto"/>
            </w:pPr>
            <w:r>
              <w:rPr>
                <w:rFonts w:ascii="Calibri" w:hAnsi="Calibri"/>
                <w:color w:val="3A4152"/>
                <w:sz w:val="18"/>
              </w:rPr>
              <w:t>Tier 2 cannot simultaneously bridge audio locally and justify the web client on the grounds that the phone never reaches the hub. See F3.</w:t>
            </w:r>
          </w:p>
        </w:tc>
      </w:tr>
      <w:tr>
        <w:tc>
          <w:tcPr>
            <w:tcW w:type="dxa" w:w="2520"/>
            <w:tcMar>
              <w:top w:w="80" w:type="dxa"/>
              <w:left w:w="110" w:type="dxa"/>
              <w:bottom w:w="80" w:type="dxa"/>
              <w:right w:w="110" w:type="dxa"/>
            </w:tcMar>
          </w:tcPr>
          <w:p>
            <w:pPr>
              <w:spacing w:after="0" w:line="278" w:lineRule="auto"/>
            </w:pPr>
            <w:r>
              <w:rPr>
                <w:rFonts w:ascii="Calibri" w:hAnsi="Calibri"/>
                <w:b/>
                <w:color w:val="1A2133"/>
                <w:sz w:val="18"/>
              </w:rPr>
              <w:t>Two priorities need moving</w:t>
            </w:r>
          </w:p>
        </w:tc>
        <w:tc>
          <w:tcPr>
            <w:tcW w:type="dxa" w:w="6984"/>
            <w:tcMar>
              <w:top w:w="80" w:type="dxa"/>
              <w:left w:w="110" w:type="dxa"/>
              <w:bottom w:w="80" w:type="dxa"/>
              <w:right w:w="110" w:type="dxa"/>
            </w:tcMar>
          </w:tcPr>
          <w:p>
            <w:pPr>
              <w:spacing w:after="0" w:line="278" w:lineRule="auto"/>
            </w:pPr>
            <w:r>
              <w:rPr>
                <w:rFonts w:ascii="Calibri" w:hAnsi="Calibri"/>
                <w:color w:val="3A4152"/>
                <w:sz w:val="18"/>
              </w:rPr>
              <w:t>Decisions 6 and 7 are ranked near the bottom. Both are closer to the top. See F4 and F5.</w:t>
            </w:r>
          </w:p>
        </w:tc>
      </w:tr>
      <w:tr>
        <w:tc>
          <w:tcPr>
            <w:tcW w:type="dxa" w:w="2520"/>
            <w:tcMar>
              <w:top w:w="80" w:type="dxa"/>
              <w:left w:w="110" w:type="dxa"/>
              <w:bottom w:w="80" w:type="dxa"/>
              <w:right w:w="110" w:type="dxa"/>
            </w:tcMar>
            <w:shd w:val="clear" w:color="auto" w:fill="FBF6EE"/>
          </w:tcPr>
          <w:p>
            <w:pPr>
              <w:spacing w:after="0" w:line="278" w:lineRule="auto"/>
            </w:pPr>
            <w:r>
              <w:rPr>
                <w:rFonts w:ascii="Calibri" w:hAnsi="Calibri"/>
                <w:b/>
                <w:color w:val="1A2133"/>
                <w:sz w:val="18"/>
              </w:rPr>
              <w:t>One decision is already made</w:t>
            </w:r>
          </w:p>
        </w:tc>
        <w:tc>
          <w:tcPr>
            <w:tcW w:type="dxa" w:w="6984"/>
            <w:tcMar>
              <w:top w:w="80" w:type="dxa"/>
              <w:left w:w="110" w:type="dxa"/>
              <w:bottom w:w="80" w:type="dxa"/>
              <w:right w:w="110" w:type="dxa"/>
            </w:tcMar>
            <w:shd w:val="clear" w:color="auto" w:fill="FBF6EE"/>
          </w:tcPr>
          <w:p>
            <w:pPr>
              <w:spacing w:after="0" w:line="278" w:lineRule="auto"/>
            </w:pPr>
            <w:r>
              <w:rPr>
                <w:rFonts w:ascii="Calibri" w:hAnsi="Calibri"/>
                <w:color w:val="3A4152"/>
                <w:sz w:val="18"/>
              </w:rPr>
              <w:t>Tier 1 offline audio is not an open question — the current stack has answered it. See F4.</w:t>
            </w:r>
          </w:p>
        </w:tc>
      </w:tr>
    </w:tbl>
    <w:p>
      <w:pPr>
        <w:spacing w:after="80"/>
      </w:pPr>
    </w:p>
    <w:p>
      <w:pPr>
        <w:pStyle w:val="Heading3"/>
      </w:pPr>
      <w:r>
        <w:rPr>
          <w:rFonts w:ascii="Calibri" w:hAnsi="Calibri"/>
          <w:b/>
          <w:caps/>
          <w:color w:val="8A6D2F"/>
          <w:sz w:val="17"/>
        </w:rPr>
        <w:t>How to use this document</w:t>
      </w:r>
    </w:p>
    <w:p>
      <w:pPr>
        <w:spacing w:after="80"/>
      </w:pPr>
      <w:r>
        <w:rPr>
          <w:rFonts w:ascii="Calibri" w:hAnsi="Calibri"/>
          <w:color w:val="3A4152"/>
          <w:sz w:val="21"/>
        </w:rPr>
        <w:t xml:space="preserve">Findings are numbered </w:t>
      </w:r>
      <w:r>
        <w:rPr>
          <w:rFonts w:ascii="Calibri" w:hAnsi="Calibri"/>
          <w:b/>
          <w:color w:val="1A2133"/>
          <w:sz w:val="21"/>
        </w:rPr>
        <w:t>F1</w:t>
      </w:r>
      <w:r>
        <w:rPr>
          <w:rFonts w:ascii="Calibri" w:hAnsi="Calibri"/>
          <w:color w:val="3A4152"/>
          <w:sz w:val="21"/>
        </w:rPr>
        <w:t xml:space="preserve"> to </w:t>
      </w:r>
      <w:r>
        <w:rPr>
          <w:rFonts w:ascii="Calibri" w:hAnsi="Calibri"/>
          <w:b/>
          <w:color w:val="1A2133"/>
          <w:sz w:val="21"/>
        </w:rPr>
        <w:t>F9</w:t>
      </w:r>
      <w:r>
        <w:rPr>
          <w:rFonts w:ascii="Calibri" w:hAnsi="Calibri"/>
          <w:color w:val="3A4152"/>
          <w:sz w:val="21"/>
        </w:rPr>
        <w:t xml:space="preserve"> and each carries a severity, what the memo says, what the code says, and a proposed resolution. Blocking questions are </w:t>
      </w:r>
      <w:r>
        <w:rPr>
          <w:rFonts w:ascii="Calibri" w:hAnsi="Calibri"/>
          <w:b/>
          <w:color w:val="1A2133"/>
          <w:sz w:val="21"/>
        </w:rPr>
        <w:t>Q1</w:t>
      </w:r>
      <w:r>
        <w:rPr>
          <w:rFonts w:ascii="Calibri" w:hAnsi="Calibri"/>
          <w:color w:val="3A4152"/>
          <w:sz w:val="21"/>
        </w:rPr>
        <w:t xml:space="preserve"> to </w:t>
      </w:r>
      <w:r>
        <w:rPr>
          <w:rFonts w:ascii="Calibri" w:hAnsi="Calibri"/>
          <w:b/>
          <w:color w:val="1A2133"/>
          <w:sz w:val="21"/>
        </w:rPr>
        <w:t>Q4</w:t>
      </w:r>
      <w:r>
        <w:rPr>
          <w:rFonts w:ascii="Calibri" w:hAnsi="Calibri"/>
          <w:color w:val="3A4152"/>
          <w:sz w:val="21"/>
        </w:rPr>
        <w:t xml:space="preserve"> in §5, each with the two branches that follow from the answer. Every item has a response box — reply in place and send it back, and we can work the list top to bottom without losing anything.</w:t>
      </w:r>
    </w:p>
    <w:p>
      <w:pPr>
        <w:spacing w:after="80"/>
      </w:pPr>
      <w:r>
        <w:rPr>
          <w:rFonts w:ascii="Calibri" w:hAnsi="Calibri"/>
          <w:color w:val="3A4152"/>
          <w:sz w:val="21"/>
        </w:rPr>
        <w:t>§4 proposes a revised decision order. §6 states what work begins the moment each answer lands, so nothing sits idle waiting on a decision it does not actually depend on.</w:t>
      </w:r>
    </w:p>
    <w:p>
      <w:pPr>
        <w:pStyle w:val="Heading1"/>
        <w:pBdr>
          <w:bottom w:val="single" w:sz="6" w:space="5" w:color="D1A955"/>
        </w:pBdr>
      </w:pPr>
      <w:r>
        <w:t>1 · What is settled</w:t>
      </w:r>
    </w:p>
    <w:p>
      <w:pPr>
        <w:spacing w:after="160"/>
      </w:pPr>
      <w:r>
        <w:rPr>
          <w:rFonts w:ascii="Calibri" w:hAnsi="Calibri"/>
          <w:color w:val="3A4152"/>
          <w:sz w:val="21"/>
        </w:rPr>
        <w:t>Listed so it does not get relitigated. No response needed on any of this.</w:t>
      </w:r>
    </w:p>
    <w:p>
      <w:pPr>
        <w:pStyle w:val="ListBullet"/>
        <w:ind w:left="374"/>
      </w:pPr>
      <w:r>
        <w:rPr>
          <w:rFonts w:ascii="Calibri" w:hAnsi="Calibri"/>
          <w:color w:val="3A4152"/>
          <w:sz w:val="21"/>
        </w:rPr>
        <w:t>The three-tier model, and tiers as a data acquisition strategy rather than only a price ladder.</w:t>
      </w:r>
    </w:p>
    <w:p>
      <w:pPr>
        <w:pStyle w:val="ListBullet"/>
        <w:ind w:left="374"/>
      </w:pPr>
      <w:r>
        <w:rPr>
          <w:rFonts w:ascii="Calibri" w:hAnsi="Calibri"/>
          <w:color w:val="3A4152"/>
          <w:sz w:val="21"/>
        </w:rPr>
        <w:t>One session object that gains layers. Not three session types.</w:t>
      </w:r>
    </w:p>
    <w:p>
      <w:pPr>
        <w:pStyle w:val="ListBullet"/>
        <w:ind w:left="374"/>
      </w:pPr>
      <w:r>
        <w:rPr>
          <w:rFonts w:ascii="Calibri" w:hAnsi="Calibri"/>
          <w:color w:val="3A4152"/>
          <w:sz w:val="21"/>
        </w:rPr>
        <w:t>Sessions belong to the rider, always, regardless of whose hardware recorded them.</w:t>
      </w:r>
    </w:p>
    <w:p>
      <w:pPr>
        <w:pStyle w:val="ListBullet"/>
        <w:ind w:left="374"/>
      </w:pPr>
      <w:r>
        <w:rPr>
          <w:rFonts w:ascii="Calibri" w:hAnsi="Calibri"/>
          <w:color w:val="3A4152"/>
          <w:sz w:val="21"/>
        </w:rPr>
        <w:t>Owning the hardware grants no visibility into a rider's private sessions.</w:t>
      </w:r>
    </w:p>
    <w:p>
      <w:pPr>
        <w:pStyle w:val="ListBullet"/>
        <w:ind w:left="374"/>
      </w:pPr>
      <w:r>
        <w:rPr>
          <w:rFonts w:ascii="Calibri" w:hAnsi="Calibri"/>
          <w:color w:val="3A4152"/>
          <w:sz w:val="21"/>
        </w:rPr>
        <w:t>Desired state carried on the existing heartbeat as the cloud control plane.</w:t>
      </w:r>
    </w:p>
    <w:p>
      <w:pPr>
        <w:pStyle w:val="ListBullet"/>
        <w:ind w:left="374"/>
      </w:pPr>
      <w:r>
        <w:rPr>
          <w:rFonts w:ascii="Calibri" w:hAnsi="Calibri"/>
          <w:color w:val="3A4152"/>
          <w:sz w:val="21"/>
        </w:rPr>
        <w:t>Outbound HTTPS only. Any proposal requiring inbound connectivity to the device is rejected.</w:t>
      </w:r>
    </w:p>
    <w:p>
      <w:pPr>
        <w:pStyle w:val="ListBullet"/>
        <w:ind w:left="374"/>
      </w:pPr>
      <w:r>
        <w:rPr>
          <w:rFonts w:ascii="Calibri" w:hAnsi="Calibri"/>
          <w:color w:val="3A4152"/>
          <w:sz w:val="21"/>
        </w:rPr>
        <w:t>Control and coaching are separate planes with separate budgets.</w:t>
      </w:r>
    </w:p>
    <w:p>
      <w:pPr>
        <w:pStyle w:val="ListBullet"/>
        <w:ind w:left="374"/>
      </w:pPr>
      <w:r>
        <w:rPr>
          <w:rFonts w:ascii="Calibri" w:hAnsi="Calibri"/>
          <w:color w:val="3A4152"/>
          <w:sz w:val="21"/>
        </w:rPr>
        <w:t>Capture never depends on the phone. A dead phone silences coaching, it does not stop recording.</w:t>
      </w:r>
    </w:p>
    <w:p>
      <w:pPr>
        <w:pStyle w:val="ListBullet"/>
        <w:ind w:left="374"/>
      </w:pPr>
      <w:r>
        <w:rPr>
          <w:rFonts w:ascii="Calibri" w:hAnsi="Calibri"/>
          <w:color w:val="3A4152"/>
          <w:sz w:val="21"/>
        </w:rPr>
        <w:t>A single reference clock, with skew measured rather than assumed.</w:t>
      </w:r>
    </w:p>
    <w:p>
      <w:pPr>
        <w:pStyle w:val="ListBullet"/>
        <w:ind w:left="374"/>
      </w:pPr>
      <w:r>
        <w:rPr>
          <w:rFonts w:ascii="Calibri" w:hAnsi="Calibri"/>
          <w:color w:val="3A4152"/>
          <w:sz w:val="21"/>
        </w:rPr>
        <w:t>The beacon-tracking camera approach, and the reasoning that it sidesteps rider identification.</w:t>
      </w:r>
    </w:p>
    <w:p>
      <w:pPr>
        <w:pStyle w:val="ListBullet"/>
        <w:ind w:left="374"/>
      </w:pPr>
      <w:r>
        <w:rPr>
          <w:rFonts w:ascii="Calibri" w:hAnsi="Calibri"/>
          <w:color w:val="3A4152"/>
          <w:sz w:val="21"/>
        </w:rPr>
        <w:t>A wired ethernet run as the recommended hub installation.</w:t>
      </w:r>
    </w:p>
    <w:p>
      <w:pPr>
        <w:pStyle w:val="Heading1"/>
        <w:pBdr>
          <w:bottom w:val="single" w:sz="6" w:space="5" w:color="D1A955"/>
        </w:pBdr>
      </w:pPr>
      <w:r>
        <w:t>2 · Verified against the codebase</w:t>
      </w:r>
    </w:p>
    <w:p>
      <w:pPr>
        <w:spacing w:after="160"/>
      </w:pPr>
      <w:r>
        <w:rPr>
          <w:rFonts w:ascii="Calibri" w:hAnsi="Calibri"/>
          <w:color w:val="3A4152"/>
          <w:sz w:val="21"/>
        </w:rPr>
        <w:t>Every checkable claim in the memo, tested against the code. All nine hold. Two additional findings appear that the memo does not state.</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3168"/>
        <w:gridCol w:w="3168"/>
        <w:gridCol w:w="3168"/>
      </w:tblGrid>
      <w:tr>
        <w:trPr>
          <w:tblHeader/>
        </w:trPr>
        <w:tc>
          <w:tcPr>
            <w:tcW w:type="dxa" w:w="2520"/>
            <w:shd w:val="clear" w:color="auto" w:fill="0E1729"/>
            <w:tcMar>
              <w:top w:w="80" w:type="dxa"/>
              <w:left w:w="110" w:type="dxa"/>
              <w:bottom w:w="80" w:type="dxa"/>
              <w:right w:w="110" w:type="dxa"/>
            </w:tcMar>
          </w:tcPr>
          <w:p>
            <w:pPr>
              <w:spacing w:after="0"/>
            </w:pPr>
            <w:r>
              <w:rPr>
                <w:rFonts w:ascii="Calibri" w:hAnsi="Calibri"/>
                <w:b/>
                <w:caps/>
                <w:color w:val="FCF2E6"/>
                <w:sz w:val="16"/>
              </w:rPr>
              <w:t>Claim</w:t>
            </w:r>
          </w:p>
        </w:tc>
        <w:tc>
          <w:tcPr>
            <w:tcW w:type="dxa" w:w="1728"/>
            <w:shd w:val="clear" w:color="auto" w:fill="0E1729"/>
            <w:tcMar>
              <w:top w:w="80" w:type="dxa"/>
              <w:left w:w="110" w:type="dxa"/>
              <w:bottom w:w="80" w:type="dxa"/>
              <w:right w:w="110" w:type="dxa"/>
            </w:tcMar>
          </w:tcPr>
          <w:p>
            <w:pPr>
              <w:spacing w:after="0"/>
            </w:pPr>
            <w:r>
              <w:rPr>
                <w:rFonts w:ascii="Calibri" w:hAnsi="Calibri"/>
                <w:b/>
                <w:caps/>
                <w:color w:val="FCF2E6"/>
                <w:sz w:val="16"/>
              </w:rPr>
              <w:t>Verdict</w:t>
            </w:r>
          </w:p>
        </w:tc>
        <w:tc>
          <w:tcPr>
            <w:tcW w:type="dxa" w:w="5256"/>
            <w:shd w:val="clear" w:color="auto" w:fill="0E1729"/>
            <w:tcMar>
              <w:top w:w="80" w:type="dxa"/>
              <w:left w:w="110" w:type="dxa"/>
              <w:bottom w:w="80" w:type="dxa"/>
              <w:right w:w="110" w:type="dxa"/>
            </w:tcMar>
          </w:tcPr>
          <w:p>
            <w:pPr>
              <w:spacing w:after="0"/>
            </w:pPr>
            <w:r>
              <w:rPr>
                <w:rFonts w:ascii="Calibri" w:hAnsi="Calibri"/>
                <w:b/>
                <w:caps/>
                <w:color w:val="FCF2E6"/>
                <w:sz w:val="16"/>
              </w:rPr>
              <w:t>Evidence</w:t>
            </w:r>
          </w:p>
        </w:tc>
      </w:tr>
      <w:tr>
        <w:tc>
          <w:tcPr>
            <w:tcW w:type="dxa" w:w="2520"/>
            <w:tcMar>
              <w:top w:w="80" w:type="dxa"/>
              <w:left w:w="110" w:type="dxa"/>
              <w:bottom w:w="80" w:type="dxa"/>
              <w:right w:w="110" w:type="dxa"/>
            </w:tcMar>
          </w:tcPr>
          <w:p>
            <w:pPr>
              <w:spacing w:after="0" w:line="278" w:lineRule="auto"/>
            </w:pPr>
            <w:r>
              <w:rPr>
                <w:rFonts w:ascii="Calibri" w:hAnsi="Calibri"/>
                <w:color w:val="3A4152"/>
                <w:sz w:val="18"/>
              </w:rPr>
              <w:t>Attach binds by rider and picks the most recent open session</w:t>
            </w:r>
          </w:p>
        </w:tc>
        <w:tc>
          <w:tcPr>
            <w:tcW w:type="dxa" w:w="1728"/>
            <w:tcMar>
              <w:top w:w="80" w:type="dxa"/>
              <w:left w:w="110" w:type="dxa"/>
              <w:bottom w:w="80" w:type="dxa"/>
              <w:right w:w="110" w:type="dxa"/>
            </w:tcMar>
          </w:tcPr>
          <w:p>
            <w:pPr>
              <w:spacing w:after="0" w:line="278" w:lineRule="auto"/>
            </w:pPr>
            <w:r>
              <w:rPr>
                <w:rFonts w:ascii="Calibri" w:hAnsi="Calibri"/>
                <w:b/>
                <w:color w:val="1A2133"/>
                <w:sz w:val="18"/>
              </w:rPr>
              <w:t>Confirmed</w:t>
            </w:r>
          </w:p>
        </w:tc>
        <w:tc>
          <w:tcPr>
            <w:tcW w:type="dxa" w:w="5256"/>
            <w:tcMar>
              <w:top w:w="80" w:type="dxa"/>
              <w:left w:w="110" w:type="dxa"/>
              <w:bottom w:w="80" w:type="dxa"/>
              <w:right w:w="110" w:type="dxa"/>
            </w:tcMar>
          </w:tcPr>
          <w:p>
            <w:pPr>
              <w:spacing w:after="0" w:line="278" w:lineRule="auto"/>
            </w:pPr>
            <w:r>
              <w:rPr>
                <w:rFonts w:ascii="Consolas" w:hAnsi="Consolas"/>
                <w:color w:val="9A7526"/>
                <w:sz w:val="15"/>
              </w:rPr>
              <w:t>attach/route.ts</w:t>
            </w:r>
            <w:r>
              <w:rPr>
                <w:rFonts w:ascii="Calibri" w:hAnsi="Calibri"/>
                <w:color w:val="3A4152"/>
                <w:sz w:val="18"/>
              </w:rPr>
              <w:t xml:space="preserve"> 31-35 — filters </w:t>
            </w:r>
            <w:r>
              <w:rPr>
                <w:rFonts w:ascii="Consolas" w:hAnsi="Consolas"/>
                <w:color w:val="9A7526"/>
                <w:sz w:val="15"/>
              </w:rPr>
              <w:t>rider_id</w:t>
            </w:r>
            <w:r>
              <w:rPr>
                <w:rFonts w:ascii="Calibri" w:hAnsi="Calibri"/>
                <w:color w:val="3A4152"/>
                <w:sz w:val="18"/>
              </w:rPr>
              <w:t xml:space="preserve">, </w:t>
            </w:r>
            <w:r>
              <w:rPr>
                <w:rFonts w:ascii="Consolas" w:hAnsi="Consolas"/>
                <w:color w:val="9A7526"/>
                <w:sz w:val="15"/>
              </w:rPr>
              <w:t>status in (waiting, live)</w:t>
            </w:r>
            <w:r>
              <w:rPr>
                <w:rFonts w:ascii="Calibri" w:hAnsi="Calibri"/>
                <w:color w:val="3A4152"/>
                <w:sz w:val="18"/>
              </w:rPr>
              <w:t xml:space="preserve">, orders </w:t>
            </w:r>
            <w:r>
              <w:rPr>
                <w:rFonts w:ascii="Consolas" w:hAnsi="Consolas"/>
                <w:color w:val="9A7526"/>
                <w:sz w:val="15"/>
              </w:rPr>
              <w:t>started_at desc</w:t>
            </w:r>
            <w:r>
              <w:rPr>
                <w:rFonts w:ascii="Calibri" w:hAnsi="Calibri"/>
                <w:color w:val="3A4152"/>
                <w:sz w:val="18"/>
              </w:rPr>
              <w:t xml:space="preserve">, </w:t>
            </w:r>
            <w:r>
              <w:rPr>
                <w:rFonts w:ascii="Consolas" w:hAnsi="Consolas"/>
                <w:color w:val="9A7526"/>
                <w:sz w:val="15"/>
              </w:rPr>
              <w:t>limit 1</w:t>
            </w:r>
          </w:p>
        </w:tc>
      </w:tr>
      <w:tr>
        <w:tc>
          <w:tcPr>
            <w:tcW w:type="dxa" w:w="2520"/>
            <w:tcMar>
              <w:top w:w="80" w:type="dxa"/>
              <w:left w:w="110" w:type="dxa"/>
              <w:bottom w:w="80" w:type="dxa"/>
              <w:right w:w="110" w:type="dxa"/>
            </w:tcMar>
            <w:shd w:val="clear" w:color="auto" w:fill="FBF6EE"/>
          </w:tcPr>
          <w:p>
            <w:pPr>
              <w:spacing w:after="0" w:line="278" w:lineRule="auto"/>
            </w:pPr>
            <w:r>
              <w:rPr>
                <w:rFonts w:ascii="Calibri" w:hAnsi="Calibri"/>
                <w:color w:val="3A4152"/>
                <w:sz w:val="18"/>
              </w:rPr>
              <w:t>The device is rider-owned</w:t>
            </w:r>
          </w:p>
        </w:tc>
        <w:tc>
          <w:tcPr>
            <w:tcW w:type="dxa" w:w="1728"/>
            <w:tcMar>
              <w:top w:w="80" w:type="dxa"/>
              <w:left w:w="110" w:type="dxa"/>
              <w:bottom w:w="80" w:type="dxa"/>
              <w:right w:w="110" w:type="dxa"/>
            </w:tcMar>
            <w:shd w:val="clear" w:color="auto" w:fill="FBF6EE"/>
          </w:tcPr>
          <w:p>
            <w:pPr>
              <w:spacing w:after="0" w:line="278" w:lineRule="auto"/>
            </w:pPr>
            <w:r>
              <w:rPr>
                <w:rFonts w:ascii="Calibri" w:hAnsi="Calibri"/>
                <w:b/>
                <w:color w:val="1A2133"/>
                <w:sz w:val="18"/>
              </w:rPr>
              <w:t>Confirmed — stronger than stated</w:t>
            </w:r>
          </w:p>
        </w:tc>
        <w:tc>
          <w:tcPr>
            <w:tcW w:type="dxa" w:w="5256"/>
            <w:tcMar>
              <w:top w:w="80" w:type="dxa"/>
              <w:left w:w="110" w:type="dxa"/>
              <w:bottom w:w="80" w:type="dxa"/>
              <w:right w:w="110" w:type="dxa"/>
            </w:tcMar>
            <w:shd w:val="clear" w:color="auto" w:fill="FBF6EE"/>
          </w:tcPr>
          <w:p>
            <w:pPr>
              <w:spacing w:after="0" w:line="278" w:lineRule="auto"/>
            </w:pPr>
            <w:r>
              <w:rPr>
                <w:rFonts w:ascii="Consolas" w:hAnsi="Consolas"/>
                <w:color w:val="9A7526"/>
                <w:sz w:val="15"/>
              </w:rPr>
              <w:t>edge_devices.rider_id</w:t>
            </w:r>
            <w:r>
              <w:rPr>
                <w:rFonts w:ascii="Calibri" w:hAnsi="Calibri"/>
                <w:color w:val="3A4152"/>
                <w:sz w:val="18"/>
              </w:rPr>
              <w:t xml:space="preserve"> is a foreign key to </w:t>
            </w:r>
            <w:r>
              <w:rPr>
                <w:rFonts w:ascii="Consolas" w:hAnsi="Consolas"/>
                <w:color w:val="9A7526"/>
                <w:sz w:val="15"/>
              </w:rPr>
              <w:t>profiles</w:t>
            </w:r>
            <w:r>
              <w:rPr>
                <w:rFonts w:ascii="Calibri" w:hAnsi="Calibri"/>
                <w:color w:val="3A4152"/>
                <w:sz w:val="18"/>
              </w:rPr>
              <w:t xml:space="preserve"> with </w:t>
            </w:r>
            <w:r>
              <w:rPr>
                <w:rFonts w:ascii="Consolas" w:hAnsi="Consolas"/>
                <w:color w:val="9A7526"/>
                <w:sz w:val="15"/>
              </w:rPr>
              <w:t>ON DELETE CASCADE</w:t>
            </w:r>
            <w:r>
              <w:rPr>
                <w:rFonts w:ascii="Calibri" w:hAnsi="Calibri"/>
                <w:color w:val="3A4152"/>
                <w:sz w:val="18"/>
              </w:rPr>
              <w:t xml:space="preserve">. Delete the rider and the device row disappears. Migration </w:t>
            </w:r>
            <w:r>
              <w:rPr>
                <w:rFonts w:ascii="Consolas" w:hAnsi="Consolas"/>
                <w:color w:val="9A7526"/>
                <w:sz w:val="15"/>
              </w:rPr>
              <w:t>20260804000000</w:t>
            </w:r>
            <w:r>
              <w:rPr>
                <w:rFonts w:ascii="Calibri" w:hAnsi="Calibri"/>
                <w:color w:val="3A4152"/>
                <w:sz w:val="18"/>
              </w:rPr>
              <w:t xml:space="preserve"> line 6</w:t>
            </w:r>
          </w:p>
        </w:tc>
      </w:tr>
      <w:tr>
        <w:tc>
          <w:tcPr>
            <w:tcW w:type="dxa" w:w="2520"/>
            <w:tcMar>
              <w:top w:w="80" w:type="dxa"/>
              <w:left w:w="110" w:type="dxa"/>
              <w:bottom w:w="80" w:type="dxa"/>
              <w:right w:w="110" w:type="dxa"/>
            </w:tcMar>
          </w:tcPr>
          <w:p>
            <w:pPr>
              <w:spacing w:after="0" w:line="278" w:lineRule="auto"/>
            </w:pPr>
            <w:r>
              <w:rPr>
                <w:rFonts w:ascii="Calibri" w:hAnsi="Calibri"/>
                <w:color w:val="3A4152"/>
                <w:sz w:val="18"/>
              </w:rPr>
              <w:t>Attach starts recording unconditionally</w:t>
            </w:r>
          </w:p>
        </w:tc>
        <w:tc>
          <w:tcPr>
            <w:tcW w:type="dxa" w:w="1728"/>
            <w:tcMar>
              <w:top w:w="80" w:type="dxa"/>
              <w:left w:w="110" w:type="dxa"/>
              <w:bottom w:w="80" w:type="dxa"/>
              <w:right w:w="110" w:type="dxa"/>
            </w:tcMar>
          </w:tcPr>
          <w:p>
            <w:pPr>
              <w:spacing w:after="0" w:line="278" w:lineRule="auto"/>
            </w:pPr>
            <w:r>
              <w:rPr>
                <w:rFonts w:ascii="Calibri" w:hAnsi="Calibri"/>
                <w:b/>
                <w:color w:val="1A2133"/>
                <w:sz w:val="18"/>
              </w:rPr>
              <w:t>Confirmed</w:t>
            </w:r>
          </w:p>
        </w:tc>
        <w:tc>
          <w:tcPr>
            <w:tcW w:type="dxa" w:w="5256"/>
            <w:tcMar>
              <w:top w:w="80" w:type="dxa"/>
              <w:left w:w="110" w:type="dxa"/>
              <w:bottom w:w="80" w:type="dxa"/>
              <w:right w:w="110" w:type="dxa"/>
            </w:tcMar>
          </w:tcPr>
          <w:p>
            <w:pPr>
              <w:spacing w:after="0" w:line="278" w:lineRule="auto"/>
            </w:pPr>
            <w:r>
              <w:rPr>
                <w:rFonts w:ascii="Consolas" w:hAnsi="Consolas"/>
                <w:color w:val="9A7526"/>
                <w:sz w:val="15"/>
              </w:rPr>
              <w:t>attach/route.ts</w:t>
            </w:r>
            <w:r>
              <w:rPr>
                <w:rFonts w:ascii="Calibri" w:hAnsi="Calibri"/>
                <w:color w:val="3A4152"/>
                <w:sz w:val="18"/>
              </w:rPr>
              <w:t xml:space="preserve"> 64 sets </w:t>
            </w:r>
            <w:r>
              <w:rPr>
                <w:rFonts w:ascii="Consolas" w:hAnsi="Consolas"/>
                <w:color w:val="9A7526"/>
                <w:sz w:val="15"/>
              </w:rPr>
              <w:t>edge_recording: true</w:t>
            </w:r>
            <w:r>
              <w:rPr>
                <w:rFonts w:ascii="Calibri" w:hAnsi="Calibri"/>
                <w:color w:val="3A4152"/>
                <w:sz w:val="18"/>
              </w:rPr>
              <w:t xml:space="preserve"> on bind, before any rider instruction</w:t>
            </w:r>
          </w:p>
        </w:tc>
      </w:tr>
      <w:tr>
        <w:tc>
          <w:tcPr>
            <w:tcW w:type="dxa" w:w="2520"/>
            <w:tcMar>
              <w:top w:w="80" w:type="dxa"/>
              <w:left w:w="110" w:type="dxa"/>
              <w:bottom w:w="80" w:type="dxa"/>
              <w:right w:w="110" w:type="dxa"/>
            </w:tcMar>
            <w:shd w:val="clear" w:color="auto" w:fill="FBF6EE"/>
          </w:tcPr>
          <w:p>
            <w:pPr>
              <w:spacing w:after="0" w:line="278" w:lineRule="auto"/>
            </w:pPr>
            <w:r>
              <w:rPr>
                <w:rFonts w:ascii="Calibri" w:hAnsi="Calibri"/>
                <w:color w:val="3A4152"/>
                <w:sz w:val="18"/>
              </w:rPr>
              <w:t>Upload capped near 95 MB</w:t>
            </w:r>
          </w:p>
        </w:tc>
        <w:tc>
          <w:tcPr>
            <w:tcW w:type="dxa" w:w="1728"/>
            <w:tcMar>
              <w:top w:w="80" w:type="dxa"/>
              <w:left w:w="110" w:type="dxa"/>
              <w:bottom w:w="80" w:type="dxa"/>
              <w:right w:w="110" w:type="dxa"/>
            </w:tcMar>
            <w:shd w:val="clear" w:color="auto" w:fill="FBF6EE"/>
          </w:tcPr>
          <w:p>
            <w:pPr>
              <w:spacing w:after="0" w:line="278" w:lineRule="auto"/>
            </w:pPr>
            <w:r>
              <w:rPr>
                <w:rFonts w:ascii="Calibri" w:hAnsi="Calibri"/>
                <w:b/>
                <w:color w:val="1A2133"/>
                <w:sz w:val="18"/>
              </w:rPr>
              <w:t>Confirmed</w:t>
            </w:r>
          </w:p>
        </w:tc>
        <w:tc>
          <w:tcPr>
            <w:tcW w:type="dxa" w:w="5256"/>
            <w:tcMar>
              <w:top w:w="80" w:type="dxa"/>
              <w:left w:w="110" w:type="dxa"/>
              <w:bottom w:w="80" w:type="dxa"/>
              <w:right w:w="110" w:type="dxa"/>
            </w:tcMar>
            <w:shd w:val="clear" w:color="auto" w:fill="FBF6EE"/>
          </w:tcPr>
          <w:p>
            <w:pPr>
              <w:spacing w:after="0" w:line="278" w:lineRule="auto"/>
            </w:pPr>
            <w:r>
              <w:rPr>
                <w:rFonts w:ascii="Consolas" w:hAnsi="Consolas"/>
                <w:color w:val="9A7526"/>
                <w:sz w:val="15"/>
              </w:rPr>
              <w:t>video/route.ts</w:t>
            </w:r>
            <w:r>
              <w:rPr>
                <w:rFonts w:ascii="Calibri" w:hAnsi="Calibri"/>
                <w:color w:val="3A4152"/>
                <w:sz w:val="18"/>
              </w:rPr>
              <w:t xml:space="preserve"> 11 — </w:t>
            </w:r>
            <w:r>
              <w:rPr>
                <w:rFonts w:ascii="Consolas" w:hAnsi="Consolas"/>
                <w:color w:val="9A7526"/>
                <w:sz w:val="15"/>
              </w:rPr>
              <w:t>MAX_BYTES = 95 * 1024 * 1024</w:t>
            </w:r>
            <w:r>
              <w:rPr>
                <w:rFonts w:ascii="Calibri" w:hAnsi="Calibri"/>
                <w:color w:val="3A4152"/>
                <w:sz w:val="18"/>
              </w:rPr>
              <w:t>, returns 413 above it</w:t>
            </w:r>
          </w:p>
        </w:tc>
      </w:tr>
      <w:tr>
        <w:tc>
          <w:tcPr>
            <w:tcW w:type="dxa" w:w="2520"/>
            <w:tcMar>
              <w:top w:w="80" w:type="dxa"/>
              <w:left w:w="110" w:type="dxa"/>
              <w:bottom w:w="80" w:type="dxa"/>
              <w:right w:w="110" w:type="dxa"/>
            </w:tcMar>
          </w:tcPr>
          <w:p>
            <w:pPr>
              <w:spacing w:after="0" w:line="278" w:lineRule="auto"/>
            </w:pPr>
            <w:r>
              <w:rPr>
                <w:rFonts w:ascii="Calibri" w:hAnsi="Calibri"/>
                <w:color w:val="3A4152"/>
                <w:sz w:val="18"/>
              </w:rPr>
              <w:t>Reference agent hardcodes a zero clock offset</w:t>
            </w:r>
          </w:p>
        </w:tc>
        <w:tc>
          <w:tcPr>
            <w:tcW w:type="dxa" w:w="1728"/>
            <w:tcMar>
              <w:top w:w="80" w:type="dxa"/>
              <w:left w:w="110" w:type="dxa"/>
              <w:bottom w:w="80" w:type="dxa"/>
              <w:right w:w="110" w:type="dxa"/>
            </w:tcMar>
          </w:tcPr>
          <w:p>
            <w:pPr>
              <w:spacing w:after="0" w:line="278" w:lineRule="auto"/>
            </w:pPr>
            <w:r>
              <w:rPr>
                <w:rFonts w:ascii="Calibri" w:hAnsi="Calibri"/>
                <w:b/>
                <w:color w:val="1A2133"/>
                <w:sz w:val="18"/>
              </w:rPr>
              <w:t>Confirmed</w:t>
            </w:r>
          </w:p>
        </w:tc>
        <w:tc>
          <w:tcPr>
            <w:tcW w:type="dxa" w:w="5256"/>
            <w:tcMar>
              <w:top w:w="80" w:type="dxa"/>
              <w:left w:w="110" w:type="dxa"/>
              <w:bottom w:w="80" w:type="dxa"/>
              <w:right w:w="110" w:type="dxa"/>
            </w:tcMar>
          </w:tcPr>
          <w:p>
            <w:pPr>
              <w:spacing w:after="0" w:line="278" w:lineRule="auto"/>
            </w:pPr>
            <w:r>
              <w:rPr>
                <w:rFonts w:ascii="Consolas" w:hAnsi="Consolas"/>
                <w:color w:val="9A7526"/>
                <w:sz w:val="15"/>
              </w:rPr>
              <w:t>agent.py</w:t>
            </w:r>
            <w:r>
              <w:rPr>
                <w:rFonts w:ascii="Calibri" w:hAnsi="Calibri"/>
                <w:color w:val="3A4152"/>
                <w:sz w:val="18"/>
              </w:rPr>
              <w:t xml:space="preserve"> 148 — </w:t>
            </w:r>
            <w:r>
              <w:rPr>
                <w:rFonts w:ascii="Consolas" w:hAnsi="Consolas"/>
                <w:color w:val="9A7526"/>
                <w:sz w:val="15"/>
              </w:rPr>
              <w:t>sync_offset_ms: "0"</w:t>
            </w:r>
          </w:p>
        </w:tc>
      </w:tr>
      <w:tr>
        <w:tc>
          <w:tcPr>
            <w:tcW w:type="dxa" w:w="2520"/>
            <w:tcMar>
              <w:top w:w="80" w:type="dxa"/>
              <w:left w:w="110" w:type="dxa"/>
              <w:bottom w:w="80" w:type="dxa"/>
              <w:right w:w="110" w:type="dxa"/>
            </w:tcMar>
            <w:shd w:val="clear" w:color="auto" w:fill="FBF6EE"/>
          </w:tcPr>
          <w:p>
            <w:pPr>
              <w:spacing w:after="0" w:line="278" w:lineRule="auto"/>
            </w:pPr>
            <w:r>
              <w:rPr>
                <w:rFonts w:ascii="Calibri" w:hAnsi="Calibri"/>
                <w:color w:val="3A4152"/>
                <w:sz w:val="18"/>
              </w:rPr>
              <w:t>Device makes outbound calls only</w:t>
            </w:r>
          </w:p>
        </w:tc>
        <w:tc>
          <w:tcPr>
            <w:tcW w:type="dxa" w:w="1728"/>
            <w:tcMar>
              <w:top w:w="80" w:type="dxa"/>
              <w:left w:w="110" w:type="dxa"/>
              <w:bottom w:w="80" w:type="dxa"/>
              <w:right w:w="110" w:type="dxa"/>
            </w:tcMar>
            <w:shd w:val="clear" w:color="auto" w:fill="FBF6EE"/>
          </w:tcPr>
          <w:p>
            <w:pPr>
              <w:spacing w:after="0" w:line="278" w:lineRule="auto"/>
            </w:pPr>
            <w:r>
              <w:rPr>
                <w:rFonts w:ascii="Calibri" w:hAnsi="Calibri"/>
                <w:b/>
                <w:color w:val="1A2133"/>
                <w:sz w:val="18"/>
              </w:rPr>
              <w:t>Confirmed</w:t>
            </w:r>
          </w:p>
        </w:tc>
        <w:tc>
          <w:tcPr>
            <w:tcW w:type="dxa" w:w="5256"/>
            <w:tcMar>
              <w:top w:w="80" w:type="dxa"/>
              <w:left w:w="110" w:type="dxa"/>
              <w:bottom w:w="80" w:type="dxa"/>
              <w:right w:w="110" w:type="dxa"/>
            </w:tcMar>
            <w:shd w:val="clear" w:color="auto" w:fill="FBF6EE"/>
          </w:tcPr>
          <w:p>
            <w:pPr>
              <w:spacing w:after="0" w:line="278" w:lineRule="auto"/>
            </w:pPr>
            <w:r>
              <w:rPr>
                <w:rFonts w:ascii="Calibri" w:hAnsi="Calibri"/>
                <w:color w:val="3A4152"/>
                <w:sz w:val="18"/>
              </w:rPr>
              <w:t>All five edge routes are device-initiated. No listener, no inbound path.</w:t>
            </w:r>
          </w:p>
        </w:tc>
      </w:tr>
      <w:tr>
        <w:tc>
          <w:tcPr>
            <w:tcW w:type="dxa" w:w="2520"/>
            <w:tcMar>
              <w:top w:w="80" w:type="dxa"/>
              <w:left w:w="110" w:type="dxa"/>
              <w:bottom w:w="80" w:type="dxa"/>
              <w:right w:w="110" w:type="dxa"/>
            </w:tcMar>
          </w:tcPr>
          <w:p>
            <w:pPr>
              <w:spacing w:after="0" w:line="278" w:lineRule="auto"/>
            </w:pPr>
            <w:r>
              <w:rPr>
                <w:rFonts w:ascii="Calibri" w:hAnsi="Calibri"/>
                <w:color w:val="3A4152"/>
                <w:sz w:val="18"/>
              </w:rPr>
              <w:t>One rider per room</w:t>
            </w:r>
          </w:p>
        </w:tc>
        <w:tc>
          <w:tcPr>
            <w:tcW w:type="dxa" w:w="1728"/>
            <w:tcMar>
              <w:top w:w="80" w:type="dxa"/>
              <w:left w:w="110" w:type="dxa"/>
              <w:bottom w:w="80" w:type="dxa"/>
              <w:right w:w="110" w:type="dxa"/>
            </w:tcMar>
          </w:tcPr>
          <w:p>
            <w:pPr>
              <w:spacing w:after="0" w:line="278" w:lineRule="auto"/>
            </w:pPr>
            <w:r>
              <w:rPr>
                <w:rFonts w:ascii="Calibri" w:hAnsi="Calibri"/>
                <w:b/>
                <w:color w:val="1A2133"/>
                <w:sz w:val="18"/>
              </w:rPr>
              <w:t>Confirmed</w:t>
            </w:r>
          </w:p>
        </w:tc>
        <w:tc>
          <w:tcPr>
            <w:tcW w:type="dxa" w:w="5256"/>
            <w:tcMar>
              <w:top w:w="80" w:type="dxa"/>
              <w:left w:w="110" w:type="dxa"/>
              <w:bottom w:w="80" w:type="dxa"/>
              <w:right w:w="110" w:type="dxa"/>
            </w:tcMar>
          </w:tcPr>
          <w:p>
            <w:pPr>
              <w:spacing w:after="0" w:line="278" w:lineRule="auto"/>
            </w:pPr>
            <w:r>
              <w:rPr>
                <w:rFonts w:ascii="Consolas" w:hAnsi="Consolas"/>
                <w:color w:val="9A7526"/>
                <w:sz w:val="15"/>
              </w:rPr>
              <w:t>sessions/route.ts</w:t>
            </w:r>
            <w:r>
              <w:rPr>
                <w:rFonts w:ascii="Calibri" w:hAnsi="Calibri"/>
                <w:color w:val="3A4152"/>
                <w:sz w:val="18"/>
              </w:rPr>
              <w:t xml:space="preserve"> 172 — </w:t>
            </w:r>
            <w:r>
              <w:rPr>
                <w:rFonts w:ascii="Consolas" w:hAnsi="Consolas"/>
                <w:color w:val="9A7526"/>
                <w:sz w:val="15"/>
              </w:rPr>
              <w:t>capture_{riderId8}_{timestamp}</w:t>
            </w:r>
            <w:r>
              <w:rPr>
                <w:rFonts w:ascii="Calibri" w:hAnsi="Calibri"/>
                <w:color w:val="3A4152"/>
                <w:sz w:val="18"/>
              </w:rPr>
              <w:t xml:space="preserve">. Identities are </w:t>
            </w:r>
            <w:r>
              <w:rPr>
                <w:rFonts w:ascii="Consolas" w:hAnsi="Consolas"/>
                <w:color w:val="9A7526"/>
                <w:sz w:val="15"/>
              </w:rPr>
              <w:t>rider_{id}</w:t>
            </w:r>
            <w:r>
              <w:rPr>
                <w:rFonts w:ascii="Calibri" w:hAnsi="Calibri"/>
                <w:color w:val="3A4152"/>
                <w:sz w:val="18"/>
              </w:rPr>
              <w:t xml:space="preserve"> and </w:t>
            </w:r>
            <w:r>
              <w:rPr>
                <w:rFonts w:ascii="Consolas" w:hAnsi="Consolas"/>
                <w:color w:val="9A7526"/>
                <w:sz w:val="15"/>
              </w:rPr>
              <w:t>trainer_{id}</w:t>
            </w:r>
            <w:r>
              <w:rPr>
                <w:rFonts w:ascii="Calibri" w:hAnsi="Calibri"/>
                <w:color w:val="3A4152"/>
                <w:sz w:val="18"/>
              </w:rPr>
              <w:t>.</w:t>
            </w:r>
          </w:p>
        </w:tc>
      </w:tr>
      <w:tr>
        <w:tc>
          <w:tcPr>
            <w:tcW w:type="dxa" w:w="2520"/>
            <w:tcMar>
              <w:top w:w="80" w:type="dxa"/>
              <w:left w:w="110" w:type="dxa"/>
              <w:bottom w:w="80" w:type="dxa"/>
              <w:right w:w="110" w:type="dxa"/>
            </w:tcMar>
            <w:shd w:val="clear" w:color="auto" w:fill="FBF6EE"/>
          </w:tcPr>
          <w:p>
            <w:pPr>
              <w:spacing w:after="0" w:line="278" w:lineRule="auto"/>
            </w:pPr>
            <w:r>
              <w:rPr>
                <w:rFonts w:ascii="Calibri" w:hAnsi="Calibri"/>
                <w:color w:val="3A4152"/>
                <w:sz w:val="18"/>
              </w:rPr>
              <w:t>A join code already exists and works</w:t>
            </w:r>
          </w:p>
        </w:tc>
        <w:tc>
          <w:tcPr>
            <w:tcW w:type="dxa" w:w="1728"/>
            <w:tcMar>
              <w:top w:w="80" w:type="dxa"/>
              <w:left w:w="110" w:type="dxa"/>
              <w:bottom w:w="80" w:type="dxa"/>
              <w:right w:w="110" w:type="dxa"/>
            </w:tcMar>
            <w:shd w:val="clear" w:color="auto" w:fill="FBF6EE"/>
          </w:tcPr>
          <w:p>
            <w:pPr>
              <w:spacing w:after="0" w:line="278" w:lineRule="auto"/>
            </w:pPr>
            <w:r>
              <w:rPr>
                <w:rFonts w:ascii="Calibri" w:hAnsi="Calibri"/>
                <w:b/>
                <w:color w:val="1A2133"/>
                <w:sz w:val="18"/>
              </w:rPr>
              <w:t>Confirmed — and reusable</w:t>
            </w:r>
          </w:p>
        </w:tc>
        <w:tc>
          <w:tcPr>
            <w:tcW w:type="dxa" w:w="5256"/>
            <w:tcMar>
              <w:top w:w="80" w:type="dxa"/>
              <w:left w:w="110" w:type="dxa"/>
              <w:bottom w:w="80" w:type="dxa"/>
              <w:right w:w="110" w:type="dxa"/>
            </w:tcMar>
            <w:shd w:val="clear" w:color="auto" w:fill="FBF6EE"/>
          </w:tcPr>
          <w:p>
            <w:pPr>
              <w:spacing w:after="0" w:line="278" w:lineRule="auto"/>
            </w:pPr>
            <w:r>
              <w:rPr>
                <w:rFonts w:ascii="Consolas" w:hAnsi="Consolas"/>
                <w:color w:val="9A7526"/>
                <w:sz w:val="15"/>
              </w:rPr>
              <w:t>capture_sessions.join_code</w:t>
            </w:r>
            <w:r>
              <w:rPr>
                <w:rFonts w:ascii="Calibri" w:hAnsi="Calibri"/>
                <w:color w:val="3A4152"/>
                <w:sz w:val="18"/>
              </w:rPr>
              <w:t xml:space="preserve">, minted at </w:t>
            </w:r>
            <w:r>
              <w:rPr>
                <w:rFonts w:ascii="Consolas" w:hAnsi="Consolas"/>
                <w:color w:val="9A7526"/>
                <w:sz w:val="15"/>
              </w:rPr>
              <w:t>sessions/route.ts</w:t>
            </w:r>
            <w:r>
              <w:rPr>
                <w:rFonts w:ascii="Calibri" w:hAnsi="Calibri"/>
                <w:color w:val="3A4152"/>
                <w:sz w:val="18"/>
              </w:rPr>
              <w:t xml:space="preserve"> 176, already drives trainer scan-in. See F2.</w:t>
            </w:r>
          </w:p>
        </w:tc>
      </w:tr>
      <w:tr>
        <w:tc>
          <w:tcPr>
            <w:tcW w:type="dxa" w:w="2520"/>
            <w:tcMar>
              <w:top w:w="80" w:type="dxa"/>
              <w:left w:w="110" w:type="dxa"/>
              <w:bottom w:w="80" w:type="dxa"/>
              <w:right w:w="110" w:type="dxa"/>
            </w:tcMar>
          </w:tcPr>
          <w:p>
            <w:pPr>
              <w:spacing w:after="0" w:line="278" w:lineRule="auto"/>
            </w:pPr>
            <w:r>
              <w:rPr>
                <w:rFonts w:ascii="Calibri" w:hAnsi="Calibri"/>
                <w:color w:val="3A4152"/>
                <w:sz w:val="18"/>
              </w:rPr>
              <w:t>No organizational entity exists in the schema</w:t>
            </w:r>
          </w:p>
        </w:tc>
        <w:tc>
          <w:tcPr>
            <w:tcW w:type="dxa" w:w="1728"/>
            <w:tcMar>
              <w:top w:w="80" w:type="dxa"/>
              <w:left w:w="110" w:type="dxa"/>
              <w:bottom w:w="80" w:type="dxa"/>
              <w:right w:w="110" w:type="dxa"/>
            </w:tcMar>
          </w:tcPr>
          <w:p>
            <w:pPr>
              <w:spacing w:after="0" w:line="278" w:lineRule="auto"/>
            </w:pPr>
            <w:r>
              <w:rPr>
                <w:rFonts w:ascii="Calibri" w:hAnsi="Calibri"/>
                <w:b/>
                <w:color w:val="1A2133"/>
                <w:sz w:val="18"/>
              </w:rPr>
              <w:t>Not stated in the memo. Confirmed.</w:t>
            </w:r>
          </w:p>
        </w:tc>
        <w:tc>
          <w:tcPr>
            <w:tcW w:type="dxa" w:w="5256"/>
            <w:tcMar>
              <w:top w:w="80" w:type="dxa"/>
              <w:left w:w="110" w:type="dxa"/>
              <w:bottom w:w="80" w:type="dxa"/>
              <w:right w:w="110" w:type="dxa"/>
            </w:tcMar>
          </w:tcPr>
          <w:p>
            <w:pPr>
              <w:spacing w:after="0" w:line="278" w:lineRule="auto"/>
            </w:pPr>
            <w:r>
              <w:rPr>
                <w:rFonts w:ascii="Calibri" w:hAnsi="Calibri"/>
                <w:color w:val="3A4152"/>
                <w:sz w:val="18"/>
              </w:rPr>
              <w:t>54 tables across 34 migrations. None is a barn, facility, organization, or tenant. Full list in Appendix B.</w:t>
            </w:r>
          </w:p>
        </w:tc>
      </w:tr>
    </w:tbl>
    <w:p>
      <w:pPr>
        <w:spacing w:after="80"/>
      </w:pPr>
    </w:p>
    <w:p>
      <w:r>
        <w:br w:type="page"/>
      </w:r>
    </w:p>
    <w:p>
      <w:pPr>
        <w:pStyle w:val="Heading1"/>
        <w:pBdr>
          <w:bottom w:val="single" w:sz="6" w:space="5" w:color="D1A955"/>
        </w:pBdr>
      </w:pPr>
      <w:r>
        <w:t>3 · Findings</w:t>
      </w:r>
    </w:p>
    <w:p>
      <w:pPr>
        <w:pStyle w:val="Heading2"/>
      </w:pPr>
      <w:r>
        <w:rPr>
          <w:rFonts w:ascii="Georgia" w:hAnsi="Georgia"/>
          <w:color w:val="0E1729"/>
          <w:sz w:val="25"/>
        </w:rPr>
        <w:t>F1 · Decision 1 is scoped as device identity. It is a tenancy project.</w:t>
      </w:r>
    </w:p>
    <w:p>
      <w:pPr>
        <w:spacing w:after="100"/>
      </w:pPr>
      <w:r>
        <w:rPr>
          <w:rFonts w:ascii="Calibri" w:hAnsi="Calibri"/>
          <w:b/>
          <w:caps/>
          <w:color w:val="9C5F2C"/>
          <w:sz w:val="15"/>
        </w:rPr>
        <w:t>BLOCKING · HIGHEST PRIORITY · SCOPE CORRECTION</w:t>
      </w:r>
    </w:p>
    <w:p>
      <w:pPr>
        <w:pStyle w:val="Heading3"/>
      </w:pPr>
      <w:r>
        <w:rPr>
          <w:rFonts w:ascii="Calibri" w:hAnsi="Calibri"/>
          <w:b/>
          <w:caps/>
          <w:color w:val="8A6D2F"/>
          <w:sz w:val="17"/>
        </w:rPr>
        <w:t>What the memo says</w:t>
      </w:r>
    </w:p>
    <w:p>
      <w:pPr>
        <w:spacing w:after="140"/>
      </w:pPr>
      <w:r>
        <w:rPr>
          <w:rFonts w:ascii="Calibri" w:hAnsi="Calibri"/>
          <w:color w:val="3A4152"/>
          <w:sz w:val="21"/>
        </w:rPr>
        <w:t>Move device identity from rider-owned to barn-owned, with a roster and unambiguous session binding. Ranked first, correctly.</w:t>
      </w:r>
    </w:p>
    <w:p>
      <w:pPr>
        <w:pStyle w:val="Heading3"/>
      </w:pPr>
      <w:r>
        <w:rPr>
          <w:rFonts w:ascii="Calibri" w:hAnsi="Calibri"/>
          <w:b/>
          <w:caps/>
          <w:color w:val="8A6D2F"/>
          <w:sz w:val="17"/>
        </w:rPr>
        <w:t>What the code says</w:t>
      </w:r>
    </w:p>
    <w:p>
      <w:pPr>
        <w:spacing w:after="140"/>
      </w:pPr>
      <w:r>
        <w:rPr>
          <w:rFonts w:ascii="Calibri" w:hAnsi="Calibri"/>
          <w:color w:val="3A4152"/>
          <w:sz w:val="21"/>
        </w:rPr>
        <w:t xml:space="preserve">The diagnosis is right and the scope is far larger than the wording implies. </w:t>
      </w:r>
      <w:r>
        <w:rPr>
          <w:rFonts w:ascii="Calibri" w:hAnsi="Calibri"/>
          <w:b/>
          <w:color w:val="1A2133"/>
          <w:sz w:val="21"/>
        </w:rPr>
        <w:t>There is no organizational entity anywhere in the schema.</w:t>
      </w:r>
      <w:r>
        <w:rPr>
          <w:rFonts w:ascii="Calibri" w:hAnsi="Calibri"/>
          <w:color w:val="3A4152"/>
          <w:sz w:val="21"/>
        </w:rPr>
        <w:t xml:space="preserve"> Fifty-four tables, and not one of them is a barn, a facility, an organization, or a tenant.</w:t>
      </w:r>
    </w:p>
    <w:p>
      <w:pPr>
        <w:spacing w:after="140"/>
      </w:pPr>
      <w:r>
        <w:rPr>
          <w:rFonts w:ascii="Calibri" w:hAnsi="Calibri"/>
          <w:color w:val="3A4152"/>
          <w:sz w:val="21"/>
        </w:rPr>
        <w:t xml:space="preserve">What exists instead is an entirely peer-to-peer social graph: </w:t>
      </w:r>
      <w:r>
        <w:rPr>
          <w:rFonts w:ascii="Consolas" w:hAnsi="Consolas"/>
          <w:color w:val="9A7526"/>
          <w:sz w:val="18"/>
        </w:rPr>
        <w:t>profiles</w:t>
      </w:r>
      <w:r>
        <w:rPr>
          <w:rFonts w:ascii="Calibri" w:hAnsi="Calibri"/>
          <w:color w:val="3A4152"/>
          <w:sz w:val="21"/>
        </w:rPr>
        <w:t xml:space="preserve"> carries </w:t>
      </w:r>
      <w:r>
        <w:rPr>
          <w:rFonts w:ascii="Consolas" w:hAnsi="Consolas"/>
          <w:color w:val="9A7526"/>
          <w:sz w:val="18"/>
        </w:rPr>
        <w:t>role_rider</w:t>
      </w:r>
      <w:r>
        <w:rPr>
          <w:rFonts w:ascii="Calibri" w:hAnsi="Calibri"/>
          <w:color w:val="3A4152"/>
          <w:sz w:val="21"/>
        </w:rPr>
        <w:t xml:space="preserve"> and </w:t>
      </w:r>
      <w:r>
        <w:rPr>
          <w:rFonts w:ascii="Consolas" w:hAnsi="Consolas"/>
          <w:color w:val="9A7526"/>
          <w:sz w:val="18"/>
        </w:rPr>
        <w:t>role_trainer</w:t>
      </w:r>
      <w:r>
        <w:rPr>
          <w:rFonts w:ascii="Calibri" w:hAnsi="Calibri"/>
          <w:color w:val="3A4152"/>
          <w:sz w:val="21"/>
        </w:rPr>
        <w:t xml:space="preserve"> booleans, and </w:t>
      </w:r>
      <w:r>
        <w:rPr>
          <w:rFonts w:ascii="Consolas" w:hAnsi="Consolas"/>
          <w:color w:val="9A7526"/>
          <w:sz w:val="18"/>
        </w:rPr>
        <w:t>coach_connections</w:t>
      </w:r>
      <w:r>
        <w:rPr>
          <w:rFonts w:ascii="Calibri" w:hAnsi="Calibri"/>
          <w:color w:val="3A4152"/>
          <w:sz w:val="21"/>
        </w:rPr>
        <w:t xml:space="preserve"> links one rider to one trainer with a status and a share scope. Permissions are enforced in row-level security policies that compare </w:t>
      </w:r>
      <w:r>
        <w:rPr>
          <w:rFonts w:ascii="Consolas" w:hAnsi="Consolas"/>
          <w:color w:val="9A7526"/>
          <w:sz w:val="18"/>
        </w:rPr>
        <w:t>auth.uid()</w:t>
      </w:r>
      <w:r>
        <w:rPr>
          <w:rFonts w:ascii="Calibri" w:hAnsi="Calibri"/>
          <w:color w:val="3A4152"/>
          <w:sz w:val="21"/>
        </w:rPr>
        <w:t xml:space="preserve"> against those pairwise rows — a trainer can read a ride only by matching an active connection to that specific rider, optionally narrowed to individually shared sessions.</w:t>
      </w:r>
    </w:p>
    <w:p>
      <w:pPr>
        <w:spacing w:before="160" w:after="200"/>
        <w:ind w:left="288"/>
        <w:pBdr>
          <w:left w:val="single" w:sz="12" w:space="10" w:color="D1A955"/>
        </w:pBdr>
      </w:pPr>
      <w:r>
        <w:rPr>
          <w:rFonts w:ascii="Georgia" w:hAnsi="Georgia"/>
          <w:i/>
          <w:color w:val="9A7526"/>
          <w:sz w:val="23"/>
        </w:rPr>
        <w:t>There is no seam in this schema where a barn goes. It has to be cut, and every session policy re-derived against it.</w:t>
      </w:r>
    </w:p>
    <w:p>
      <w:pPr>
        <w:pStyle w:val="Heading3"/>
      </w:pPr>
      <w:r>
        <w:rPr>
          <w:rFonts w:ascii="Calibri" w:hAnsi="Calibri"/>
          <w:b/>
          <w:caps/>
          <w:color w:val="8A6D2F"/>
          <w:sz w:val="17"/>
        </w:rPr>
        <w:t>Why this matters for how the work is assigned</w:t>
      </w:r>
    </w:p>
    <w:p>
      <w:pPr>
        <w:spacing w:after="140"/>
      </w:pPr>
      <w:r>
        <w:rPr>
          <w:rFonts w:ascii="Calibri" w:hAnsi="Calibri"/>
          <w:color w:val="3A4152"/>
          <w:sz w:val="21"/>
        </w:rPr>
        <w:t xml:space="preserve">Written as “move device identity to barn-owned,” this reads like repointing a foreign key. Someone will change </w:t>
      </w:r>
      <w:r>
        <w:rPr>
          <w:rFonts w:ascii="Consolas" w:hAnsi="Consolas"/>
          <w:color w:val="9A7526"/>
          <w:sz w:val="18"/>
        </w:rPr>
        <w:t>edge_devices.rider_id</w:t>
      </w:r>
      <w:r>
        <w:rPr>
          <w:rFonts w:ascii="Calibri" w:hAnsi="Calibri"/>
          <w:color w:val="3A4152"/>
          <w:sz w:val="21"/>
        </w:rPr>
        <w:t xml:space="preserve"> to </w:t>
      </w:r>
      <w:r>
        <w:rPr>
          <w:rFonts w:ascii="Consolas" w:hAnsi="Consolas"/>
          <w:color w:val="9A7526"/>
          <w:sz w:val="18"/>
        </w:rPr>
        <w:t>barn_id</w:t>
      </w:r>
      <w:r>
        <w:rPr>
          <w:rFonts w:ascii="Calibri" w:hAnsi="Calibri"/>
          <w:color w:val="3A4152"/>
          <w:sz w:val="21"/>
        </w:rPr>
        <w:t xml:space="preserve">, ship it, and believe the decision is implemented. The actual work is a new tenancy layer plus a review of every row-level security policy that touches sessions, media, and transcripts — including the recursion fix already sitting in migration </w:t>
      </w:r>
      <w:r>
        <w:rPr>
          <w:rFonts w:ascii="Consolas" w:hAnsi="Consolas"/>
          <w:color w:val="9A7526"/>
          <w:sz w:val="18"/>
        </w:rPr>
        <w:t>20260721000001</w:t>
      </w:r>
      <w:r>
        <w:rPr>
          <w:rFonts w:ascii="Calibri" w:hAnsi="Calibri"/>
          <w:color w:val="3A4152"/>
          <w:sz w:val="21"/>
        </w:rPr>
        <w:t>, which is evidence that these policies are delicate.</w:t>
      </w:r>
    </w:p>
    <w:p>
      <w:pPr>
        <w:pStyle w:val="Heading3"/>
      </w:pPr>
      <w:r>
        <w:rPr>
          <w:rFonts w:ascii="Calibri" w:hAnsi="Calibri"/>
          <w:b/>
          <w:caps/>
          <w:color w:val="8A6D2F"/>
          <w:sz w:val="17"/>
        </w:rPr>
        <w:t>Proposed resolution</w:t>
      </w:r>
    </w:p>
    <w:p>
      <w:pPr>
        <w:spacing w:after="140"/>
      </w:pPr>
      <w:r>
        <w:rPr>
          <w:rFonts w:ascii="Calibri" w:hAnsi="Calibri"/>
          <w:color w:val="3A4152"/>
          <w:sz w:val="21"/>
        </w:rPr>
        <w:t xml:space="preserve">Split it in two and stop conflating them. </w:t>
      </w:r>
      <w:r>
        <w:rPr>
          <w:rFonts w:ascii="Calibri" w:hAnsi="Calibri"/>
          <w:b/>
          <w:color w:val="1A2133"/>
          <w:sz w:val="21"/>
        </w:rPr>
        <w:t>F2 is the immediate half.</w:t>
      </w:r>
      <w:r>
        <w:rPr>
          <w:rFonts w:ascii="Calibri" w:hAnsi="Calibri"/>
          <w:color w:val="3A4152"/>
          <w:sz w:val="21"/>
        </w:rPr>
        <w:t xml:space="preserve"> The tenancy half stays ranked first as a project, gets its own schema design, and does not block device work in the meantime.</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5"/>
        </w:rPr>
        <w:t>F2 · The binding ambiguity has a cheap fix available now: bind on the join code.</w:t>
      </w:r>
    </w:p>
    <w:p>
      <w:pPr>
        <w:spacing w:after="100"/>
      </w:pPr>
      <w:r>
        <w:rPr>
          <w:rFonts w:ascii="Calibri" w:hAnsi="Calibri"/>
          <w:b/>
          <w:caps/>
          <w:color w:val="446E51"/>
          <w:sz w:val="15"/>
        </w:rPr>
        <w:t>PROPOSAL · UNBLOCKS TIER 2 WORK IMMEDIATELY</w:t>
      </w:r>
    </w:p>
    <w:p>
      <w:pPr>
        <w:pStyle w:val="Heading3"/>
      </w:pPr>
      <w:r>
        <w:rPr>
          <w:rFonts w:ascii="Calibri" w:hAnsi="Calibri"/>
          <w:b/>
          <w:caps/>
          <w:color w:val="8A6D2F"/>
          <w:sz w:val="17"/>
        </w:rPr>
        <w:t>The problem being solved</w:t>
      </w:r>
    </w:p>
    <w:p>
      <w:pPr>
        <w:spacing w:after="140"/>
      </w:pPr>
      <w:r>
        <w:rPr>
          <w:rFonts w:ascii="Calibri" w:hAnsi="Calibri"/>
          <w:color w:val="3A4152"/>
          <w:sz w:val="21"/>
        </w:rPr>
        <w:t>One hub, fifteen riders, back-to-back lessons. Attach takes the most recent open session for the device's owner. With two sessions open it binds to the wrong one and says nothing.</w:t>
      </w:r>
    </w:p>
    <w:p>
      <w:pPr>
        <w:pStyle w:val="Heading3"/>
      </w:pPr>
      <w:r>
        <w:rPr>
          <w:rFonts w:ascii="Calibri" w:hAnsi="Calibri"/>
          <w:b/>
          <w:caps/>
          <w:color w:val="8A6D2F"/>
          <w:sz w:val="17"/>
        </w:rPr>
        <w:t>The primitive already exists</w:t>
      </w:r>
    </w:p>
    <w:p>
      <w:pPr>
        <w:spacing w:after="140"/>
      </w:pPr>
      <w:r>
        <w:rPr>
          <w:rFonts w:ascii="Consolas" w:hAnsi="Consolas"/>
          <w:color w:val="9A7526"/>
          <w:sz w:val="18"/>
        </w:rPr>
        <w:t>capture_sessions.join_code</w:t>
      </w:r>
      <w:r>
        <w:rPr>
          <w:rFonts w:ascii="Calibri" w:hAnsi="Calibri"/>
          <w:color w:val="3A4152"/>
          <w:sz w:val="21"/>
        </w:rPr>
        <w:t xml:space="preserve"> is minted on every session and already drives trainer scan-in, including a QR rendered in the live session client. It is understood by users, tested in the field, and has nothing to do with device identity — which is exactly why it works here.</w:t>
      </w:r>
    </w:p>
    <w:p>
      <w:pPr>
        <w:pStyle w:val="Heading3"/>
      </w:pPr>
      <w:r>
        <w:rPr>
          <w:rFonts w:ascii="Calibri" w:hAnsi="Calibri"/>
          <w:b/>
          <w:caps/>
          <w:color w:val="8A6D2F"/>
          <w:sz w:val="17"/>
        </w:rPr>
        <w:t>Proposed behaviour</w:t>
      </w:r>
    </w:p>
    <w:p>
      <w:pPr>
        <w:pStyle w:val="ListBullet"/>
        <w:ind w:left="374"/>
      </w:pPr>
      <w:r>
        <w:rPr>
          <w:rFonts w:ascii="Calibri" w:hAnsi="Calibri"/>
          <w:color w:val="3A4152"/>
          <w:sz w:val="21"/>
        </w:rPr>
        <w:t xml:space="preserve">The hub attaches to </w:t>
      </w:r>
      <w:r>
        <w:rPr>
          <w:rFonts w:ascii="Calibri" w:hAnsi="Calibri"/>
          <w:b/>
          <w:color w:val="1A2133"/>
          <w:sz w:val="21"/>
        </w:rPr>
        <w:t>a specific code</w:t>
      </w:r>
      <w:r>
        <w:rPr>
          <w:rFonts w:ascii="Calibri" w:hAnsi="Calibri"/>
          <w:color w:val="3A4152"/>
          <w:sz w:val="21"/>
        </w:rPr>
        <w:t>, never to “whichever session is open.”</w:t>
      </w:r>
    </w:p>
    <w:p>
      <w:pPr>
        <w:pStyle w:val="ListBullet"/>
        <w:ind w:left="374"/>
      </w:pPr>
      <w:r>
        <w:rPr>
          <w:rFonts w:ascii="Calibri" w:hAnsi="Calibri"/>
          <w:color w:val="3A4152"/>
          <w:sz w:val="21"/>
        </w:rPr>
        <w:t xml:space="preserve">With no code, the hub </w:t>
      </w:r>
      <w:r>
        <w:rPr>
          <w:rFonts w:ascii="Calibri" w:hAnsi="Calibri"/>
          <w:b/>
          <w:color w:val="1A2133"/>
          <w:sz w:val="21"/>
        </w:rPr>
        <w:t>refuses and reports why</w:t>
      </w:r>
      <w:r>
        <w:rPr>
          <w:rFonts w:ascii="Calibri" w:hAnsi="Calibri"/>
          <w:color w:val="3A4152"/>
          <w:sz w:val="21"/>
        </w:rPr>
        <w:t>. It does not guess, and it does not fall back to the old behaviour.</w:t>
      </w:r>
    </w:p>
    <w:p>
      <w:pPr>
        <w:pStyle w:val="ListBullet"/>
        <w:ind w:left="374"/>
      </w:pPr>
      <w:r>
        <w:rPr>
          <w:rFonts w:ascii="Calibri" w:hAnsi="Calibri"/>
          <w:color w:val="3A4152"/>
          <w:sz w:val="21"/>
        </w:rPr>
        <w:t>The rider's phone already has the code the moment they tap Start, so the rider-facing flow does not change.</w:t>
      </w:r>
    </w:p>
    <w:p>
      <w:pPr>
        <w:pStyle w:val="Heading3"/>
      </w:pPr>
      <w:r>
        <w:rPr>
          <w:rFonts w:ascii="Calibri" w:hAnsi="Calibri"/>
          <w:b/>
          <w:caps/>
          <w:color w:val="8A6D2F"/>
          <w:sz w:val="17"/>
        </w:rPr>
        <w:t>Why this is worth doing before the tenancy work</w:t>
      </w:r>
    </w:p>
    <w:p>
      <w:pPr>
        <w:spacing w:after="140"/>
      </w:pPr>
      <w:r>
        <w:rPr>
          <w:rFonts w:ascii="Calibri" w:hAnsi="Calibri"/>
          <w:color w:val="3A4152"/>
          <w:sz w:val="21"/>
        </w:rPr>
        <w:t>It removes the silent wrong-rider bind — which is a data-integrity and privacy failure, not an inconvenience — in a change measured in hours. It lets tier 2 device work proceed against correct semantics while the tenancy model is designed properly rather than in a hurry. And it throws nothing away: under barn ownership the hub still binds to a code.</w:t>
      </w:r>
    </w:p>
    <w:p>
      <w:pPr>
        <w:pStyle w:val="Heading3"/>
      </w:pPr>
      <w:r>
        <w:rPr>
          <w:rFonts w:ascii="Calibri" w:hAnsi="Calibri"/>
          <w:b/>
          <w:caps/>
          <w:color w:val="8A6D2F"/>
          <w:sz w:val="17"/>
        </w:rPr>
        <w:t>Question</w:t>
      </w:r>
    </w:p>
    <w:p>
      <w:pPr>
        <w:spacing w:after="140"/>
      </w:pPr>
      <w:r>
        <w:rPr>
          <w:rFonts w:ascii="Calibri" w:hAnsi="Calibri"/>
          <w:color w:val="3A4152"/>
          <w:sz w:val="21"/>
        </w:rPr>
        <w:t>Does “unambiguous session binding” in the memo already mean this? If so we are aligned and it only needs stating explicitly, because the current wording does not rule out a roster lookup as the binding mechanism, which would be a much larger change for the same outcome.</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r>
        <w:br w:type="page"/>
      </w:r>
    </w:p>
    <w:p>
      <w:pPr>
        <w:pStyle w:val="Heading2"/>
      </w:pPr>
      <w:r>
        <w:rPr>
          <w:rFonts w:ascii="Georgia" w:hAnsi="Georgia"/>
          <w:color w:val="0E1729"/>
          <w:sz w:val="25"/>
        </w:rPr>
        <w:t>F3 · Contradiction: tier 2 both does and does not require the phone to reach the hub.</w:t>
      </w:r>
    </w:p>
    <w:p>
      <w:pPr>
        <w:spacing w:after="100"/>
      </w:pPr>
      <w:r>
        <w:rPr>
          <w:rFonts w:ascii="Calibri" w:hAnsi="Calibri"/>
          <w:b/>
          <w:caps/>
          <w:color w:val="9C5F2C"/>
          <w:sz w:val="15"/>
        </w:rPr>
        <w:t>BLOCKING · CHANGES WHAT TIER 2 IS</w:t>
      </w:r>
    </w:p>
    <w:p>
      <w:pPr>
        <w:pStyle w:val="Heading3"/>
      </w:pPr>
      <w:r>
        <w:rPr>
          <w:rFonts w:ascii="Calibri" w:hAnsi="Calibri"/>
          <w:b/>
          <w:caps/>
          <w:color w:val="8A6D2F"/>
          <w:sz w:val="17"/>
        </w:rPr>
        <w:t>The three statements</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752"/>
        <w:gridCol w:w="4752"/>
      </w:tblGrid>
      <w:tr>
        <w:trPr>
          <w:tblHeader/>
        </w:trPr>
        <w:tc>
          <w:tcPr>
            <w:tcW w:type="dxa" w:w="1944"/>
            <w:shd w:val="clear" w:color="auto" w:fill="0E1729"/>
            <w:tcMar>
              <w:top w:w="80" w:type="dxa"/>
              <w:left w:w="110" w:type="dxa"/>
              <w:bottom w:w="80" w:type="dxa"/>
              <w:right w:w="110" w:type="dxa"/>
            </w:tcMar>
          </w:tcPr>
          <w:p>
            <w:pPr>
              <w:spacing w:after="0"/>
            </w:pPr>
            <w:r>
              <w:rPr>
                <w:rFonts w:ascii="Calibri" w:hAnsi="Calibri"/>
                <w:b/>
                <w:caps/>
                <w:color w:val="FCF2E6"/>
                <w:sz w:val="16"/>
              </w:rPr>
              <w:t>Where</w:t>
            </w:r>
          </w:p>
        </w:tc>
        <w:tc>
          <w:tcPr>
            <w:tcW w:type="dxa" w:w="7560"/>
            <w:shd w:val="clear" w:color="auto" w:fill="0E1729"/>
            <w:tcMar>
              <w:top w:w="80" w:type="dxa"/>
              <w:left w:w="110" w:type="dxa"/>
              <w:bottom w:w="80" w:type="dxa"/>
              <w:right w:w="110" w:type="dxa"/>
            </w:tcMar>
          </w:tcPr>
          <w:p>
            <w:pPr>
              <w:spacing w:after="0"/>
            </w:pPr>
            <w:r>
              <w:rPr>
                <w:rFonts w:ascii="Calibri" w:hAnsi="Calibri"/>
                <w:b/>
                <w:caps/>
                <w:color w:val="FCF2E6"/>
                <w:sz w:val="16"/>
              </w:rPr>
              <w:t>What it says</w:t>
            </w:r>
          </w:p>
        </w:tc>
      </w:tr>
      <w:tr>
        <w:tc>
          <w:tcPr>
            <w:tcW w:type="dxa" w:w="1944"/>
            <w:tcMar>
              <w:top w:w="80" w:type="dxa"/>
              <w:left w:w="110" w:type="dxa"/>
              <w:bottom w:w="80" w:type="dxa"/>
              <w:right w:w="110" w:type="dxa"/>
            </w:tcMar>
          </w:tcPr>
          <w:p>
            <w:pPr>
              <w:spacing w:after="0" w:line="278" w:lineRule="auto"/>
            </w:pPr>
            <w:r>
              <w:rPr>
                <w:rFonts w:ascii="Calibri" w:hAnsi="Calibri"/>
                <w:color w:val="3A4152"/>
                <w:sz w:val="18"/>
              </w:rPr>
              <w:t>§2, tier 2</w:t>
            </w:r>
          </w:p>
        </w:tc>
        <w:tc>
          <w:tcPr>
            <w:tcW w:type="dxa" w:w="7560"/>
            <w:tcMar>
              <w:top w:w="80" w:type="dxa"/>
              <w:left w:w="110" w:type="dxa"/>
              <w:bottom w:w="80" w:type="dxa"/>
              <w:right w:w="110" w:type="dxa"/>
            </w:tcMar>
          </w:tcPr>
          <w:p>
            <w:pPr>
              <w:spacing w:after="0" w:line="278" w:lineRule="auto"/>
            </w:pPr>
            <w:r>
              <w:rPr>
                <w:rFonts w:ascii="Calibri" w:hAnsi="Calibri"/>
                <w:color w:val="3A4152"/>
                <w:sz w:val="18"/>
              </w:rPr>
              <w:t>The hub “bridges the lesson audio locally, so latency drops and the lesson survives poor connectivity.”</w:t>
            </w:r>
          </w:p>
        </w:tc>
      </w:tr>
      <w:tr>
        <w:tc>
          <w:tcPr>
            <w:tcW w:type="dxa" w:w="1944"/>
            <w:tcMar>
              <w:top w:w="80" w:type="dxa"/>
              <w:left w:w="110" w:type="dxa"/>
              <w:bottom w:w="80" w:type="dxa"/>
              <w:right w:w="110" w:type="dxa"/>
            </w:tcMar>
            <w:shd w:val="clear" w:color="auto" w:fill="FBF6EE"/>
          </w:tcPr>
          <w:p>
            <w:pPr>
              <w:spacing w:after="0" w:line="278" w:lineRule="auto"/>
            </w:pPr>
            <w:r>
              <w:rPr>
                <w:rFonts w:ascii="Calibri" w:hAnsi="Calibri"/>
                <w:color w:val="3A4152"/>
                <w:sz w:val="18"/>
              </w:rPr>
              <w:t>§3, control planes</w:t>
            </w:r>
          </w:p>
        </w:tc>
        <w:tc>
          <w:tcPr>
            <w:tcW w:type="dxa" w:w="7560"/>
            <w:tcMar>
              <w:top w:w="80" w:type="dxa"/>
              <w:left w:w="110" w:type="dxa"/>
              <w:bottom w:w="80" w:type="dxa"/>
              <w:right w:w="110" w:type="dxa"/>
            </w:tcMar>
            <w:shd w:val="clear" w:color="auto" w:fill="FBF6EE"/>
          </w:tcPr>
          <w:p>
            <w:pPr>
              <w:spacing w:after="0" w:line="278" w:lineRule="auto"/>
            </w:pPr>
            <w:r>
              <w:rPr>
                <w:rFonts w:ascii="Calibri" w:hAnsi="Calibri"/>
                <w:color w:val="3A4152"/>
                <w:sz w:val="18"/>
              </w:rPr>
              <w:t xml:space="preserve">Trainer voice to rider earpiece: under 150 ms, </w:t>
            </w:r>
            <w:r>
              <w:rPr>
                <w:rFonts w:ascii="Calibri" w:hAnsi="Calibri"/>
                <w:b/>
                <w:color w:val="1A2133"/>
                <w:sz w:val="18"/>
              </w:rPr>
              <w:t>local plane</w:t>
            </w:r>
            <w:r>
              <w:rPr>
                <w:rFonts w:ascii="Calibri" w:hAnsi="Calibri"/>
                <w:color w:val="3A4152"/>
                <w:sz w:val="18"/>
              </w:rPr>
              <w:t>. “Cloud relay is a fallback, not the design.”</w:t>
            </w:r>
          </w:p>
        </w:tc>
      </w:tr>
      <w:tr>
        <w:tc>
          <w:tcPr>
            <w:tcW w:type="dxa" w:w="1944"/>
            <w:tcMar>
              <w:top w:w="80" w:type="dxa"/>
              <w:left w:w="110" w:type="dxa"/>
              <w:bottom w:w="80" w:type="dxa"/>
              <w:right w:w="110" w:type="dxa"/>
            </w:tcMar>
          </w:tcPr>
          <w:p>
            <w:pPr>
              <w:spacing w:after="0" w:line="278" w:lineRule="auto"/>
            </w:pPr>
            <w:r>
              <w:rPr>
                <w:rFonts w:ascii="Calibri" w:hAnsi="Calibri"/>
                <w:color w:val="3A4152"/>
                <w:sz w:val="18"/>
              </w:rPr>
              <w:t>§3, client platform</w:t>
            </w:r>
          </w:p>
        </w:tc>
        <w:tc>
          <w:tcPr>
            <w:tcW w:type="dxa" w:w="7560"/>
            <w:tcMar>
              <w:top w:w="80" w:type="dxa"/>
              <w:left w:w="110" w:type="dxa"/>
              <w:bottom w:w="80" w:type="dxa"/>
              <w:right w:w="110" w:type="dxa"/>
            </w:tcMar>
          </w:tcPr>
          <w:p>
            <w:pPr>
              <w:spacing w:after="0" w:line="278" w:lineRule="auto"/>
            </w:pPr>
            <w:r>
              <w:rPr>
                <w:rFonts w:ascii="Calibri" w:hAnsi="Calibri"/>
                <w:color w:val="3A4152"/>
                <w:sz w:val="18"/>
              </w:rPr>
              <w:t>The web app “remains viable for tier 2, because the control plane routes through the cloud rather than requiring the phone to reach the hub directly.”</w:t>
            </w:r>
          </w:p>
        </w:tc>
      </w:tr>
    </w:tbl>
    <w:p>
      <w:pPr>
        <w:spacing w:after="80"/>
      </w:pPr>
    </w:p>
    <w:p>
      <w:pPr>
        <w:spacing w:after="140"/>
      </w:pPr>
      <w:r>
        <w:rPr>
          <w:rFonts w:ascii="Calibri" w:hAnsi="Calibri"/>
          <w:color w:val="3A4152"/>
          <w:sz w:val="21"/>
        </w:rPr>
        <w:t>These cannot all hold. If trainer voice is bridged locally at tier 2, the phone must reach the hub at tier 2, and the stated justification for deferring the native client to tier 3 disappears.</w:t>
      </w:r>
    </w:p>
    <w:p>
      <w:pPr>
        <w:pStyle w:val="Heading3"/>
      </w:pPr>
      <w:r>
        <w:rPr>
          <w:rFonts w:ascii="Calibri" w:hAnsi="Calibri"/>
          <w:b/>
          <w:caps/>
          <w:color w:val="8A6D2F"/>
          <w:sz w:val="17"/>
        </w:rPr>
        <w:t>Why it is not pedantry</w:t>
      </w:r>
    </w:p>
    <w:p>
      <w:pPr>
        <w:spacing w:after="140"/>
      </w:pPr>
      <w:r>
        <w:rPr>
          <w:rFonts w:ascii="Calibri" w:hAnsi="Calibri"/>
          <w:color w:val="3A4152"/>
          <w:sz w:val="21"/>
        </w:rPr>
        <w:t>The thing hiding behind the contradiction is genuinely hard. A browser connecting to a media server on a private LAN address needs HTTPS with a certificate the phone already trusts. Self-signed certificates do not work on arbitrary phones without per-device installation. A real certificate for a hostname that resolves to a private address is a piece of infrastructure to build and operate, not a configuration line. Native clients avoid the problem completely, which is precisely why this determines the client platform decision rather than following from it.</w:t>
      </w:r>
    </w:p>
    <w:p>
      <w:pPr>
        <w:pStyle w:val="Heading3"/>
      </w:pPr>
      <w:r>
        <w:rPr>
          <w:rFonts w:ascii="Calibri" w:hAnsi="Calibri"/>
          <w:b/>
          <w:caps/>
          <w:color w:val="8A6D2F"/>
          <w:sz w:val="17"/>
        </w:rPr>
        <w:t>The two coherent positions</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752"/>
        <w:gridCol w:w="4752"/>
      </w:tblGrid>
      <w:tr>
        <w:trPr>
          <w:tblHeader/>
        </w:trPr>
        <w:tc>
          <w:tcPr>
            <w:tcW w:type="dxa" w:w="4320"/>
            <w:shd w:val="clear" w:color="auto" w:fill="0E1729"/>
            <w:tcMar>
              <w:top w:w="80" w:type="dxa"/>
              <w:left w:w="110" w:type="dxa"/>
              <w:bottom w:w="80" w:type="dxa"/>
              <w:right w:w="110" w:type="dxa"/>
            </w:tcMar>
          </w:tcPr>
          <w:p>
            <w:pPr>
              <w:spacing w:after="0"/>
            </w:pPr>
            <w:r>
              <w:rPr>
                <w:rFonts w:ascii="Calibri" w:hAnsi="Calibri"/>
                <w:b/>
                <w:caps/>
                <w:color w:val="FCF2E6"/>
                <w:sz w:val="16"/>
              </w:rPr>
              <w:t>Position</w:t>
            </w:r>
          </w:p>
        </w:tc>
        <w:tc>
          <w:tcPr>
            <w:tcW w:type="dxa" w:w="5184"/>
            <w:shd w:val="clear" w:color="auto" w:fill="0E1729"/>
            <w:tcMar>
              <w:top w:w="80" w:type="dxa"/>
              <w:left w:w="110" w:type="dxa"/>
              <w:bottom w:w="80" w:type="dxa"/>
              <w:right w:w="110" w:type="dxa"/>
            </w:tcMar>
          </w:tcPr>
          <w:p>
            <w:pPr>
              <w:spacing w:after="0"/>
            </w:pPr>
            <w:r>
              <w:rPr>
                <w:rFonts w:ascii="Calibri" w:hAnsi="Calibri"/>
                <w:b/>
                <w:caps/>
                <w:color w:val="FCF2E6"/>
                <w:sz w:val="16"/>
              </w:rPr>
              <w:t>Consequence</w:t>
            </w:r>
          </w:p>
        </w:tc>
      </w:tr>
      <w:tr>
        <w:tc>
          <w:tcPr>
            <w:tcW w:type="dxa" w:w="4320"/>
            <w:tcMar>
              <w:top w:w="80" w:type="dxa"/>
              <w:left w:w="110" w:type="dxa"/>
              <w:bottom w:w="80" w:type="dxa"/>
              <w:right w:w="110" w:type="dxa"/>
            </w:tcMar>
          </w:tcPr>
          <w:p>
            <w:pPr>
              <w:spacing w:after="0" w:line="278" w:lineRule="auto"/>
            </w:pPr>
            <w:r>
              <w:rPr>
                <w:rFonts w:ascii="Calibri" w:hAnsi="Calibri"/>
                <w:b/>
                <w:color w:val="1A2133"/>
                <w:sz w:val="18"/>
              </w:rPr>
              <w:t>A · Local audio is tier 3.</w:t>
            </w:r>
            <w:r>
              <w:rPr>
                <w:rFonts w:ascii="Calibri" w:hAnsi="Calibri"/>
                <w:color w:val="3A4152"/>
                <w:sz w:val="18"/>
              </w:rPr>
              <w:t xml:space="preserve"> Tier 2 audio stays cloud-relayed; the hub is video, capture and offline resilience.</w:t>
            </w:r>
          </w:p>
        </w:tc>
        <w:tc>
          <w:tcPr>
            <w:tcW w:type="dxa" w:w="5184"/>
            <w:tcMar>
              <w:top w:w="80" w:type="dxa"/>
              <w:left w:w="110" w:type="dxa"/>
              <w:bottom w:w="80" w:type="dxa"/>
              <w:right w:w="110" w:type="dxa"/>
            </w:tcMar>
          </w:tcPr>
          <w:p>
            <w:pPr>
              <w:spacing w:after="0" w:line="278" w:lineRule="auto"/>
            </w:pPr>
            <w:r>
              <w:rPr>
                <w:rFonts w:ascii="Calibri" w:hAnsi="Calibri"/>
                <w:color w:val="3A4152"/>
                <w:sz w:val="18"/>
              </w:rPr>
              <w:t>Web client holds through tier 2 as the memo says. Tier 2 does not beat the incumbent on latency — it wins on video and on the ride surviving bad connectivity. Native work stays deferred.</w:t>
            </w:r>
          </w:p>
        </w:tc>
      </w:tr>
      <w:tr>
        <w:tc>
          <w:tcPr>
            <w:tcW w:type="dxa" w:w="4320"/>
            <w:tcMar>
              <w:top w:w="80" w:type="dxa"/>
              <w:left w:w="110" w:type="dxa"/>
              <w:bottom w:w="80" w:type="dxa"/>
              <w:right w:w="110" w:type="dxa"/>
            </w:tcMar>
            <w:shd w:val="clear" w:color="auto" w:fill="FBF6EE"/>
          </w:tcPr>
          <w:p>
            <w:pPr>
              <w:spacing w:after="0" w:line="278" w:lineRule="auto"/>
            </w:pPr>
            <w:r>
              <w:rPr>
                <w:rFonts w:ascii="Calibri" w:hAnsi="Calibri"/>
                <w:b/>
                <w:color w:val="1A2133"/>
                <w:sz w:val="18"/>
              </w:rPr>
              <w:t>B · Local audio is tier 2.</w:t>
            </w:r>
            <w:r>
              <w:rPr>
                <w:rFonts w:ascii="Calibri" w:hAnsi="Calibri"/>
                <w:color w:val="3A4152"/>
                <w:sz w:val="18"/>
              </w:rPr>
              <w:t xml:space="preserve"> The hub bridges lesson audio as §2 describes.</w:t>
            </w:r>
          </w:p>
        </w:tc>
        <w:tc>
          <w:tcPr>
            <w:tcW w:type="dxa" w:w="5184"/>
            <w:tcMar>
              <w:top w:w="80" w:type="dxa"/>
              <w:left w:w="110" w:type="dxa"/>
              <w:bottom w:w="80" w:type="dxa"/>
              <w:right w:w="110" w:type="dxa"/>
            </w:tcMar>
            <w:shd w:val="clear" w:color="auto" w:fill="FBF6EE"/>
          </w:tcPr>
          <w:p>
            <w:pPr>
              <w:spacing w:after="0" w:line="278" w:lineRule="auto"/>
            </w:pPr>
            <w:r>
              <w:rPr>
                <w:rFonts w:ascii="Calibri" w:hAnsi="Calibri"/>
                <w:color w:val="3A4152"/>
                <w:sz w:val="18"/>
              </w:rPr>
              <w:t>Native client moves to tier 2, and the certificate and discovery problem becomes near-term work. Tier 2 gets materially more expensive and materially more compelling.</w:t>
            </w:r>
          </w:p>
        </w:tc>
      </w:tr>
    </w:tbl>
    <w:p>
      <w:pPr>
        <w:spacing w:after="80"/>
      </w:pPr>
    </w:p>
    <w:p>
      <w:pPr>
        <w:spacing w:after="140"/>
      </w:pPr>
      <w:r>
        <w:rPr>
          <w:rFonts w:ascii="Calibri" w:hAnsi="Calibri"/>
          <w:color w:val="3A4152"/>
          <w:sz w:val="21"/>
        </w:rPr>
        <w:t>Either is defensible. What is not workable is the memo as written, which promises both.</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5"/>
        </w:rPr>
        <w:t>F4 · Decision 6 is ranked sixth, is closer to second, and is partly already decided.</w:t>
      </w:r>
    </w:p>
    <w:p>
      <w:pPr>
        <w:spacing w:after="100"/>
      </w:pPr>
      <w:r>
        <w:rPr>
          <w:rFonts w:ascii="Calibri" w:hAnsi="Calibri"/>
          <w:b/>
          <w:caps/>
          <w:color w:val="9C5F2C"/>
          <w:sz w:val="15"/>
        </w:rPr>
        <w:t>PRIORITY · AFFECTS THE TIER THAT SHIPS FIRST</w:t>
      </w:r>
    </w:p>
    <w:p>
      <w:pPr>
        <w:pStyle w:val="Heading3"/>
      </w:pPr>
      <w:r>
        <w:rPr>
          <w:rFonts w:ascii="Calibri" w:hAnsi="Calibri"/>
          <w:b/>
          <w:caps/>
          <w:color w:val="8A6D2F"/>
          <w:sz w:val="17"/>
        </w:rPr>
        <w:t>What the memo says</w:t>
      </w:r>
    </w:p>
    <w:p>
      <w:pPr>
        <w:spacing w:after="140"/>
      </w:pPr>
      <w:r>
        <w:rPr>
          <w:rFonts w:ascii="Calibri" w:hAnsi="Calibri"/>
          <w:color w:val="3A4152"/>
          <w:sz w:val="21"/>
        </w:rPr>
        <w:t>Tier 1 audio transport, peer-to-peer or cloud relay, owner “platform,” blocking whether tier 1 beats the incumbent in a metal arena. Listed sixth of eight.</w:t>
      </w:r>
    </w:p>
    <w:p>
      <w:pPr>
        <w:pStyle w:val="Heading3"/>
      </w:pPr>
      <w:r>
        <w:rPr>
          <w:rFonts w:ascii="Calibri" w:hAnsi="Calibri"/>
          <w:b/>
          <w:caps/>
          <w:color w:val="8A6D2F"/>
          <w:sz w:val="17"/>
        </w:rPr>
        <w:t>What the code says</w:t>
      </w:r>
    </w:p>
    <w:p>
      <w:pPr>
        <w:spacing w:after="140"/>
      </w:pPr>
      <w:r>
        <w:rPr>
          <w:rFonts w:ascii="Calibri" w:hAnsi="Calibri"/>
          <w:color w:val="3A4152"/>
          <w:sz w:val="21"/>
        </w:rPr>
        <w:t xml:space="preserve">The stack has already answered it. Audio runs on LiveKit, which is a selective forwarding unit — every stream is relayed through a server. Tokens are minted server-side and both participants connect outward to the same room. </w:t>
      </w:r>
      <w:r>
        <w:rPr>
          <w:rFonts w:ascii="Calibri" w:hAnsi="Calibri"/>
          <w:b/>
          <w:color w:val="1A2133"/>
          <w:sz w:val="21"/>
        </w:rPr>
        <w:t>Tier 1 as built cannot carry audio without connectivity.</w:t>
      </w:r>
    </w:p>
    <w:p>
      <w:pPr>
        <w:spacing w:after="140"/>
      </w:pPr>
      <w:r>
        <w:rPr>
          <w:rFonts w:ascii="Calibri" w:hAnsi="Calibri"/>
          <w:color w:val="3A4152"/>
          <w:sz w:val="21"/>
        </w:rPr>
        <w:t>So this is not an open decision in the ordinary sense. It is a question of whether to undo a choice already embedded in the product, and undoing it means adding a genuine peer-to-peer path for the same-arena case, with all the discovery and fallback logic that implies.</w:t>
      </w:r>
    </w:p>
    <w:p>
      <w:pPr>
        <w:pStyle w:val="Heading3"/>
      </w:pPr>
      <w:r>
        <w:rPr>
          <w:rFonts w:ascii="Calibri" w:hAnsi="Calibri"/>
          <w:b/>
          <w:caps/>
          <w:color w:val="8A6D2F"/>
          <w:sz w:val="17"/>
        </w:rPr>
        <w:t>Why the ranking matters</w:t>
      </w:r>
    </w:p>
    <w:p>
      <w:pPr>
        <w:spacing w:after="140"/>
      </w:pPr>
      <w:r>
        <w:rPr>
          <w:rFonts w:ascii="Calibri" w:hAnsi="Calibri"/>
          <w:color w:val="3A4152"/>
          <w:sz w:val="21"/>
        </w:rPr>
        <w:t>Tier 1 ships first and needs no hardware, and the memo's own argument is that the incumbent's entire advantage is working in a metal building with no signal. If tier 1 requires internet, that needs to be known now, by the people writing the positioning, not discovered in a barn.</w:t>
      </w:r>
    </w:p>
    <w:p>
      <w:pPr>
        <w:pStyle w:val="Heading3"/>
      </w:pPr>
      <w:r>
        <w:rPr>
          <w:rFonts w:ascii="Calibri" w:hAnsi="Calibri"/>
          <w:b/>
          <w:caps/>
          <w:color w:val="8A6D2F"/>
          <w:sz w:val="17"/>
        </w:rPr>
        <w:t>Proposed resolution</w:t>
      </w:r>
    </w:p>
    <w:p>
      <w:pPr>
        <w:spacing w:after="140"/>
      </w:pPr>
      <w:r>
        <w:rPr>
          <w:rFonts w:ascii="Calibri" w:hAnsi="Calibri"/>
          <w:color w:val="3A4152"/>
          <w:sz w:val="21"/>
        </w:rPr>
        <w:t xml:space="preserve">Accept that tier 1 requires connectivity, and make the metal arena the hub's job. This is coherent, it is honest, and it makes tier 2 easier to sell because it answers “what does the box do that the cloud cannot” with something a rider feels immediately. The cost is that </w:t>
      </w:r>
      <w:r>
        <w:rPr>
          <w:rFonts w:ascii="Georgia" w:hAnsi="Georgia"/>
          <w:i/>
          <w:color w:val="9A7526"/>
          <w:sz w:val="21"/>
        </w:rPr>
        <w:t>we beat the headsets</w:t>
      </w:r>
      <w:r>
        <w:rPr>
          <w:rFonts w:ascii="Calibri" w:hAnsi="Calibri"/>
          <w:color w:val="3A4152"/>
          <w:sz w:val="21"/>
        </w:rPr>
        <w:t xml:space="preserve"> becomes </w:t>
      </w:r>
      <w:r>
        <w:rPr>
          <w:rFonts w:ascii="Georgia" w:hAnsi="Georgia"/>
          <w:i/>
          <w:color w:val="9A7526"/>
          <w:sz w:val="21"/>
        </w:rPr>
        <w:t>we beat the headsets where there is signal, and we replace them entirely once the hub is in</w:t>
      </w:r>
      <w:r>
        <w:rPr>
          <w:rFonts w:ascii="Calibri" w:hAnsi="Calibri"/>
          <w:color w:val="3A4152"/>
          <w:sz w:val="21"/>
        </w:rPr>
        <w:t xml:space="preserve"> — which is a sales constraint, not an engineering one.</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5"/>
        </w:rPr>
        <w:t>F5 · Group lessons are ranked last and are probably the normal case.</w:t>
      </w:r>
    </w:p>
    <w:p>
      <w:pPr>
        <w:spacing w:after="100"/>
      </w:pPr>
      <w:r>
        <w:rPr>
          <w:rFonts w:ascii="Calibri" w:hAnsi="Calibri"/>
          <w:b/>
          <w:caps/>
          <w:color w:val="9C5F2C"/>
          <w:sz w:val="15"/>
        </w:rPr>
        <w:t>PRIORITY · ENTANGLED WITH F1 AND F2</w:t>
      </w:r>
    </w:p>
    <w:p>
      <w:pPr>
        <w:pStyle w:val="Heading3"/>
      </w:pPr>
      <w:r>
        <w:rPr>
          <w:rFonts w:ascii="Calibri" w:hAnsi="Calibri"/>
          <w:b/>
          <w:caps/>
          <w:color w:val="8A6D2F"/>
          <w:sz w:val="17"/>
        </w:rPr>
        <w:t>The situation</w:t>
      </w:r>
    </w:p>
    <w:p>
      <w:pPr>
        <w:spacing w:after="140"/>
      </w:pPr>
      <w:r>
        <w:rPr>
          <w:rFonts w:ascii="Calibri" w:hAnsi="Calibri"/>
          <w:color w:val="3A4152"/>
          <w:sz w:val="21"/>
        </w:rPr>
        <w:t>A trainer with three riders in a ring is an ordinary Tuesday, not an edge case. The memo ranks it seventh of eight.</w:t>
      </w:r>
    </w:p>
    <w:p>
      <w:pPr>
        <w:pStyle w:val="Heading3"/>
      </w:pPr>
      <w:r>
        <w:rPr>
          <w:rFonts w:ascii="Calibri" w:hAnsi="Calibri"/>
          <w:b/>
          <w:caps/>
          <w:color w:val="8A6D2F"/>
          <w:sz w:val="17"/>
        </w:rPr>
        <w:t>What breaks</w:t>
      </w:r>
    </w:p>
    <w:p>
      <w:pPr>
        <w:spacing w:after="140"/>
      </w:pPr>
      <w:r>
        <w:rPr>
          <w:rFonts w:ascii="Calibri" w:hAnsi="Calibri"/>
          <w:color w:val="3A4152"/>
          <w:sz w:val="21"/>
        </w:rPr>
        <w:t xml:space="preserve">The room name is </w:t>
      </w:r>
      <w:r>
        <w:rPr>
          <w:rFonts w:ascii="Consolas" w:hAnsi="Consolas"/>
          <w:color w:val="9A7526"/>
          <w:sz w:val="18"/>
        </w:rPr>
        <w:t>capture_{riderId8}_{timestamp}</w:t>
      </w:r>
      <w:r>
        <w:rPr>
          <w:rFonts w:ascii="Calibri" w:hAnsi="Calibri"/>
          <w:color w:val="3A4152"/>
          <w:sz w:val="21"/>
        </w:rPr>
        <w:t xml:space="preserve"> — one rider per room, with the trainer joining that one room. Three concurrent riders under one trainer with one camera breaks the session model, the room model, and the binding question simultaneously.</w:t>
      </w:r>
    </w:p>
    <w:p>
      <w:pPr>
        <w:spacing w:after="140"/>
      </w:pPr>
      <w:r>
        <w:rPr>
          <w:rFonts w:ascii="Calibri" w:hAnsi="Calibri"/>
          <w:color w:val="3A4152"/>
          <w:sz w:val="21"/>
        </w:rPr>
        <w:t>Specifically, unresolved: does a group lesson produce one session or three? If three, the trainer's audio has to reach all of them, which is either three rooms she is in at once or one room with three riders and a different identity scheme. If one, then sessions no longer belong to a single rider, which contradicts an invariant in §3.</w:t>
      </w:r>
    </w:p>
    <w:p>
      <w:pPr>
        <w:pStyle w:val="Heading3"/>
      </w:pPr>
      <w:r>
        <w:rPr>
          <w:rFonts w:ascii="Calibri" w:hAnsi="Calibri"/>
          <w:b/>
          <w:caps/>
          <w:color w:val="8A6D2F"/>
          <w:sz w:val="17"/>
        </w:rPr>
        <w:t>Proposed resolution</w:t>
      </w:r>
    </w:p>
    <w:p>
      <w:pPr>
        <w:spacing w:after="140"/>
      </w:pPr>
      <w:r>
        <w:rPr>
          <w:rFonts w:ascii="Calibri" w:hAnsi="Calibri"/>
          <w:color w:val="3A4152"/>
          <w:sz w:val="21"/>
        </w:rPr>
        <w:t xml:space="preserve">Decide it alongside F1 and F2 rather than six months later. All three are the same question wearing different clothes: </w:t>
      </w:r>
      <w:r>
        <w:rPr>
          <w:rFonts w:ascii="Calibri" w:hAnsi="Calibri"/>
          <w:b/>
          <w:color w:val="1A2133"/>
          <w:sz w:val="21"/>
        </w:rPr>
        <w:t>which rider is this, right now, and what is she attached to.</w:t>
      </w:r>
      <w:r>
        <w:rPr>
          <w:rFonts w:ascii="Calibri" w:hAnsi="Calibri"/>
          <w:color w:val="3A4152"/>
          <w:sz w:val="21"/>
        </w:rPr>
        <w:t xml:space="preserve"> Deciding them together is much cheaper than retrofitting group support onto a session model built for one rider.</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r>
        <w:br w:type="page"/>
      </w:r>
    </w:p>
    <w:p>
      <w:pPr>
        <w:pStyle w:val="Heading2"/>
      </w:pPr>
      <w:r>
        <w:rPr>
          <w:rFonts w:ascii="Georgia" w:hAnsi="Georgia"/>
          <w:color w:val="0E1729"/>
          <w:sz w:val="25"/>
        </w:rPr>
        <w:t>F6 · Sensor-to-session provenance is missing from the invariants.</w:t>
      </w:r>
    </w:p>
    <w:p>
      <w:pPr>
        <w:spacing w:after="100"/>
      </w:pPr>
      <w:r>
        <w:rPr>
          <w:rFonts w:ascii="Calibri" w:hAnsi="Calibri"/>
          <w:b/>
          <w:caps/>
          <w:color w:val="446E51"/>
          <w:sz w:val="15"/>
        </w:rPr>
        <w:t>LOW COST NOW · HIGH COST LATER</w:t>
      </w:r>
    </w:p>
    <w:p>
      <w:pPr>
        <w:pStyle w:val="Heading3"/>
      </w:pPr>
      <w:r>
        <w:rPr>
          <w:rFonts w:ascii="Calibri" w:hAnsi="Calibri"/>
          <w:b/>
          <w:caps/>
          <w:color w:val="8A6D2F"/>
          <w:sz w:val="17"/>
        </w:rPr>
        <w:t>What the memo says</w:t>
      </w:r>
    </w:p>
    <w:p>
      <w:pPr>
        <w:spacing w:after="140"/>
      </w:pPr>
      <w:r>
        <w:rPr>
          <w:rFonts w:ascii="Calibri" w:hAnsi="Calibri"/>
          <w:color w:val="3A4152"/>
          <w:sz w:val="21"/>
        </w:rPr>
        <w:t>Decision 5 treats sensor ownership as a pricing and fitting-workflow question, provisionally rider-owned.</w:t>
      </w:r>
    </w:p>
    <w:p>
      <w:pPr>
        <w:pStyle w:val="Heading3"/>
      </w:pPr>
      <w:r>
        <w:rPr>
          <w:rFonts w:ascii="Calibri" w:hAnsi="Calibri"/>
          <w:b/>
          <w:caps/>
          <w:color w:val="8A6D2F"/>
          <w:sz w:val="17"/>
        </w:rPr>
        <w:t>What is missing</w:t>
      </w:r>
    </w:p>
    <w:p>
      <w:pPr>
        <w:spacing w:after="140"/>
      </w:pPr>
      <w:r>
        <w:rPr>
          <w:rFonts w:ascii="Calibri" w:hAnsi="Calibri"/>
          <w:color w:val="3A4152"/>
          <w:sz w:val="21"/>
        </w:rPr>
        <w:t xml:space="preserve">It is also a data question, and the answer is the same either way. Rider-owned sensors move between horses and between barns. Barn-owned sensors move between riders. In both cases, </w:t>
      </w:r>
      <w:r>
        <w:rPr>
          <w:rFonts w:ascii="Calibri" w:hAnsi="Calibri"/>
          <w:b/>
          <w:color w:val="1A2133"/>
          <w:sz w:val="21"/>
        </w:rPr>
        <w:t>which sensor was on which horse, in which tack, with what calibration, for this session</w:t>
      </w:r>
      <w:r>
        <w:rPr>
          <w:rFonts w:ascii="Calibri" w:hAnsi="Calibri"/>
          <w:color w:val="3A4152"/>
          <w:sz w:val="21"/>
        </w:rPr>
        <w:t xml:space="preserve"> has to be recorded per session — or the readings are uninterpretable a year later, which is exactly when the training data becomes valuable.</w:t>
      </w:r>
    </w:p>
    <w:p>
      <w:pPr>
        <w:pStyle w:val="Heading3"/>
      </w:pPr>
      <w:r>
        <w:rPr>
          <w:rFonts w:ascii="Calibri" w:hAnsi="Calibri"/>
          <w:b/>
          <w:caps/>
          <w:color w:val="8A6D2F"/>
          <w:sz w:val="17"/>
        </w:rPr>
        <w:t>Proposed resolution</w:t>
      </w:r>
    </w:p>
    <w:p>
      <w:pPr>
        <w:spacing w:after="140"/>
      </w:pPr>
      <w:r>
        <w:rPr>
          <w:rFonts w:ascii="Calibri" w:hAnsi="Calibri"/>
          <w:color w:val="3A4152"/>
          <w:sz w:val="21"/>
        </w:rPr>
        <w:t>Add it to the invariants in §3 rather than leaving it inside Decision 5. It costs almost nothing to design now and it is the memo's own stated test: cheap to adopt, expensive to retrofit. It also does not depend on how Decision 5 resolves, so it need not wait for it.</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5"/>
        </w:rPr>
        <w:t>F7 · Riders without accounts have nowhere to put a session.</w:t>
      </w:r>
    </w:p>
    <w:p>
      <w:pPr>
        <w:spacing w:after="100"/>
      </w:pPr>
      <w:r>
        <w:rPr>
          <w:rFonts w:ascii="Calibri" w:hAnsi="Calibri"/>
          <w:b/>
          <w:caps/>
          <w:color w:val="446E51"/>
          <w:sz w:val="15"/>
        </w:rPr>
        <w:t>MEDIUM · AFFECTS THE PRIMARY TIER 2 CUSTOMER</w:t>
      </w:r>
    </w:p>
    <w:p>
      <w:pPr>
        <w:pStyle w:val="Heading3"/>
      </w:pPr>
      <w:r>
        <w:rPr>
          <w:rFonts w:ascii="Calibri" w:hAnsi="Calibri"/>
          <w:b/>
          <w:caps/>
          <w:color w:val="8A6D2F"/>
          <w:sz w:val="17"/>
        </w:rPr>
        <w:t>The situation</w:t>
      </w:r>
    </w:p>
    <w:p>
      <w:pPr>
        <w:spacing w:after="140"/>
      </w:pPr>
      <w:r>
        <w:rPr>
          <w:rFonts w:ascii="Calibri" w:hAnsi="Calibri"/>
          <w:color w:val="3A4152"/>
          <w:sz w:val="21"/>
        </w:rPr>
        <w:t>Sessions belong to the rider, always. Agreed, and it should not be weakened. But a lesson barn has thirty juniors and half of them will not have accounts — and lesson barns are the customer most likely to buy a hub.</w:t>
      </w:r>
    </w:p>
    <w:p>
      <w:pPr>
        <w:pStyle w:val="Heading3"/>
      </w:pPr>
      <w:r>
        <w:rPr>
          <w:rFonts w:ascii="Calibri" w:hAnsi="Calibri"/>
          <w:b/>
          <w:caps/>
          <w:color w:val="8A6D2F"/>
          <w:sz w:val="17"/>
        </w:rPr>
        <w:t>The unresolved question</w:t>
      </w:r>
    </w:p>
    <w:p>
      <w:pPr>
        <w:spacing w:after="140"/>
      </w:pPr>
      <w:r>
        <w:rPr>
          <w:rFonts w:ascii="Calibri" w:hAnsi="Calibri"/>
          <w:color w:val="3A4152"/>
          <w:sz w:val="21"/>
        </w:rPr>
        <w:t>Does the hub record for someone who cannot yet own the result? If it does, the session needs somewhere to live until it is claimed, without the barn being able to read it in the meantime — otherwise the trust commitment in §3 is broken by the very first workaround.</w:t>
      </w:r>
    </w:p>
    <w:p>
      <w:pPr>
        <w:pStyle w:val="Heading3"/>
      </w:pPr>
      <w:r>
        <w:rPr>
          <w:rFonts w:ascii="Calibri" w:hAnsi="Calibri"/>
          <w:b/>
          <w:caps/>
          <w:color w:val="8A6D2F"/>
          <w:sz w:val="17"/>
        </w:rPr>
        <w:t>Proposed resolution</w:t>
      </w:r>
    </w:p>
    <w:p>
      <w:pPr>
        <w:spacing w:after="140"/>
      </w:pPr>
      <w:r>
        <w:rPr>
          <w:rFonts w:ascii="Calibri" w:hAnsi="Calibri"/>
          <w:color w:val="3A4152"/>
          <w:sz w:val="21"/>
        </w:rPr>
        <w:t xml:space="preserve">There is an existing mechanism worth inverting. </w:t>
      </w:r>
      <w:r>
        <w:rPr>
          <w:rFonts w:ascii="Consolas" w:hAnsi="Consolas"/>
          <w:color w:val="9A7526"/>
          <w:sz w:val="18"/>
        </w:rPr>
        <w:t>capture_sessions</w:t>
      </w:r>
      <w:r>
        <w:rPr>
          <w:rFonts w:ascii="Calibri" w:hAnsi="Calibri"/>
          <w:color w:val="3A4152"/>
          <w:sz w:val="21"/>
        </w:rPr>
        <w:t xml:space="preserve"> already carries a </w:t>
      </w:r>
      <w:r>
        <w:rPr>
          <w:rFonts w:ascii="Consolas" w:hAnsi="Consolas"/>
          <w:color w:val="9A7526"/>
          <w:sz w:val="18"/>
        </w:rPr>
        <w:t>claim_token</w:t>
      </w:r>
      <w:r>
        <w:rPr>
          <w:rFonts w:ascii="Calibri" w:hAnsi="Calibri"/>
          <w:color w:val="3A4152"/>
          <w:sz w:val="21"/>
        </w:rPr>
        <w:t xml:space="preserve"> with an expiry, used today so a trainer can claim a lesson she taught as a guest (migration </w:t>
      </w:r>
      <w:r>
        <w:rPr>
          <w:rFonts w:ascii="Consolas" w:hAnsi="Consolas"/>
          <w:color w:val="9A7526"/>
          <w:sz w:val="18"/>
        </w:rPr>
        <w:t>20260814000000</w:t>
      </w:r>
      <w:r>
        <w:rPr>
          <w:rFonts w:ascii="Calibri" w:hAnsi="Calibri"/>
          <w:color w:val="3A4152"/>
          <w:sz w:val="21"/>
        </w:rPr>
        <w:t>). The same shape works in reverse: the session is recorded, held unreadable, and claimed by the rider when they create an account. Reusing it is cheaper than inventing a holding state, and it is already understood.</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5"/>
        </w:rPr>
        <w:t>F8 · Hub transcription creates two implementations of the thing the whole thesis rests on.</w:t>
      </w:r>
    </w:p>
    <w:p>
      <w:pPr>
        <w:spacing w:after="100"/>
      </w:pPr>
      <w:r>
        <w:rPr>
          <w:rFonts w:ascii="Calibri" w:hAnsi="Calibri"/>
          <w:b/>
          <w:caps/>
          <w:color w:val="9C5F2C"/>
          <w:sz w:val="15"/>
        </w:rPr>
        <w:t>MEDIUM · AGREE WITH THE CHANGE, FLAGGING THE COST</w:t>
      </w:r>
    </w:p>
    <w:p>
      <w:pPr>
        <w:pStyle w:val="Heading3"/>
      </w:pPr>
      <w:r>
        <w:rPr>
          <w:rFonts w:ascii="Calibri" w:hAnsi="Calibri"/>
          <w:b/>
          <w:caps/>
          <w:color w:val="8A6D2F"/>
          <w:sz w:val="17"/>
        </w:rPr>
        <w:t>What the memo says</w:t>
      </w:r>
    </w:p>
    <w:p>
      <w:pPr>
        <w:spacing w:after="140"/>
      </w:pPr>
      <w:r>
        <w:rPr>
          <w:rFonts w:ascii="Calibri" w:hAnsi="Calibri"/>
          <w:color w:val="3A4152"/>
          <w:sz w:val="21"/>
        </w:rPr>
        <w:t>Pull transcription onto the hub forward into the network phase. The reasoning is right: it is the cheapest demonstration that the box does something the cloud cannot, and it removes the dependency on barn connectivity for the feature riders notice most.</w:t>
      </w:r>
    </w:p>
    <w:p>
      <w:pPr>
        <w:pStyle w:val="Heading3"/>
      </w:pPr>
      <w:r>
        <w:rPr>
          <w:rFonts w:ascii="Calibri" w:hAnsi="Calibri"/>
          <w:b/>
          <w:caps/>
          <w:color w:val="8A6D2F"/>
          <w:sz w:val="17"/>
        </w:rPr>
        <w:t>The risk</w:t>
      </w:r>
    </w:p>
    <w:p>
      <w:pPr>
        <w:spacing w:after="140"/>
      </w:pPr>
      <w:r>
        <w:rPr>
          <w:rFonts w:ascii="Calibri" w:hAnsi="Calibri"/>
          <w:color w:val="3A4152"/>
          <w:sz w:val="21"/>
        </w:rPr>
        <w:t xml:space="preserve">Not the model, and not the hardware. </w:t>
      </w:r>
      <w:r>
        <w:rPr>
          <w:rFonts w:ascii="Calibri" w:hAnsi="Calibri"/>
          <w:b/>
          <w:color w:val="1A2133"/>
          <w:sz w:val="21"/>
        </w:rPr>
        <w:t>Divergence.</w:t>
      </w:r>
      <w:r>
        <w:rPr>
          <w:rFonts w:ascii="Calibri" w:hAnsi="Calibri"/>
          <w:color w:val="3A4152"/>
          <w:sz w:val="21"/>
        </w:rPr>
        <w:t xml:space="preserve"> Two transcription paths will produce differently-worded transcripts of identical speech, and transcript quality is the entire labeling thesis in §1. A tier 1 session and a tier 2 session of the same lesson should not read differently.</w:t>
      </w:r>
    </w:p>
    <w:p>
      <w:pPr>
        <w:spacing w:after="140"/>
      </w:pPr>
      <w:r>
        <w:rPr>
          <w:rFonts w:ascii="Calibri" w:hAnsi="Calibri"/>
          <w:color w:val="3A4152"/>
          <w:sz w:val="21"/>
        </w:rPr>
        <w:t xml:space="preserve">There is a concrete shape constraint too. Hub output has to land in </w:t>
      </w:r>
      <w:r>
        <w:rPr>
          <w:rFonts w:ascii="Consolas" w:hAnsi="Consolas"/>
          <w:color w:val="9A7526"/>
          <w:sz w:val="18"/>
        </w:rPr>
        <w:t>session_transcript_segments</w:t>
      </w:r>
      <w:r>
        <w:rPr>
          <w:rFonts w:ascii="Calibri" w:hAnsi="Calibri"/>
          <w:color w:val="3A4152"/>
          <w:sz w:val="21"/>
        </w:rPr>
        <w:t xml:space="preserve"> with the same </w:t>
      </w:r>
      <w:r>
        <w:rPr>
          <w:rFonts w:ascii="Consolas" w:hAnsi="Consolas"/>
          <w:color w:val="9A7526"/>
          <w:sz w:val="18"/>
        </w:rPr>
        <w:t>offset_ms</w:t>
      </w:r>
      <w:r>
        <w:rPr>
          <w:rFonts w:ascii="Calibri" w:hAnsi="Calibri"/>
          <w:color w:val="3A4152"/>
          <w:sz w:val="21"/>
        </w:rPr>
        <w:t xml:space="preserve">, </w:t>
      </w:r>
      <w:r>
        <w:rPr>
          <w:rFonts w:ascii="Consolas" w:hAnsi="Consolas"/>
          <w:color w:val="9A7526"/>
          <w:sz w:val="18"/>
        </w:rPr>
        <w:t>speaker</w:t>
      </w:r>
      <w:r>
        <w:rPr>
          <w:rFonts w:ascii="Calibri" w:hAnsi="Calibri"/>
          <w:color w:val="3A4152"/>
          <w:sz w:val="21"/>
        </w:rPr>
        <w:t xml:space="preserve"> and </w:t>
      </w:r>
      <w:r>
        <w:rPr>
          <w:rFonts w:ascii="Consolas" w:hAnsi="Consolas"/>
          <w:color w:val="9A7526"/>
          <w:sz w:val="18"/>
        </w:rPr>
        <w:t>client_id</w:t>
      </w:r>
      <w:r>
        <w:rPr>
          <w:rFonts w:ascii="Calibri" w:hAnsi="Calibri"/>
          <w:color w:val="3A4152"/>
          <w:sz w:val="21"/>
        </w:rPr>
        <w:t xml:space="preserve"> semantics as the cloud path, or the idempotent-insert and de-duplication behaviour added in migration </w:t>
      </w:r>
      <w:r>
        <w:rPr>
          <w:rFonts w:ascii="Consolas" w:hAnsi="Consolas"/>
          <w:color w:val="9A7526"/>
          <w:sz w:val="18"/>
        </w:rPr>
        <w:t>20260721010000</w:t>
      </w:r>
      <w:r>
        <w:rPr>
          <w:rFonts w:ascii="Calibri" w:hAnsi="Calibri"/>
          <w:color w:val="3A4152"/>
          <w:sz w:val="21"/>
        </w:rPr>
        <w:t xml:space="preserve"> stops working.</w:t>
      </w:r>
    </w:p>
    <w:p>
      <w:pPr>
        <w:pStyle w:val="Heading3"/>
      </w:pPr>
      <w:r>
        <w:rPr>
          <w:rFonts w:ascii="Calibri" w:hAnsi="Calibri"/>
          <w:b/>
          <w:caps/>
          <w:color w:val="8A6D2F"/>
          <w:sz w:val="17"/>
        </w:rPr>
        <w:t>Question</w:t>
      </w:r>
    </w:p>
    <w:p>
      <w:pPr>
        <w:spacing w:after="140"/>
      </w:pPr>
      <w:r>
        <w:rPr>
          <w:rFonts w:ascii="Calibri" w:hAnsi="Calibri"/>
          <w:color w:val="3A4152"/>
          <w:sz w:val="21"/>
        </w:rPr>
        <w:t xml:space="preserve">Is the hub path eventually meant to </w:t>
      </w:r>
      <w:r>
        <w:rPr>
          <w:rFonts w:ascii="Calibri" w:hAnsi="Calibri"/>
          <w:b/>
          <w:color w:val="1A2133"/>
          <w:sz w:val="21"/>
        </w:rPr>
        <w:t>replace</w:t>
      </w:r>
      <w:r>
        <w:rPr>
          <w:rFonts w:ascii="Calibri" w:hAnsi="Calibri"/>
          <w:color w:val="3A4152"/>
          <w:sz w:val="21"/>
        </w:rPr>
        <w:t xml:space="preserve"> the cloud path everywhere, with cloud kept only as fallback for tier 1? Or do two implementations coexist permanently? The first is more work up front and one source of truth. The second is faster now and a quality problem that compounds.</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5"/>
        </w:rPr>
        <w:t>F9 · Terminology, and Jetson-specific naming in a stack whose hardware is not settled.</w:t>
      </w:r>
    </w:p>
    <w:p>
      <w:pPr>
        <w:spacing w:after="100"/>
      </w:pPr>
      <w:r>
        <w:rPr>
          <w:rFonts w:ascii="Calibri" w:hAnsi="Calibri"/>
          <w:b/>
          <w:caps/>
          <w:color w:val="446E51"/>
          <w:sz w:val="15"/>
        </w:rPr>
        <w:t>LOW · CHEAP TO FIX NOW</w:t>
      </w:r>
    </w:p>
    <w:p>
      <w:pPr>
        <w:pStyle w:val="ListBullet"/>
        <w:ind w:left="374"/>
      </w:pPr>
      <w:r>
        <w:rPr>
          <w:rFonts w:ascii="Calibri" w:hAnsi="Calibri"/>
          <w:color w:val="3A4152"/>
          <w:sz w:val="21"/>
        </w:rPr>
        <w:t xml:space="preserve">The memo says </w:t>
      </w:r>
      <w:r>
        <w:rPr>
          <w:rFonts w:ascii="Calibri" w:hAnsi="Calibri"/>
          <w:b/>
          <w:color w:val="1A2133"/>
          <w:sz w:val="21"/>
        </w:rPr>
        <w:t>hub</w:t>
      </w:r>
      <w:r>
        <w:rPr>
          <w:rFonts w:ascii="Calibri" w:hAnsi="Calibri"/>
          <w:color w:val="3A4152"/>
          <w:sz w:val="21"/>
        </w:rPr>
        <w:t xml:space="preserve">. The repo says </w:t>
      </w:r>
      <w:r>
        <w:rPr>
          <w:rFonts w:ascii="Calibri" w:hAnsi="Calibri"/>
          <w:b/>
          <w:color w:val="1A2133"/>
          <w:sz w:val="21"/>
        </w:rPr>
        <w:t>edge device</w:t>
      </w:r>
      <w:r>
        <w:rPr>
          <w:rFonts w:ascii="Calibri" w:hAnsi="Calibri"/>
          <w:color w:val="3A4152"/>
          <w:sz w:val="21"/>
        </w:rPr>
        <w:t>. Both of us will keep writing documents. Pick one word now.</w:t>
      </w:r>
    </w:p>
    <w:p>
      <w:pPr>
        <w:pStyle w:val="ListBullet"/>
        <w:ind w:left="374"/>
      </w:pPr>
      <w:r>
        <w:rPr>
          <w:rFonts w:ascii="Calibri" w:hAnsi="Calibri"/>
          <w:color w:val="3A4152"/>
          <w:sz w:val="21"/>
        </w:rPr>
        <w:t xml:space="preserve">Decision 3 refers to “the hub bill of materials,” which implies the hardware is not settled — but the code is Jetson-named throughout: </w:t>
      </w:r>
      <w:r>
        <w:rPr>
          <w:rFonts w:ascii="Consolas" w:hAnsi="Consolas"/>
          <w:color w:val="9A7526"/>
          <w:sz w:val="18"/>
        </w:rPr>
        <w:t>edge/jetson-agent/</w:t>
      </w:r>
      <w:r>
        <w:rPr>
          <w:rFonts w:ascii="Calibri" w:hAnsi="Calibri"/>
          <w:color w:val="3A4152"/>
          <w:sz w:val="21"/>
        </w:rPr>
        <w:t xml:space="preserve">, and a device label defaulting to </w:t>
      </w:r>
      <w:r>
        <w:rPr>
          <w:rFonts w:ascii="Consolas" w:hAnsi="Consolas"/>
          <w:color w:val="9A7526"/>
          <w:sz w:val="18"/>
        </w:rPr>
        <w:t>Jetson</w:t>
      </w:r>
      <w:r>
        <w:rPr>
          <w:rFonts w:ascii="Calibri" w:hAnsi="Calibri"/>
          <w:color w:val="3A4152"/>
          <w:sz w:val="21"/>
        </w:rPr>
        <w:t>. If the platform is genuinely open, that layer should be written hardware-neutral now rather than renamed under pressure later.</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r>
        <w:br w:type="page"/>
      </w:r>
    </w:p>
    <w:p>
      <w:pPr>
        <w:pStyle w:val="Heading1"/>
        <w:pBdr>
          <w:bottom w:val="single" w:sz="6" w:space="5" w:color="D1A955"/>
        </w:pBdr>
      </w:pPr>
      <w:r>
        <w:t>4 · Proposed revised decision order</w:t>
      </w:r>
    </w:p>
    <w:p>
      <w:pPr>
        <w:spacing w:after="160"/>
      </w:pPr>
      <w:r>
        <w:rPr>
          <w:rFonts w:ascii="Calibri" w:hAnsi="Calibri"/>
          <w:color w:val="3A4152"/>
          <w:sz w:val="21"/>
        </w:rPr>
        <w:t>The memo's ordering with three changes: Decision 1 split, Decision 6 raised, and the tier 2 client-platform question added as a decision in its own right because it does not currently appear on the list.</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2376"/>
        <w:gridCol w:w="2376"/>
        <w:gridCol w:w="2376"/>
        <w:gridCol w:w="2376"/>
      </w:tblGrid>
      <w:tr>
        <w:trPr>
          <w:tblHeader/>
        </w:trPr>
        <w:tc>
          <w:tcPr>
            <w:tcW w:type="dxa" w:w="936"/>
            <w:shd w:val="clear" w:color="auto" w:fill="0E1729"/>
            <w:tcMar>
              <w:top w:w="80" w:type="dxa"/>
              <w:left w:w="110" w:type="dxa"/>
              <w:bottom w:w="80" w:type="dxa"/>
              <w:right w:w="110" w:type="dxa"/>
            </w:tcMar>
          </w:tcPr>
          <w:p>
            <w:pPr>
              <w:spacing w:after="0"/>
            </w:pPr>
            <w:r>
              <w:rPr>
                <w:rFonts w:ascii="Calibri" w:hAnsi="Calibri"/>
                <w:b/>
                <w:caps/>
                <w:color w:val="FCF2E6"/>
                <w:sz w:val="16"/>
              </w:rPr>
              <w:t>Proposed</w:t>
            </w:r>
          </w:p>
        </w:tc>
        <w:tc>
          <w:tcPr>
            <w:tcW w:type="dxa" w:w="3816"/>
            <w:shd w:val="clear" w:color="auto" w:fill="0E1729"/>
            <w:tcMar>
              <w:top w:w="80" w:type="dxa"/>
              <w:left w:w="110" w:type="dxa"/>
              <w:bottom w:w="80" w:type="dxa"/>
              <w:right w:w="110" w:type="dxa"/>
            </w:tcMar>
          </w:tcPr>
          <w:p>
            <w:pPr>
              <w:spacing w:after="0"/>
            </w:pPr>
            <w:r>
              <w:rPr>
                <w:rFonts w:ascii="Calibri" w:hAnsi="Calibri"/>
                <w:b/>
                <w:caps/>
                <w:color w:val="FCF2E6"/>
                <w:sz w:val="16"/>
              </w:rPr>
              <w:t>Decision</w:t>
            </w:r>
          </w:p>
        </w:tc>
        <w:tc>
          <w:tcPr>
            <w:tcW w:type="dxa" w:w="792"/>
            <w:shd w:val="clear" w:color="auto" w:fill="0E1729"/>
            <w:tcMar>
              <w:top w:w="80" w:type="dxa"/>
              <w:left w:w="110" w:type="dxa"/>
              <w:bottom w:w="80" w:type="dxa"/>
              <w:right w:w="110" w:type="dxa"/>
            </w:tcMar>
          </w:tcPr>
          <w:p>
            <w:pPr>
              <w:spacing w:after="0"/>
            </w:pPr>
            <w:r>
              <w:rPr>
                <w:rFonts w:ascii="Calibri" w:hAnsi="Calibri"/>
                <w:b/>
                <w:caps/>
                <w:color w:val="FCF2E6"/>
                <w:sz w:val="16"/>
              </w:rPr>
              <w:t>Was</w:t>
            </w:r>
          </w:p>
        </w:tc>
        <w:tc>
          <w:tcPr>
            <w:tcW w:type="dxa" w:w="3960"/>
            <w:shd w:val="clear" w:color="auto" w:fill="0E1729"/>
            <w:tcMar>
              <w:top w:w="80" w:type="dxa"/>
              <w:left w:w="110" w:type="dxa"/>
              <w:bottom w:w="80" w:type="dxa"/>
              <w:right w:w="110" w:type="dxa"/>
            </w:tcMar>
          </w:tcPr>
          <w:p>
            <w:pPr>
              <w:spacing w:after="0"/>
            </w:pPr>
            <w:r>
              <w:rPr>
                <w:rFonts w:ascii="Calibri" w:hAnsi="Calibri"/>
                <w:b/>
                <w:caps/>
                <w:color w:val="FCF2E6"/>
                <w:sz w:val="16"/>
              </w:rPr>
              <w:t>Why moved</w:t>
            </w:r>
          </w:p>
        </w:tc>
      </w:tr>
      <w:tr>
        <w:tc>
          <w:tcPr>
            <w:tcW w:type="dxa" w:w="936"/>
            <w:tcMar>
              <w:top w:w="80" w:type="dxa"/>
              <w:left w:w="110" w:type="dxa"/>
              <w:bottom w:w="80" w:type="dxa"/>
              <w:right w:w="110" w:type="dxa"/>
            </w:tcMar>
          </w:tcPr>
          <w:p>
            <w:pPr>
              <w:spacing w:after="0" w:line="278" w:lineRule="auto"/>
            </w:pPr>
            <w:r>
              <w:rPr>
                <w:rFonts w:ascii="Calibri" w:hAnsi="Calibri"/>
                <w:color w:val="3A4152"/>
                <w:sz w:val="18"/>
              </w:rPr>
              <w:t>1</w:t>
            </w:r>
          </w:p>
        </w:tc>
        <w:tc>
          <w:tcPr>
            <w:tcW w:type="dxa" w:w="3816"/>
            <w:tcMar>
              <w:top w:w="80" w:type="dxa"/>
              <w:left w:w="110" w:type="dxa"/>
              <w:bottom w:w="80" w:type="dxa"/>
              <w:right w:w="110" w:type="dxa"/>
            </w:tcMar>
          </w:tcPr>
          <w:p>
            <w:pPr>
              <w:spacing w:after="0" w:line="278" w:lineRule="auto"/>
            </w:pPr>
            <w:r>
              <w:rPr>
                <w:rFonts w:ascii="Calibri" w:hAnsi="Calibri"/>
                <w:b/>
                <w:color w:val="1A2133"/>
                <w:sz w:val="18"/>
              </w:rPr>
              <w:t>D1a</w:t>
            </w:r>
            <w:r>
              <w:rPr>
                <w:rFonts w:ascii="Calibri" w:hAnsi="Calibri"/>
                <w:color w:val="3A4152"/>
                <w:sz w:val="18"/>
              </w:rPr>
              <w:t xml:space="preserve"> · Unambiguous session binding via join code</w:t>
            </w:r>
          </w:p>
        </w:tc>
        <w:tc>
          <w:tcPr>
            <w:tcW w:type="dxa" w:w="792"/>
            <w:tcMar>
              <w:top w:w="80" w:type="dxa"/>
              <w:left w:w="110" w:type="dxa"/>
              <w:bottom w:w="80" w:type="dxa"/>
              <w:right w:w="110" w:type="dxa"/>
            </w:tcMar>
          </w:tcPr>
          <w:p>
            <w:pPr>
              <w:spacing w:after="0" w:line="278" w:lineRule="auto"/>
            </w:pPr>
            <w:r>
              <w:rPr>
                <w:rFonts w:ascii="Calibri" w:hAnsi="Calibri"/>
                <w:color w:val="3A4152"/>
                <w:sz w:val="18"/>
              </w:rPr>
              <w:t>part of 1</w:t>
            </w:r>
          </w:p>
        </w:tc>
        <w:tc>
          <w:tcPr>
            <w:tcW w:type="dxa" w:w="3960"/>
            <w:tcMar>
              <w:top w:w="80" w:type="dxa"/>
              <w:left w:w="110" w:type="dxa"/>
              <w:bottom w:w="80" w:type="dxa"/>
              <w:right w:w="110" w:type="dxa"/>
            </w:tcMar>
          </w:tcPr>
          <w:p>
            <w:pPr>
              <w:spacing w:after="0" w:line="278" w:lineRule="auto"/>
            </w:pPr>
            <w:r>
              <w:rPr>
                <w:rFonts w:ascii="Calibri" w:hAnsi="Calibri"/>
                <w:color w:val="3A4152"/>
                <w:sz w:val="18"/>
              </w:rPr>
              <w:t>Small, immediate, removes a silent wrong-rider bind. Unblocks all tier 2 device work.</w:t>
            </w:r>
          </w:p>
        </w:tc>
      </w:tr>
      <w:tr>
        <w:tc>
          <w:tcPr>
            <w:tcW w:type="dxa" w:w="936"/>
            <w:tcMar>
              <w:top w:w="80" w:type="dxa"/>
              <w:left w:w="110" w:type="dxa"/>
              <w:bottom w:w="80" w:type="dxa"/>
              <w:right w:w="110" w:type="dxa"/>
            </w:tcMar>
            <w:shd w:val="clear" w:color="auto" w:fill="FBF6EE"/>
          </w:tcPr>
          <w:p>
            <w:pPr>
              <w:spacing w:after="0" w:line="278" w:lineRule="auto"/>
            </w:pPr>
            <w:r>
              <w:rPr>
                <w:rFonts w:ascii="Calibri" w:hAnsi="Calibri"/>
                <w:color w:val="3A4152"/>
                <w:sz w:val="18"/>
              </w:rPr>
              <w:t>2</w:t>
            </w:r>
          </w:p>
        </w:tc>
        <w:tc>
          <w:tcPr>
            <w:tcW w:type="dxa" w:w="3816"/>
            <w:tcMar>
              <w:top w:w="80" w:type="dxa"/>
              <w:left w:w="110" w:type="dxa"/>
              <w:bottom w:w="80" w:type="dxa"/>
              <w:right w:w="110" w:type="dxa"/>
            </w:tcMar>
            <w:shd w:val="clear" w:color="auto" w:fill="FBF6EE"/>
          </w:tcPr>
          <w:p>
            <w:pPr>
              <w:spacing w:after="0" w:line="278" w:lineRule="auto"/>
            </w:pPr>
            <w:r>
              <w:rPr>
                <w:rFonts w:ascii="Calibri" w:hAnsi="Calibri"/>
                <w:b/>
                <w:color w:val="1A2133"/>
                <w:sz w:val="18"/>
              </w:rPr>
              <w:t>D6</w:t>
            </w:r>
            <w:r>
              <w:rPr>
                <w:rFonts w:ascii="Calibri" w:hAnsi="Calibri"/>
                <w:color w:val="3A4152"/>
                <w:sz w:val="18"/>
              </w:rPr>
              <w:t xml:space="preserve"> · Tier 1 audio transport</w:t>
            </w:r>
          </w:p>
        </w:tc>
        <w:tc>
          <w:tcPr>
            <w:tcW w:type="dxa" w:w="792"/>
            <w:tcMar>
              <w:top w:w="80" w:type="dxa"/>
              <w:left w:w="110" w:type="dxa"/>
              <w:bottom w:w="80" w:type="dxa"/>
              <w:right w:w="110" w:type="dxa"/>
            </w:tcMar>
            <w:shd w:val="clear" w:color="auto" w:fill="FBF6EE"/>
          </w:tcPr>
          <w:p>
            <w:pPr>
              <w:spacing w:after="0" w:line="278" w:lineRule="auto"/>
            </w:pPr>
            <w:r>
              <w:rPr>
                <w:rFonts w:ascii="Calibri" w:hAnsi="Calibri"/>
                <w:color w:val="3A4152"/>
                <w:sz w:val="18"/>
              </w:rPr>
              <w:t>6</w:t>
            </w:r>
          </w:p>
        </w:tc>
        <w:tc>
          <w:tcPr>
            <w:tcW w:type="dxa" w:w="3960"/>
            <w:tcMar>
              <w:top w:w="80" w:type="dxa"/>
              <w:left w:w="110" w:type="dxa"/>
              <w:bottom w:w="80" w:type="dxa"/>
              <w:right w:w="110" w:type="dxa"/>
            </w:tcMar>
            <w:shd w:val="clear" w:color="auto" w:fill="FBF6EE"/>
          </w:tcPr>
          <w:p>
            <w:pPr>
              <w:spacing w:after="0" w:line="278" w:lineRule="auto"/>
            </w:pPr>
            <w:r>
              <w:rPr>
                <w:rFonts w:ascii="Calibri" w:hAnsi="Calibri"/>
                <w:color w:val="3A4152"/>
                <w:sz w:val="18"/>
              </w:rPr>
              <w:t>Tier 1 ships first. Partly decided by the stack already, and the positioning depends on it.</w:t>
            </w:r>
          </w:p>
        </w:tc>
      </w:tr>
      <w:tr>
        <w:tc>
          <w:tcPr>
            <w:tcW w:type="dxa" w:w="936"/>
            <w:tcMar>
              <w:top w:w="80" w:type="dxa"/>
              <w:left w:w="110" w:type="dxa"/>
              <w:bottom w:w="80" w:type="dxa"/>
              <w:right w:w="110" w:type="dxa"/>
            </w:tcMar>
          </w:tcPr>
          <w:p>
            <w:pPr>
              <w:spacing w:after="0" w:line="278" w:lineRule="auto"/>
            </w:pPr>
            <w:r>
              <w:rPr>
                <w:rFonts w:ascii="Calibri" w:hAnsi="Calibri"/>
                <w:color w:val="3A4152"/>
                <w:sz w:val="18"/>
              </w:rPr>
              <w:t>3</w:t>
            </w:r>
          </w:p>
        </w:tc>
        <w:tc>
          <w:tcPr>
            <w:tcW w:type="dxa" w:w="3816"/>
            <w:tcMar>
              <w:top w:w="80" w:type="dxa"/>
              <w:left w:w="110" w:type="dxa"/>
              <w:bottom w:w="80" w:type="dxa"/>
              <w:right w:w="110" w:type="dxa"/>
            </w:tcMar>
          </w:tcPr>
          <w:p>
            <w:pPr>
              <w:spacing w:after="0" w:line="278" w:lineRule="auto"/>
            </w:pPr>
            <w:r>
              <w:rPr>
                <w:rFonts w:ascii="Calibri" w:hAnsi="Calibri"/>
                <w:b/>
                <w:color w:val="1A2133"/>
                <w:sz w:val="18"/>
              </w:rPr>
              <w:t>NEW</w:t>
            </w:r>
            <w:r>
              <w:rPr>
                <w:rFonts w:ascii="Calibri" w:hAnsi="Calibri"/>
                <w:color w:val="3A4152"/>
                <w:sz w:val="18"/>
              </w:rPr>
              <w:t xml:space="preserve"> · Does the phone reach the hub at tier 2?</w:t>
            </w:r>
          </w:p>
        </w:tc>
        <w:tc>
          <w:tcPr>
            <w:tcW w:type="dxa" w:w="792"/>
            <w:tcMar>
              <w:top w:w="80" w:type="dxa"/>
              <w:left w:w="110" w:type="dxa"/>
              <w:bottom w:w="80" w:type="dxa"/>
              <w:right w:w="110" w:type="dxa"/>
            </w:tcMar>
          </w:tcPr>
          <w:p>
            <w:pPr>
              <w:spacing w:after="0" w:line="278" w:lineRule="auto"/>
            </w:pPr>
            <w:r>
              <w:rPr>
                <w:rFonts w:ascii="Calibri" w:hAnsi="Calibri"/>
                <w:color w:val="3A4152"/>
                <w:sz w:val="18"/>
              </w:rPr>
              <w:t>not listed</w:t>
            </w:r>
          </w:p>
        </w:tc>
        <w:tc>
          <w:tcPr>
            <w:tcW w:type="dxa" w:w="3960"/>
            <w:tcMar>
              <w:top w:w="80" w:type="dxa"/>
              <w:left w:w="110" w:type="dxa"/>
              <w:bottom w:w="80" w:type="dxa"/>
              <w:right w:w="110" w:type="dxa"/>
            </w:tcMar>
          </w:tcPr>
          <w:p>
            <w:pPr>
              <w:spacing w:after="0" w:line="278" w:lineRule="auto"/>
            </w:pPr>
            <w:r>
              <w:rPr>
                <w:rFonts w:ascii="Calibri" w:hAnsi="Calibri"/>
                <w:color w:val="3A4152"/>
                <w:sz w:val="18"/>
              </w:rPr>
              <w:t>Resolves F3. Determines the client platform and whether native work is near-term.</w:t>
            </w:r>
          </w:p>
        </w:tc>
      </w:tr>
      <w:tr>
        <w:tc>
          <w:tcPr>
            <w:tcW w:type="dxa" w:w="936"/>
            <w:tcMar>
              <w:top w:w="80" w:type="dxa"/>
              <w:left w:w="110" w:type="dxa"/>
              <w:bottom w:w="80" w:type="dxa"/>
              <w:right w:w="110" w:type="dxa"/>
            </w:tcMar>
            <w:shd w:val="clear" w:color="auto" w:fill="FBF6EE"/>
          </w:tcPr>
          <w:p>
            <w:pPr>
              <w:spacing w:after="0" w:line="278" w:lineRule="auto"/>
            </w:pPr>
            <w:r>
              <w:rPr>
                <w:rFonts w:ascii="Calibri" w:hAnsi="Calibri"/>
                <w:color w:val="3A4152"/>
                <w:sz w:val="18"/>
              </w:rPr>
              <w:t>4</w:t>
            </w:r>
          </w:p>
        </w:tc>
        <w:tc>
          <w:tcPr>
            <w:tcW w:type="dxa" w:w="3816"/>
            <w:tcMar>
              <w:top w:w="80" w:type="dxa"/>
              <w:left w:w="110" w:type="dxa"/>
              <w:bottom w:w="80" w:type="dxa"/>
              <w:right w:w="110" w:type="dxa"/>
            </w:tcMar>
            <w:shd w:val="clear" w:color="auto" w:fill="FBF6EE"/>
          </w:tcPr>
          <w:p>
            <w:pPr>
              <w:spacing w:after="0" w:line="278" w:lineRule="auto"/>
            </w:pPr>
            <w:r>
              <w:rPr>
                <w:rFonts w:ascii="Calibri" w:hAnsi="Calibri"/>
                <w:b/>
                <w:color w:val="1A2133"/>
                <w:sz w:val="18"/>
              </w:rPr>
              <w:t>D1b</w:t>
            </w:r>
            <w:r>
              <w:rPr>
                <w:rFonts w:ascii="Calibri" w:hAnsi="Calibri"/>
                <w:color w:val="3A4152"/>
                <w:sz w:val="18"/>
              </w:rPr>
              <w:t xml:space="preserve"> · Barn tenancy model and session permissions</w:t>
            </w:r>
          </w:p>
        </w:tc>
        <w:tc>
          <w:tcPr>
            <w:tcW w:type="dxa" w:w="792"/>
            <w:tcMar>
              <w:top w:w="80" w:type="dxa"/>
              <w:left w:w="110" w:type="dxa"/>
              <w:bottom w:w="80" w:type="dxa"/>
              <w:right w:w="110" w:type="dxa"/>
            </w:tcMar>
            <w:shd w:val="clear" w:color="auto" w:fill="FBF6EE"/>
          </w:tcPr>
          <w:p>
            <w:pPr>
              <w:spacing w:after="0" w:line="278" w:lineRule="auto"/>
            </w:pPr>
            <w:r>
              <w:rPr>
                <w:rFonts w:ascii="Calibri" w:hAnsi="Calibri"/>
                <w:color w:val="3A4152"/>
                <w:sz w:val="18"/>
              </w:rPr>
              <w:t>1</w:t>
            </w:r>
          </w:p>
        </w:tc>
        <w:tc>
          <w:tcPr>
            <w:tcW w:type="dxa" w:w="3960"/>
            <w:tcMar>
              <w:top w:w="80" w:type="dxa"/>
              <w:left w:w="110" w:type="dxa"/>
              <w:bottom w:w="80" w:type="dxa"/>
              <w:right w:w="110" w:type="dxa"/>
            </w:tcMar>
            <w:shd w:val="clear" w:color="auto" w:fill="FBF6EE"/>
          </w:tcPr>
          <w:p>
            <w:pPr>
              <w:spacing w:after="0" w:line="278" w:lineRule="auto"/>
            </w:pPr>
            <w:r>
              <w:rPr>
                <w:rFonts w:ascii="Calibri" w:hAnsi="Calibri"/>
                <w:color w:val="3A4152"/>
                <w:sz w:val="18"/>
              </w:rPr>
              <w:t>Still the largest piece. Now correctly scoped as a schema and permissions project rather than a device change.</w:t>
            </w:r>
          </w:p>
        </w:tc>
      </w:tr>
      <w:tr>
        <w:tc>
          <w:tcPr>
            <w:tcW w:type="dxa" w:w="936"/>
            <w:tcMar>
              <w:top w:w="80" w:type="dxa"/>
              <w:left w:w="110" w:type="dxa"/>
              <w:bottom w:w="80" w:type="dxa"/>
              <w:right w:w="110" w:type="dxa"/>
            </w:tcMar>
          </w:tcPr>
          <w:p>
            <w:pPr>
              <w:spacing w:after="0" w:line="278" w:lineRule="auto"/>
            </w:pPr>
            <w:r>
              <w:rPr>
                <w:rFonts w:ascii="Calibri" w:hAnsi="Calibri"/>
                <w:color w:val="3A4152"/>
                <w:sz w:val="18"/>
              </w:rPr>
              <w:t>5</w:t>
            </w:r>
          </w:p>
        </w:tc>
        <w:tc>
          <w:tcPr>
            <w:tcW w:type="dxa" w:w="3816"/>
            <w:tcMar>
              <w:top w:w="80" w:type="dxa"/>
              <w:left w:w="110" w:type="dxa"/>
              <w:bottom w:w="80" w:type="dxa"/>
              <w:right w:w="110" w:type="dxa"/>
            </w:tcMar>
          </w:tcPr>
          <w:p>
            <w:pPr>
              <w:spacing w:after="0" w:line="278" w:lineRule="auto"/>
            </w:pPr>
            <w:r>
              <w:rPr>
                <w:rFonts w:ascii="Calibri" w:hAnsi="Calibri"/>
                <w:b/>
                <w:color w:val="1A2133"/>
                <w:sz w:val="18"/>
              </w:rPr>
              <w:t>D7</w:t>
            </w:r>
            <w:r>
              <w:rPr>
                <w:rFonts w:ascii="Calibri" w:hAnsi="Calibri"/>
                <w:color w:val="3A4152"/>
                <w:sz w:val="18"/>
              </w:rPr>
              <w:t xml:space="preserve"> · Group lessons</w:t>
            </w:r>
          </w:p>
        </w:tc>
        <w:tc>
          <w:tcPr>
            <w:tcW w:type="dxa" w:w="792"/>
            <w:tcMar>
              <w:top w:w="80" w:type="dxa"/>
              <w:left w:w="110" w:type="dxa"/>
              <w:bottom w:w="80" w:type="dxa"/>
              <w:right w:w="110" w:type="dxa"/>
            </w:tcMar>
          </w:tcPr>
          <w:p>
            <w:pPr>
              <w:spacing w:after="0" w:line="278" w:lineRule="auto"/>
            </w:pPr>
            <w:r>
              <w:rPr>
                <w:rFonts w:ascii="Calibri" w:hAnsi="Calibri"/>
                <w:color w:val="3A4152"/>
                <w:sz w:val="18"/>
              </w:rPr>
              <w:t>7</w:t>
            </w:r>
          </w:p>
        </w:tc>
        <w:tc>
          <w:tcPr>
            <w:tcW w:type="dxa" w:w="3960"/>
            <w:tcMar>
              <w:top w:w="80" w:type="dxa"/>
              <w:left w:w="110" w:type="dxa"/>
              <w:bottom w:w="80" w:type="dxa"/>
              <w:right w:w="110" w:type="dxa"/>
            </w:tcMar>
          </w:tcPr>
          <w:p>
            <w:pPr>
              <w:spacing w:after="0" w:line="278" w:lineRule="auto"/>
            </w:pPr>
            <w:r>
              <w:rPr>
                <w:rFonts w:ascii="Calibri" w:hAnsi="Calibri"/>
                <w:color w:val="3A4152"/>
                <w:sz w:val="18"/>
              </w:rPr>
              <w:t>Same underlying question as D1a and D1b. Cheaper decided together.</w:t>
            </w:r>
          </w:p>
        </w:tc>
      </w:tr>
      <w:tr>
        <w:tc>
          <w:tcPr>
            <w:tcW w:type="dxa" w:w="936"/>
            <w:tcMar>
              <w:top w:w="80" w:type="dxa"/>
              <w:left w:w="110" w:type="dxa"/>
              <w:bottom w:w="80" w:type="dxa"/>
              <w:right w:w="110" w:type="dxa"/>
            </w:tcMar>
            <w:shd w:val="clear" w:color="auto" w:fill="FBF6EE"/>
          </w:tcPr>
          <w:p>
            <w:pPr>
              <w:spacing w:after="0" w:line="278" w:lineRule="auto"/>
            </w:pPr>
            <w:r>
              <w:rPr>
                <w:rFonts w:ascii="Calibri" w:hAnsi="Calibri"/>
                <w:color w:val="3A4152"/>
                <w:sz w:val="18"/>
              </w:rPr>
              <w:t>6</w:t>
            </w:r>
          </w:p>
        </w:tc>
        <w:tc>
          <w:tcPr>
            <w:tcW w:type="dxa" w:w="3816"/>
            <w:tcMar>
              <w:top w:w="80" w:type="dxa"/>
              <w:left w:w="110" w:type="dxa"/>
              <w:bottom w:w="80" w:type="dxa"/>
              <w:right w:w="110" w:type="dxa"/>
            </w:tcMar>
            <w:shd w:val="clear" w:color="auto" w:fill="FBF6EE"/>
          </w:tcPr>
          <w:p>
            <w:pPr>
              <w:spacing w:after="0" w:line="278" w:lineRule="auto"/>
            </w:pPr>
            <w:r>
              <w:rPr>
                <w:rFonts w:ascii="Calibri" w:hAnsi="Calibri"/>
                <w:b/>
                <w:color w:val="1A2133"/>
                <w:sz w:val="18"/>
              </w:rPr>
              <w:t>D2</w:t>
            </w:r>
            <w:r>
              <w:rPr>
                <w:rFonts w:ascii="Calibri" w:hAnsi="Calibri"/>
                <w:color w:val="3A4152"/>
                <w:sz w:val="18"/>
              </w:rPr>
              <w:t xml:space="preserve"> · Hub operation with no internet</w:t>
            </w:r>
          </w:p>
        </w:tc>
        <w:tc>
          <w:tcPr>
            <w:tcW w:type="dxa" w:w="792"/>
            <w:tcMar>
              <w:top w:w="80" w:type="dxa"/>
              <w:left w:w="110" w:type="dxa"/>
              <w:bottom w:w="80" w:type="dxa"/>
              <w:right w:w="110" w:type="dxa"/>
            </w:tcMar>
            <w:shd w:val="clear" w:color="auto" w:fill="FBF6EE"/>
          </w:tcPr>
          <w:p>
            <w:pPr>
              <w:spacing w:after="0" w:line="278" w:lineRule="auto"/>
            </w:pPr>
            <w:r>
              <w:rPr>
                <w:rFonts w:ascii="Calibri" w:hAnsi="Calibri"/>
                <w:color w:val="3A4152"/>
                <w:sz w:val="18"/>
              </w:rPr>
              <w:t>2</w:t>
            </w:r>
          </w:p>
        </w:tc>
        <w:tc>
          <w:tcPr>
            <w:tcW w:type="dxa" w:w="3960"/>
            <w:tcMar>
              <w:top w:w="80" w:type="dxa"/>
              <w:left w:w="110" w:type="dxa"/>
              <w:bottom w:w="80" w:type="dxa"/>
              <w:right w:w="110" w:type="dxa"/>
            </w:tcMar>
            <w:shd w:val="clear" w:color="auto" w:fill="FBF6EE"/>
          </w:tcPr>
          <w:p>
            <w:pPr>
              <w:spacing w:after="0" w:line="278" w:lineRule="auto"/>
            </w:pPr>
            <w:r>
              <w:rPr>
                <w:rFonts w:ascii="Calibri" w:hAnsi="Calibri"/>
                <w:color w:val="3A4152"/>
                <w:sz w:val="18"/>
              </w:rPr>
              <w:t>Unchanged in substance; now sequenced after the identity questions it depends on.</w:t>
            </w:r>
          </w:p>
        </w:tc>
      </w:tr>
      <w:tr>
        <w:tc>
          <w:tcPr>
            <w:tcW w:type="dxa" w:w="936"/>
            <w:tcMar>
              <w:top w:w="80" w:type="dxa"/>
              <w:left w:w="110" w:type="dxa"/>
              <w:bottom w:w="80" w:type="dxa"/>
              <w:right w:w="110" w:type="dxa"/>
            </w:tcMar>
          </w:tcPr>
          <w:p>
            <w:pPr>
              <w:spacing w:after="0" w:line="278" w:lineRule="auto"/>
            </w:pPr>
            <w:r>
              <w:rPr>
                <w:rFonts w:ascii="Calibri" w:hAnsi="Calibri"/>
                <w:color w:val="3A4152"/>
                <w:sz w:val="18"/>
              </w:rPr>
              <w:t>7</w:t>
            </w:r>
          </w:p>
        </w:tc>
        <w:tc>
          <w:tcPr>
            <w:tcW w:type="dxa" w:w="3816"/>
            <w:tcMar>
              <w:top w:w="80" w:type="dxa"/>
              <w:left w:w="110" w:type="dxa"/>
              <w:bottom w:w="80" w:type="dxa"/>
              <w:right w:w="110" w:type="dxa"/>
            </w:tcMar>
          </w:tcPr>
          <w:p>
            <w:pPr>
              <w:spacing w:after="0" w:line="278" w:lineRule="auto"/>
            </w:pPr>
            <w:r>
              <w:rPr>
                <w:rFonts w:ascii="Calibri" w:hAnsi="Calibri"/>
                <w:b/>
                <w:color w:val="1A2133"/>
                <w:sz w:val="18"/>
              </w:rPr>
              <w:t>D3</w:t>
            </w:r>
            <w:r>
              <w:rPr>
                <w:rFonts w:ascii="Calibri" w:hAnsi="Calibri"/>
                <w:color w:val="3A4152"/>
                <w:sz w:val="18"/>
              </w:rPr>
              <w:t xml:space="preserve"> · Where transcription runs</w:t>
            </w:r>
          </w:p>
        </w:tc>
        <w:tc>
          <w:tcPr>
            <w:tcW w:type="dxa" w:w="792"/>
            <w:tcMar>
              <w:top w:w="80" w:type="dxa"/>
              <w:left w:w="110" w:type="dxa"/>
              <w:bottom w:w="80" w:type="dxa"/>
              <w:right w:w="110" w:type="dxa"/>
            </w:tcMar>
          </w:tcPr>
          <w:p>
            <w:pPr>
              <w:spacing w:after="0" w:line="278" w:lineRule="auto"/>
            </w:pPr>
            <w:r>
              <w:rPr>
                <w:rFonts w:ascii="Calibri" w:hAnsi="Calibri"/>
                <w:color w:val="3A4152"/>
                <w:sz w:val="18"/>
              </w:rPr>
              <w:t>3</w:t>
            </w:r>
          </w:p>
        </w:tc>
        <w:tc>
          <w:tcPr>
            <w:tcW w:type="dxa" w:w="3960"/>
            <w:tcMar>
              <w:top w:w="80" w:type="dxa"/>
              <w:left w:w="110" w:type="dxa"/>
              <w:bottom w:w="80" w:type="dxa"/>
              <w:right w:w="110" w:type="dxa"/>
            </w:tcMar>
          </w:tcPr>
          <w:p>
            <w:pPr>
              <w:spacing w:after="0" w:line="278" w:lineRule="auto"/>
            </w:pPr>
            <w:r>
              <w:rPr>
                <w:rFonts w:ascii="Calibri" w:hAnsi="Calibri"/>
                <w:color w:val="3A4152"/>
                <w:sz w:val="18"/>
              </w:rPr>
              <w:t>Unchanged. Depends on D2.</w:t>
            </w:r>
          </w:p>
        </w:tc>
      </w:tr>
      <w:tr>
        <w:tc>
          <w:tcPr>
            <w:tcW w:type="dxa" w:w="936"/>
            <w:tcMar>
              <w:top w:w="80" w:type="dxa"/>
              <w:left w:w="110" w:type="dxa"/>
              <w:bottom w:w="80" w:type="dxa"/>
              <w:right w:w="110" w:type="dxa"/>
            </w:tcMar>
            <w:shd w:val="clear" w:color="auto" w:fill="FBF6EE"/>
          </w:tcPr>
          <w:p>
            <w:pPr>
              <w:spacing w:after="0" w:line="278" w:lineRule="auto"/>
            </w:pPr>
            <w:r>
              <w:rPr>
                <w:rFonts w:ascii="Calibri" w:hAnsi="Calibri"/>
                <w:color w:val="3A4152"/>
                <w:sz w:val="18"/>
              </w:rPr>
              <w:t>8</w:t>
            </w:r>
          </w:p>
        </w:tc>
        <w:tc>
          <w:tcPr>
            <w:tcW w:type="dxa" w:w="3816"/>
            <w:tcMar>
              <w:top w:w="80" w:type="dxa"/>
              <w:left w:w="110" w:type="dxa"/>
              <w:bottom w:w="80" w:type="dxa"/>
              <w:right w:w="110" w:type="dxa"/>
            </w:tcMar>
            <w:shd w:val="clear" w:color="auto" w:fill="FBF6EE"/>
          </w:tcPr>
          <w:p>
            <w:pPr>
              <w:spacing w:after="0" w:line="278" w:lineRule="auto"/>
            </w:pPr>
            <w:r>
              <w:rPr>
                <w:rFonts w:ascii="Calibri" w:hAnsi="Calibri"/>
                <w:b/>
                <w:color w:val="1A2133"/>
                <w:sz w:val="18"/>
              </w:rPr>
              <w:t>D4</w:t>
            </w:r>
            <w:r>
              <w:rPr>
                <w:rFonts w:ascii="Calibri" w:hAnsi="Calibri"/>
                <w:color w:val="3A4152"/>
                <w:sz w:val="18"/>
              </w:rPr>
              <w:t xml:space="preserve"> · Video source and camera partnership</w:t>
            </w:r>
          </w:p>
        </w:tc>
        <w:tc>
          <w:tcPr>
            <w:tcW w:type="dxa" w:w="792"/>
            <w:tcMar>
              <w:top w:w="80" w:type="dxa"/>
              <w:left w:w="110" w:type="dxa"/>
              <w:bottom w:w="80" w:type="dxa"/>
              <w:right w:w="110" w:type="dxa"/>
            </w:tcMar>
            <w:shd w:val="clear" w:color="auto" w:fill="FBF6EE"/>
          </w:tcPr>
          <w:p>
            <w:pPr>
              <w:spacing w:after="0" w:line="278" w:lineRule="auto"/>
            </w:pPr>
            <w:r>
              <w:rPr>
                <w:rFonts w:ascii="Calibri" w:hAnsi="Calibri"/>
                <w:color w:val="3A4152"/>
                <w:sz w:val="18"/>
              </w:rPr>
              <w:t>4</w:t>
            </w:r>
          </w:p>
        </w:tc>
        <w:tc>
          <w:tcPr>
            <w:tcW w:type="dxa" w:w="3960"/>
            <w:tcMar>
              <w:top w:w="80" w:type="dxa"/>
              <w:left w:w="110" w:type="dxa"/>
              <w:bottom w:w="80" w:type="dxa"/>
              <w:right w:w="110" w:type="dxa"/>
            </w:tcMar>
            <w:shd w:val="clear" w:color="auto" w:fill="FBF6EE"/>
          </w:tcPr>
          <w:p>
            <w:pPr>
              <w:spacing w:after="0" w:line="278" w:lineRule="auto"/>
            </w:pPr>
            <w:r>
              <w:rPr>
                <w:rFonts w:ascii="Calibri" w:hAnsi="Calibri"/>
                <w:color w:val="3A4152"/>
                <w:sz w:val="18"/>
              </w:rPr>
              <w:t>Unchanged.</w:t>
            </w:r>
          </w:p>
        </w:tc>
      </w:tr>
      <w:tr>
        <w:tc>
          <w:tcPr>
            <w:tcW w:type="dxa" w:w="936"/>
            <w:tcMar>
              <w:top w:w="80" w:type="dxa"/>
              <w:left w:w="110" w:type="dxa"/>
              <w:bottom w:w="80" w:type="dxa"/>
              <w:right w:w="110" w:type="dxa"/>
            </w:tcMar>
          </w:tcPr>
          <w:p>
            <w:pPr>
              <w:spacing w:after="0" w:line="278" w:lineRule="auto"/>
            </w:pPr>
            <w:r>
              <w:rPr>
                <w:rFonts w:ascii="Calibri" w:hAnsi="Calibri"/>
                <w:color w:val="3A4152"/>
                <w:sz w:val="18"/>
              </w:rPr>
              <w:t>9</w:t>
            </w:r>
          </w:p>
        </w:tc>
        <w:tc>
          <w:tcPr>
            <w:tcW w:type="dxa" w:w="3816"/>
            <w:tcMar>
              <w:top w:w="80" w:type="dxa"/>
              <w:left w:w="110" w:type="dxa"/>
              <w:bottom w:w="80" w:type="dxa"/>
              <w:right w:w="110" w:type="dxa"/>
            </w:tcMar>
          </w:tcPr>
          <w:p>
            <w:pPr>
              <w:spacing w:after="0" w:line="278" w:lineRule="auto"/>
            </w:pPr>
            <w:r>
              <w:rPr>
                <w:rFonts w:ascii="Calibri" w:hAnsi="Calibri"/>
                <w:b/>
                <w:color w:val="1A2133"/>
                <w:sz w:val="18"/>
              </w:rPr>
              <w:t>D8</w:t>
            </w:r>
            <w:r>
              <w:rPr>
                <w:rFonts w:ascii="Calibri" w:hAnsi="Calibri"/>
                <w:color w:val="3A4152"/>
                <w:sz w:val="18"/>
              </w:rPr>
              <w:t xml:space="preserve"> · Clock skew measurement at attach</w:t>
            </w:r>
          </w:p>
        </w:tc>
        <w:tc>
          <w:tcPr>
            <w:tcW w:type="dxa" w:w="792"/>
            <w:tcMar>
              <w:top w:w="80" w:type="dxa"/>
              <w:left w:w="110" w:type="dxa"/>
              <w:bottom w:w="80" w:type="dxa"/>
              <w:right w:w="110" w:type="dxa"/>
            </w:tcMar>
          </w:tcPr>
          <w:p>
            <w:pPr>
              <w:spacing w:after="0" w:line="278" w:lineRule="auto"/>
            </w:pPr>
            <w:r>
              <w:rPr>
                <w:rFonts w:ascii="Calibri" w:hAnsi="Calibri"/>
                <w:color w:val="3A4152"/>
                <w:sz w:val="18"/>
              </w:rPr>
              <w:t>8</w:t>
            </w:r>
          </w:p>
        </w:tc>
        <w:tc>
          <w:tcPr>
            <w:tcW w:type="dxa" w:w="3960"/>
            <w:tcMar>
              <w:top w:w="80" w:type="dxa"/>
              <w:left w:w="110" w:type="dxa"/>
              <w:bottom w:w="80" w:type="dxa"/>
              <w:right w:w="110" w:type="dxa"/>
            </w:tcMar>
          </w:tcPr>
          <w:p>
            <w:pPr>
              <w:spacing w:after="0" w:line="278" w:lineRule="auto"/>
            </w:pPr>
            <w:r>
              <w:rPr>
                <w:rFonts w:ascii="Calibri" w:hAnsi="Calibri"/>
                <w:b/>
                <w:color w:val="1A2133"/>
                <w:sz w:val="18"/>
              </w:rPr>
              <w:t>No dependencies. Can start today</w:t>
            </w:r>
            <w:r>
              <w:rPr>
                <w:rFonts w:ascii="Calibri" w:hAnsi="Calibri"/>
                <w:color w:val="3A4152"/>
                <w:sz w:val="18"/>
              </w:rPr>
              <w:t xml:space="preserve"> and should not wait behind anything above it.</w:t>
            </w:r>
          </w:p>
        </w:tc>
      </w:tr>
      <w:tr>
        <w:tc>
          <w:tcPr>
            <w:tcW w:type="dxa" w:w="936"/>
            <w:tcMar>
              <w:top w:w="80" w:type="dxa"/>
              <w:left w:w="110" w:type="dxa"/>
              <w:bottom w:w="80" w:type="dxa"/>
              <w:right w:w="110" w:type="dxa"/>
            </w:tcMar>
            <w:shd w:val="clear" w:color="auto" w:fill="FBF6EE"/>
          </w:tcPr>
          <w:p>
            <w:pPr>
              <w:spacing w:after="0" w:line="278" w:lineRule="auto"/>
            </w:pPr>
            <w:r>
              <w:rPr>
                <w:rFonts w:ascii="Calibri" w:hAnsi="Calibri"/>
                <w:color w:val="3A4152"/>
                <w:sz w:val="18"/>
              </w:rPr>
              <w:t>10</w:t>
            </w:r>
          </w:p>
        </w:tc>
        <w:tc>
          <w:tcPr>
            <w:tcW w:type="dxa" w:w="3816"/>
            <w:tcMar>
              <w:top w:w="80" w:type="dxa"/>
              <w:left w:w="110" w:type="dxa"/>
              <w:bottom w:w="80" w:type="dxa"/>
              <w:right w:w="110" w:type="dxa"/>
            </w:tcMar>
            <w:shd w:val="clear" w:color="auto" w:fill="FBF6EE"/>
          </w:tcPr>
          <w:p>
            <w:pPr>
              <w:spacing w:after="0" w:line="278" w:lineRule="auto"/>
            </w:pPr>
            <w:r>
              <w:rPr>
                <w:rFonts w:ascii="Calibri" w:hAnsi="Calibri"/>
                <w:b/>
                <w:color w:val="1A2133"/>
                <w:sz w:val="18"/>
              </w:rPr>
              <w:t>D5</w:t>
            </w:r>
            <w:r>
              <w:rPr>
                <w:rFonts w:ascii="Calibri" w:hAnsi="Calibri"/>
                <w:color w:val="3A4152"/>
                <w:sz w:val="18"/>
              </w:rPr>
              <w:t xml:space="preserve"> · Sensor ownership, plus provenance from F6</w:t>
            </w:r>
          </w:p>
        </w:tc>
        <w:tc>
          <w:tcPr>
            <w:tcW w:type="dxa" w:w="792"/>
            <w:tcMar>
              <w:top w:w="80" w:type="dxa"/>
              <w:left w:w="110" w:type="dxa"/>
              <w:bottom w:w="80" w:type="dxa"/>
              <w:right w:w="110" w:type="dxa"/>
            </w:tcMar>
            <w:shd w:val="clear" w:color="auto" w:fill="FBF6EE"/>
          </w:tcPr>
          <w:p>
            <w:pPr>
              <w:spacing w:after="0" w:line="278" w:lineRule="auto"/>
            </w:pPr>
            <w:r>
              <w:rPr>
                <w:rFonts w:ascii="Calibri" w:hAnsi="Calibri"/>
                <w:color w:val="3A4152"/>
                <w:sz w:val="18"/>
              </w:rPr>
              <w:t>5</w:t>
            </w:r>
          </w:p>
        </w:tc>
        <w:tc>
          <w:tcPr>
            <w:tcW w:type="dxa" w:w="3960"/>
            <w:tcMar>
              <w:top w:w="80" w:type="dxa"/>
              <w:left w:w="110" w:type="dxa"/>
              <w:bottom w:w="80" w:type="dxa"/>
              <w:right w:w="110" w:type="dxa"/>
            </w:tcMar>
            <w:shd w:val="clear" w:color="auto" w:fill="FBF6EE"/>
          </w:tcPr>
          <w:p>
            <w:pPr>
              <w:spacing w:after="0" w:line="278" w:lineRule="auto"/>
            </w:pPr>
            <w:r>
              <w:rPr>
                <w:rFonts w:ascii="Calibri" w:hAnsi="Calibri"/>
                <w:color w:val="3A4152"/>
                <w:sz w:val="18"/>
              </w:rPr>
              <w:t>Unchanged in rank. Provenance half should be adopted now regardless of how ownership resolves.</w:t>
            </w:r>
          </w:p>
        </w:tc>
      </w:tr>
    </w:tbl>
    <w:p>
      <w:pPr>
        <w:spacing w:after="80"/>
      </w:pP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 · AGREE, OR REORDER</w:t>
            </w:r>
          </w:p>
        </w:tc>
      </w:tr>
    </w:tbl>
    <w:p>
      <w:pPr>
        <w:spacing w:after="40"/>
      </w:pPr>
    </w:p>
    <w:p>
      <w:pPr>
        <w:pStyle w:val="Heading1"/>
        <w:pBdr>
          <w:bottom w:val="single" w:sz="6" w:space="5" w:color="D1A955"/>
        </w:pBdr>
      </w:pPr>
      <w:r>
        <w:t>5 · The four questions that block implementation</w:t>
      </w:r>
    </w:p>
    <w:p>
      <w:pPr>
        <w:spacing w:after="160"/>
      </w:pPr>
      <w:r>
        <w:rPr>
          <w:rFonts w:ascii="Calibri" w:hAnsi="Calibri"/>
          <w:color w:val="3A4152"/>
          <w:sz w:val="21"/>
        </w:rPr>
        <w:t>Everything else can be worked around or deferred. These four change what gets built, so a wrong guess is expensive.</w:t>
      </w:r>
    </w:p>
    <w:p>
      <w:pPr>
        <w:pStyle w:val="Heading2"/>
      </w:pPr>
      <w:r>
        <w:rPr>
          <w:rFonts w:ascii="Georgia" w:hAnsi="Georgia"/>
          <w:color w:val="0E1729"/>
          <w:sz w:val="24"/>
        </w:rPr>
        <w:t>Q1 · Is Decision 1 being split — binding fix now, tenancy as its own project — or done as one piece?</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752"/>
        <w:gridCol w:w="4752"/>
      </w:tblGrid>
      <w:tr>
        <w:trPr>
          <w:tblHeader/>
        </w:trPr>
        <w:tc>
          <w:tcPr>
            <w:tcW w:type="dxa" w:w="4752"/>
            <w:shd w:val="clear" w:color="auto" w:fill="0E1729"/>
            <w:tcMar>
              <w:top w:w="80" w:type="dxa"/>
              <w:left w:w="110" w:type="dxa"/>
              <w:bottom w:w="80" w:type="dxa"/>
              <w:right w:w="110" w:type="dxa"/>
            </w:tcMar>
          </w:tcPr>
          <w:p>
            <w:pPr>
              <w:spacing w:after="0"/>
            </w:pPr>
            <w:r>
              <w:rPr>
                <w:rFonts w:ascii="Calibri" w:hAnsi="Calibri"/>
                <w:b/>
                <w:caps/>
                <w:color w:val="FCF2E6"/>
                <w:sz w:val="16"/>
              </w:rPr>
              <w:t>If yes / former</w:t>
            </w:r>
          </w:p>
        </w:tc>
        <w:tc>
          <w:tcPr>
            <w:tcW w:type="dxa" w:w="4752"/>
            <w:shd w:val="clear" w:color="auto" w:fill="0E1729"/>
            <w:tcMar>
              <w:top w:w="80" w:type="dxa"/>
              <w:left w:w="110" w:type="dxa"/>
              <w:bottom w:w="80" w:type="dxa"/>
              <w:right w:w="110" w:type="dxa"/>
            </w:tcMar>
          </w:tcPr>
          <w:p>
            <w:pPr>
              <w:spacing w:after="0"/>
            </w:pPr>
            <w:r>
              <w:rPr>
                <w:rFonts w:ascii="Calibri" w:hAnsi="Calibri"/>
                <w:b/>
                <w:caps/>
                <w:color w:val="FCF2E6"/>
                <w:sz w:val="16"/>
              </w:rPr>
              <w:t>If no / latter</w:t>
            </w:r>
          </w:p>
        </w:tc>
      </w:tr>
      <w:tr>
        <w:tc>
          <w:tcPr>
            <w:tcW w:type="dxa" w:w="4752"/>
            <w:tcMar>
              <w:top w:w="80" w:type="dxa"/>
              <w:left w:w="110" w:type="dxa"/>
              <w:bottom w:w="80" w:type="dxa"/>
              <w:right w:w="110" w:type="dxa"/>
            </w:tcMar>
          </w:tcPr>
          <w:p>
            <w:pPr>
              <w:spacing w:after="0" w:line="278" w:lineRule="auto"/>
            </w:pPr>
            <w:r>
              <w:rPr>
                <w:rFonts w:ascii="Calibri" w:hAnsi="Calibri"/>
                <w:color w:val="3A4152"/>
                <w:sz w:val="18"/>
              </w:rPr>
              <w:t>Split: binding lands this week and tier 2 device work proceeds against correct semantics while tenancy is designed properly.</w:t>
            </w:r>
          </w:p>
        </w:tc>
        <w:tc>
          <w:tcPr>
            <w:tcW w:type="dxa" w:w="4752"/>
            <w:tcMar>
              <w:top w:w="80" w:type="dxa"/>
              <w:left w:w="110" w:type="dxa"/>
              <w:bottom w:w="80" w:type="dxa"/>
              <w:right w:w="110" w:type="dxa"/>
            </w:tcMar>
          </w:tcPr>
          <w:p>
            <w:pPr>
              <w:spacing w:after="0" w:line="278" w:lineRule="auto"/>
            </w:pPr>
            <w:r>
              <w:rPr>
                <w:rFonts w:ascii="Calibri" w:hAnsi="Calibri"/>
                <w:color w:val="3A4152"/>
                <w:sz w:val="18"/>
              </w:rPr>
              <w:t>One piece: device work stalls until the tenancy schema is designed, reviewed, and migrated, because building on the current identity model means rebuilding it.</w:t>
            </w:r>
          </w:p>
        </w:tc>
      </w:tr>
    </w:tbl>
    <w:p>
      <w:pPr>
        <w:spacing w:after="80"/>
      </w:pP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4"/>
        </w:rPr>
        <w:t>Q2 · Does tier 1 get to require internet, with the metal arena being the hub's job?</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752"/>
        <w:gridCol w:w="4752"/>
      </w:tblGrid>
      <w:tr>
        <w:trPr>
          <w:tblHeader/>
        </w:trPr>
        <w:tc>
          <w:tcPr>
            <w:tcW w:type="dxa" w:w="4752"/>
            <w:shd w:val="clear" w:color="auto" w:fill="0E1729"/>
            <w:tcMar>
              <w:top w:w="80" w:type="dxa"/>
              <w:left w:w="110" w:type="dxa"/>
              <w:bottom w:w="80" w:type="dxa"/>
              <w:right w:w="110" w:type="dxa"/>
            </w:tcMar>
          </w:tcPr>
          <w:p>
            <w:pPr>
              <w:spacing w:after="0"/>
            </w:pPr>
            <w:r>
              <w:rPr>
                <w:rFonts w:ascii="Calibri" w:hAnsi="Calibri"/>
                <w:b/>
                <w:caps/>
                <w:color w:val="FCF2E6"/>
                <w:sz w:val="16"/>
              </w:rPr>
              <w:t>If yes / former</w:t>
            </w:r>
          </w:p>
        </w:tc>
        <w:tc>
          <w:tcPr>
            <w:tcW w:type="dxa" w:w="4752"/>
            <w:shd w:val="clear" w:color="auto" w:fill="0E1729"/>
            <w:tcMar>
              <w:top w:w="80" w:type="dxa"/>
              <w:left w:w="110" w:type="dxa"/>
              <w:bottom w:w="80" w:type="dxa"/>
              <w:right w:w="110" w:type="dxa"/>
            </w:tcMar>
          </w:tcPr>
          <w:p>
            <w:pPr>
              <w:spacing w:after="0"/>
            </w:pPr>
            <w:r>
              <w:rPr>
                <w:rFonts w:ascii="Calibri" w:hAnsi="Calibri"/>
                <w:b/>
                <w:caps/>
                <w:color w:val="FCF2E6"/>
                <w:sz w:val="16"/>
              </w:rPr>
              <w:t>If no / latter</w:t>
            </w:r>
          </w:p>
        </w:tc>
      </w:tr>
      <w:tr>
        <w:tc>
          <w:tcPr>
            <w:tcW w:type="dxa" w:w="4752"/>
            <w:tcMar>
              <w:top w:w="80" w:type="dxa"/>
              <w:left w:w="110" w:type="dxa"/>
              <w:bottom w:w="80" w:type="dxa"/>
              <w:right w:w="110" w:type="dxa"/>
            </w:tcMar>
          </w:tcPr>
          <w:p>
            <w:pPr>
              <w:spacing w:after="0" w:line="278" w:lineRule="auto"/>
            </w:pPr>
            <w:r>
              <w:rPr>
                <w:rFonts w:ascii="Calibri" w:hAnsi="Calibri"/>
                <w:color w:val="3A4152"/>
                <w:sz w:val="18"/>
              </w:rPr>
              <w:t>Yes: nothing changes in the audio stack, positioning gets a caveat, and the hub gains its clearest reason to exist.</w:t>
            </w:r>
          </w:p>
        </w:tc>
        <w:tc>
          <w:tcPr>
            <w:tcW w:type="dxa" w:w="4752"/>
            <w:tcMar>
              <w:top w:w="80" w:type="dxa"/>
              <w:left w:w="110" w:type="dxa"/>
              <w:bottom w:w="80" w:type="dxa"/>
              <w:right w:w="110" w:type="dxa"/>
            </w:tcMar>
          </w:tcPr>
          <w:p>
            <w:pPr>
              <w:spacing w:after="0" w:line="278" w:lineRule="auto"/>
            </w:pPr>
            <w:r>
              <w:rPr>
                <w:rFonts w:ascii="Calibri" w:hAnsi="Calibri"/>
                <w:color w:val="3A4152"/>
                <w:sz w:val="18"/>
              </w:rPr>
              <w:t>No: a peer-to-peer audio path has to be added alongside the current relay, with discovery and fallback. That is a significant piece of work on the tier that ships first.</w:t>
            </w:r>
          </w:p>
        </w:tc>
      </w:tr>
    </w:tbl>
    <w:p>
      <w:pPr>
        <w:spacing w:after="80"/>
      </w:pP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4"/>
        </w:rPr>
        <w:t>Q3 · Does the phone need to reach the hub at tier 2, or is local audio a tier 3 feature?</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752"/>
        <w:gridCol w:w="4752"/>
      </w:tblGrid>
      <w:tr>
        <w:trPr>
          <w:tblHeader/>
        </w:trPr>
        <w:tc>
          <w:tcPr>
            <w:tcW w:type="dxa" w:w="4752"/>
            <w:shd w:val="clear" w:color="auto" w:fill="0E1729"/>
            <w:tcMar>
              <w:top w:w="80" w:type="dxa"/>
              <w:left w:w="110" w:type="dxa"/>
              <w:bottom w:w="80" w:type="dxa"/>
              <w:right w:w="110" w:type="dxa"/>
            </w:tcMar>
          </w:tcPr>
          <w:p>
            <w:pPr>
              <w:spacing w:after="0"/>
            </w:pPr>
            <w:r>
              <w:rPr>
                <w:rFonts w:ascii="Calibri" w:hAnsi="Calibri"/>
                <w:b/>
                <w:caps/>
                <w:color w:val="FCF2E6"/>
                <w:sz w:val="16"/>
              </w:rPr>
              <w:t>If yes / former</w:t>
            </w:r>
          </w:p>
        </w:tc>
        <w:tc>
          <w:tcPr>
            <w:tcW w:type="dxa" w:w="4752"/>
            <w:shd w:val="clear" w:color="auto" w:fill="0E1729"/>
            <w:tcMar>
              <w:top w:w="80" w:type="dxa"/>
              <w:left w:w="110" w:type="dxa"/>
              <w:bottom w:w="80" w:type="dxa"/>
              <w:right w:w="110" w:type="dxa"/>
            </w:tcMar>
          </w:tcPr>
          <w:p>
            <w:pPr>
              <w:spacing w:after="0"/>
            </w:pPr>
            <w:r>
              <w:rPr>
                <w:rFonts w:ascii="Calibri" w:hAnsi="Calibri"/>
                <w:b/>
                <w:caps/>
                <w:color w:val="FCF2E6"/>
                <w:sz w:val="16"/>
              </w:rPr>
              <w:t>If no / latter</w:t>
            </w:r>
          </w:p>
        </w:tc>
      </w:tr>
      <w:tr>
        <w:tc>
          <w:tcPr>
            <w:tcW w:type="dxa" w:w="4752"/>
            <w:tcMar>
              <w:top w:w="80" w:type="dxa"/>
              <w:left w:w="110" w:type="dxa"/>
              <w:bottom w:w="80" w:type="dxa"/>
              <w:right w:w="110" w:type="dxa"/>
            </w:tcMar>
          </w:tcPr>
          <w:p>
            <w:pPr>
              <w:spacing w:after="0" w:line="278" w:lineRule="auto"/>
            </w:pPr>
            <w:r>
              <w:rPr>
                <w:rFonts w:ascii="Calibri" w:hAnsi="Calibri"/>
                <w:color w:val="3A4152"/>
                <w:sz w:val="18"/>
              </w:rPr>
              <w:t>Tier 3: the web client holds, native stays deferred, tier 2 is video plus offline resilience.</w:t>
            </w:r>
          </w:p>
        </w:tc>
        <w:tc>
          <w:tcPr>
            <w:tcW w:type="dxa" w:w="4752"/>
            <w:tcMar>
              <w:top w:w="80" w:type="dxa"/>
              <w:left w:w="110" w:type="dxa"/>
              <w:bottom w:w="80" w:type="dxa"/>
              <w:right w:w="110" w:type="dxa"/>
            </w:tcMar>
          </w:tcPr>
          <w:p>
            <w:pPr>
              <w:spacing w:after="0" w:line="278" w:lineRule="auto"/>
            </w:pPr>
            <w:r>
              <w:rPr>
                <w:rFonts w:ascii="Calibri" w:hAnsi="Calibri"/>
                <w:color w:val="3A4152"/>
                <w:sz w:val="18"/>
              </w:rPr>
              <w:t>Tier 2: native client moves up, and local discovery plus the trusted-certificate problem become near-term work rather than future work.</w:t>
            </w:r>
          </w:p>
        </w:tc>
      </w:tr>
    </w:tbl>
    <w:p>
      <w:pPr>
        <w:spacing w:after="80"/>
      </w:pP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4"/>
        </w:rPr>
        <w:t>Q4 · Is the hub still a Jetson, or is the bill of materials genuinely open?</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752"/>
        <w:gridCol w:w="4752"/>
      </w:tblGrid>
      <w:tr>
        <w:trPr>
          <w:tblHeader/>
        </w:trPr>
        <w:tc>
          <w:tcPr>
            <w:tcW w:type="dxa" w:w="4752"/>
            <w:shd w:val="clear" w:color="auto" w:fill="0E1729"/>
            <w:tcMar>
              <w:top w:w="80" w:type="dxa"/>
              <w:left w:w="110" w:type="dxa"/>
              <w:bottom w:w="80" w:type="dxa"/>
              <w:right w:w="110" w:type="dxa"/>
            </w:tcMar>
          </w:tcPr>
          <w:p>
            <w:pPr>
              <w:spacing w:after="0"/>
            </w:pPr>
            <w:r>
              <w:rPr>
                <w:rFonts w:ascii="Calibri" w:hAnsi="Calibri"/>
                <w:b/>
                <w:caps/>
                <w:color w:val="FCF2E6"/>
                <w:sz w:val="16"/>
              </w:rPr>
              <w:t>If yes / former</w:t>
            </w:r>
          </w:p>
        </w:tc>
        <w:tc>
          <w:tcPr>
            <w:tcW w:type="dxa" w:w="4752"/>
            <w:shd w:val="clear" w:color="auto" w:fill="0E1729"/>
            <w:tcMar>
              <w:top w:w="80" w:type="dxa"/>
              <w:left w:w="110" w:type="dxa"/>
              <w:bottom w:w="80" w:type="dxa"/>
              <w:right w:w="110" w:type="dxa"/>
            </w:tcMar>
          </w:tcPr>
          <w:p>
            <w:pPr>
              <w:spacing w:after="0"/>
            </w:pPr>
            <w:r>
              <w:rPr>
                <w:rFonts w:ascii="Calibri" w:hAnsi="Calibri"/>
                <w:b/>
                <w:caps/>
                <w:color w:val="FCF2E6"/>
                <w:sz w:val="16"/>
              </w:rPr>
              <w:t>If no / latter</w:t>
            </w:r>
          </w:p>
        </w:tc>
      </w:tr>
      <w:tr>
        <w:tc>
          <w:tcPr>
            <w:tcW w:type="dxa" w:w="4752"/>
            <w:tcMar>
              <w:top w:w="80" w:type="dxa"/>
              <w:left w:w="110" w:type="dxa"/>
              <w:bottom w:w="80" w:type="dxa"/>
              <w:right w:w="110" w:type="dxa"/>
            </w:tcMar>
          </w:tcPr>
          <w:p>
            <w:pPr>
              <w:spacing w:after="0" w:line="278" w:lineRule="auto"/>
            </w:pPr>
            <w:r>
              <w:rPr>
                <w:rFonts w:ascii="Calibri" w:hAnsi="Calibri"/>
                <w:color w:val="3A4152"/>
                <w:sz w:val="18"/>
              </w:rPr>
              <w:t>Settled on Jetson: naming stays, and the agent can assume the platform.</w:t>
            </w:r>
          </w:p>
        </w:tc>
        <w:tc>
          <w:tcPr>
            <w:tcW w:type="dxa" w:w="4752"/>
            <w:tcMar>
              <w:top w:w="80" w:type="dxa"/>
              <w:left w:w="110" w:type="dxa"/>
              <w:bottom w:w="80" w:type="dxa"/>
              <w:right w:w="110" w:type="dxa"/>
            </w:tcMar>
          </w:tcPr>
          <w:p>
            <w:pPr>
              <w:spacing w:after="0" w:line="278" w:lineRule="auto"/>
            </w:pPr>
            <w:r>
              <w:rPr>
                <w:rFonts w:ascii="Calibri" w:hAnsi="Calibri"/>
                <w:color w:val="3A4152"/>
                <w:sz w:val="18"/>
              </w:rPr>
              <w:t>Open: the agent and the routes get written hardware-neutral now, which is nearly free today and a renaming exercise across the codebase later.</w:t>
            </w:r>
          </w:p>
        </w:tc>
      </w:tr>
    </w:tbl>
    <w:p>
      <w:pPr>
        <w:spacing w:after="80"/>
      </w:pP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1"/>
        <w:pBdr>
          <w:bottom w:val="single" w:sz="6" w:space="5" w:color="D1A955"/>
        </w:pBdr>
      </w:pPr>
      <w:r>
        <w:t>6 · What starts the moment each answer lands</w:t>
      </w:r>
    </w:p>
    <w:p>
      <w:pPr>
        <w:spacing w:after="160"/>
      </w:pPr>
      <w:r>
        <w:rPr>
          <w:rFonts w:ascii="Calibri" w:hAnsi="Calibri"/>
          <w:color w:val="3A4152"/>
          <w:sz w:val="21"/>
        </w:rPr>
        <w:t>So that nothing waits on a decision it does not depend on. The last row needs no answer at all and should be picked up now.</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752"/>
        <w:gridCol w:w="4752"/>
      </w:tblGrid>
      <w:tr>
        <w:trPr>
          <w:tblHeader/>
        </w:trPr>
        <w:tc>
          <w:tcPr>
            <w:tcW w:type="dxa" w:w="2304"/>
            <w:shd w:val="clear" w:color="auto" w:fill="0E1729"/>
            <w:tcMar>
              <w:top w:w="80" w:type="dxa"/>
              <w:left w:w="110" w:type="dxa"/>
              <w:bottom w:w="80" w:type="dxa"/>
              <w:right w:w="110" w:type="dxa"/>
            </w:tcMar>
          </w:tcPr>
          <w:p>
            <w:pPr>
              <w:spacing w:after="0"/>
            </w:pPr>
            <w:r>
              <w:rPr>
                <w:rFonts w:ascii="Calibri" w:hAnsi="Calibri"/>
                <w:b/>
                <w:caps/>
                <w:color w:val="FCF2E6"/>
                <w:sz w:val="16"/>
              </w:rPr>
              <w:t>Unblocked by</w:t>
            </w:r>
          </w:p>
        </w:tc>
        <w:tc>
          <w:tcPr>
            <w:tcW w:type="dxa" w:w="7200"/>
            <w:shd w:val="clear" w:color="auto" w:fill="0E1729"/>
            <w:tcMar>
              <w:top w:w="80" w:type="dxa"/>
              <w:left w:w="110" w:type="dxa"/>
              <w:bottom w:w="80" w:type="dxa"/>
              <w:right w:w="110" w:type="dxa"/>
            </w:tcMar>
          </w:tcPr>
          <w:p>
            <w:pPr>
              <w:spacing w:after="0"/>
            </w:pPr>
            <w:r>
              <w:rPr>
                <w:rFonts w:ascii="Calibri" w:hAnsi="Calibri"/>
                <w:b/>
                <w:caps/>
                <w:color w:val="FCF2E6"/>
                <w:sz w:val="16"/>
              </w:rPr>
              <w:t>Work that can start</w:t>
            </w:r>
          </w:p>
        </w:tc>
      </w:tr>
      <w:tr>
        <w:tc>
          <w:tcPr>
            <w:tcW w:type="dxa" w:w="2304"/>
            <w:tcMar>
              <w:top w:w="80" w:type="dxa"/>
              <w:left w:w="110" w:type="dxa"/>
              <w:bottom w:w="80" w:type="dxa"/>
              <w:right w:w="110" w:type="dxa"/>
            </w:tcMar>
          </w:tcPr>
          <w:p>
            <w:pPr>
              <w:spacing w:after="0" w:line="278" w:lineRule="auto"/>
            </w:pPr>
            <w:r>
              <w:rPr>
                <w:rFonts w:ascii="Calibri" w:hAnsi="Calibri"/>
                <w:b/>
                <w:color w:val="1A2133"/>
                <w:sz w:val="18"/>
              </w:rPr>
              <w:t>Q1</w:t>
            </w:r>
            <w:r>
              <w:rPr>
                <w:rFonts w:ascii="Calibri" w:hAnsi="Calibri"/>
                <w:color w:val="3A4152"/>
                <w:sz w:val="18"/>
              </w:rPr>
              <w:t xml:space="preserve"> answered “split”</w:t>
            </w:r>
          </w:p>
        </w:tc>
        <w:tc>
          <w:tcPr>
            <w:tcW w:type="dxa" w:w="7200"/>
            <w:tcMar>
              <w:top w:w="80" w:type="dxa"/>
              <w:left w:w="110" w:type="dxa"/>
              <w:bottom w:w="80" w:type="dxa"/>
              <w:right w:w="110" w:type="dxa"/>
            </w:tcMar>
          </w:tcPr>
          <w:p>
            <w:pPr>
              <w:spacing w:after="0" w:line="278" w:lineRule="auto"/>
            </w:pPr>
            <w:r>
              <w:rPr>
                <w:rFonts w:ascii="Calibri" w:hAnsi="Calibri"/>
                <w:color w:val="3A4152"/>
                <w:sz w:val="18"/>
              </w:rPr>
              <w:t xml:space="preserve">Join-code binding on attach; remove the unconditional </w:t>
            </w:r>
            <w:r>
              <w:rPr>
                <w:rFonts w:ascii="Consolas" w:hAnsi="Consolas"/>
                <w:color w:val="9A7526"/>
                <w:sz w:val="15"/>
              </w:rPr>
              <w:t>edge_recording</w:t>
            </w:r>
            <w:r>
              <w:rPr>
                <w:rFonts w:ascii="Calibri" w:hAnsi="Calibri"/>
                <w:color w:val="3A4152"/>
                <w:sz w:val="18"/>
              </w:rPr>
              <w:t xml:space="preserve"> on bind; desired state on the heartbeat; device presence on the live screen. This is the whole of phase A.</w:t>
            </w:r>
          </w:p>
        </w:tc>
      </w:tr>
      <w:tr>
        <w:tc>
          <w:tcPr>
            <w:tcW w:type="dxa" w:w="2304"/>
            <w:tcMar>
              <w:top w:w="80" w:type="dxa"/>
              <w:left w:w="110" w:type="dxa"/>
              <w:bottom w:w="80" w:type="dxa"/>
              <w:right w:w="110" w:type="dxa"/>
            </w:tcMar>
            <w:shd w:val="clear" w:color="auto" w:fill="FBF6EE"/>
          </w:tcPr>
          <w:p>
            <w:pPr>
              <w:spacing w:after="0" w:line="278" w:lineRule="auto"/>
            </w:pPr>
            <w:r>
              <w:rPr>
                <w:rFonts w:ascii="Calibri" w:hAnsi="Calibri"/>
                <w:b/>
                <w:color w:val="1A2133"/>
                <w:sz w:val="18"/>
              </w:rPr>
              <w:t>Q2</w:t>
            </w:r>
          </w:p>
        </w:tc>
        <w:tc>
          <w:tcPr>
            <w:tcW w:type="dxa" w:w="7200"/>
            <w:tcMar>
              <w:top w:w="80" w:type="dxa"/>
              <w:left w:w="110" w:type="dxa"/>
              <w:bottom w:w="80" w:type="dxa"/>
              <w:right w:w="110" w:type="dxa"/>
            </w:tcMar>
            <w:shd w:val="clear" w:color="auto" w:fill="FBF6EE"/>
          </w:tcPr>
          <w:p>
            <w:pPr>
              <w:spacing w:after="0" w:line="278" w:lineRule="auto"/>
            </w:pPr>
            <w:r>
              <w:rPr>
                <w:rFonts w:ascii="Calibri" w:hAnsi="Calibri"/>
                <w:color w:val="3A4152"/>
                <w:sz w:val="18"/>
              </w:rPr>
              <w:t>Either nothing changes in the audio stack, or peer-to-peer transport design begins for tier 1.</w:t>
            </w:r>
          </w:p>
        </w:tc>
      </w:tr>
      <w:tr>
        <w:tc>
          <w:tcPr>
            <w:tcW w:type="dxa" w:w="2304"/>
            <w:tcMar>
              <w:top w:w="80" w:type="dxa"/>
              <w:left w:w="110" w:type="dxa"/>
              <w:bottom w:w="80" w:type="dxa"/>
              <w:right w:w="110" w:type="dxa"/>
            </w:tcMar>
          </w:tcPr>
          <w:p>
            <w:pPr>
              <w:spacing w:after="0" w:line="278" w:lineRule="auto"/>
            </w:pPr>
            <w:r>
              <w:rPr>
                <w:rFonts w:ascii="Calibri" w:hAnsi="Calibri"/>
                <w:b/>
                <w:color w:val="1A2133"/>
                <w:sz w:val="18"/>
              </w:rPr>
              <w:t>Q3</w:t>
            </w:r>
          </w:p>
        </w:tc>
        <w:tc>
          <w:tcPr>
            <w:tcW w:type="dxa" w:w="7200"/>
            <w:tcMar>
              <w:top w:w="80" w:type="dxa"/>
              <w:left w:w="110" w:type="dxa"/>
              <w:bottom w:w="80" w:type="dxa"/>
              <w:right w:w="110" w:type="dxa"/>
            </w:tcMar>
          </w:tcPr>
          <w:p>
            <w:pPr>
              <w:spacing w:after="0" w:line="278" w:lineRule="auto"/>
            </w:pPr>
            <w:r>
              <w:rPr>
                <w:rFonts w:ascii="Calibri" w:hAnsi="Calibri"/>
                <w:color w:val="3A4152"/>
                <w:sz w:val="18"/>
              </w:rPr>
              <w:t>Either the web client is confirmed through tier 2, or native shell and local discovery work is scheduled.</w:t>
            </w:r>
          </w:p>
        </w:tc>
      </w:tr>
      <w:tr>
        <w:tc>
          <w:tcPr>
            <w:tcW w:type="dxa" w:w="2304"/>
            <w:tcMar>
              <w:top w:w="80" w:type="dxa"/>
              <w:left w:w="110" w:type="dxa"/>
              <w:bottom w:w="80" w:type="dxa"/>
              <w:right w:w="110" w:type="dxa"/>
            </w:tcMar>
            <w:shd w:val="clear" w:color="auto" w:fill="FBF6EE"/>
          </w:tcPr>
          <w:p>
            <w:pPr>
              <w:spacing w:after="0" w:line="278" w:lineRule="auto"/>
            </w:pPr>
            <w:r>
              <w:rPr>
                <w:rFonts w:ascii="Calibri" w:hAnsi="Calibri"/>
                <w:b/>
                <w:color w:val="1A2133"/>
                <w:sz w:val="18"/>
              </w:rPr>
              <w:t>Q4</w:t>
            </w:r>
          </w:p>
        </w:tc>
        <w:tc>
          <w:tcPr>
            <w:tcW w:type="dxa" w:w="7200"/>
            <w:tcMar>
              <w:top w:w="80" w:type="dxa"/>
              <w:left w:w="110" w:type="dxa"/>
              <w:bottom w:w="80" w:type="dxa"/>
              <w:right w:w="110" w:type="dxa"/>
            </w:tcMar>
            <w:shd w:val="clear" w:color="auto" w:fill="FBF6EE"/>
          </w:tcPr>
          <w:p>
            <w:pPr>
              <w:spacing w:after="0" w:line="278" w:lineRule="auto"/>
            </w:pPr>
            <w:r>
              <w:rPr>
                <w:rFonts w:ascii="Calibri" w:hAnsi="Calibri"/>
                <w:color w:val="3A4152"/>
                <w:sz w:val="18"/>
              </w:rPr>
              <w:t>Hardware-neutral naming pass across the agent and edge routes, if the platform is open.</w:t>
            </w:r>
          </w:p>
        </w:tc>
      </w:tr>
      <w:tr>
        <w:tc>
          <w:tcPr>
            <w:tcW w:type="dxa" w:w="2304"/>
            <w:tcMar>
              <w:top w:w="80" w:type="dxa"/>
              <w:left w:w="110" w:type="dxa"/>
              <w:bottom w:w="80" w:type="dxa"/>
              <w:right w:w="110" w:type="dxa"/>
            </w:tcMar>
          </w:tcPr>
          <w:p>
            <w:pPr>
              <w:spacing w:after="0" w:line="278" w:lineRule="auto"/>
            </w:pPr>
            <w:r>
              <w:rPr>
                <w:rFonts w:ascii="Calibri" w:hAnsi="Calibri"/>
                <w:b/>
                <w:color w:val="1A2133"/>
                <w:sz w:val="18"/>
              </w:rPr>
              <w:t>Nothing — start now</w:t>
            </w:r>
          </w:p>
        </w:tc>
        <w:tc>
          <w:tcPr>
            <w:tcW w:type="dxa" w:w="7200"/>
            <w:tcMar>
              <w:top w:w="80" w:type="dxa"/>
              <w:left w:w="110" w:type="dxa"/>
              <w:bottom w:w="80" w:type="dxa"/>
              <w:right w:w="110" w:type="dxa"/>
            </w:tcMar>
          </w:tcPr>
          <w:p>
            <w:pPr>
              <w:spacing w:after="0" w:line="278" w:lineRule="auto"/>
            </w:pPr>
            <w:r>
              <w:rPr>
                <w:rFonts w:ascii="Calibri" w:hAnsi="Calibri"/>
                <w:color w:val="3A4152"/>
                <w:sz w:val="18"/>
              </w:rPr>
              <w:t>Clock skew measurement at attach (D8), and sensor-session provenance in the schema design (F6). Neither depends on any open decision.</w:t>
            </w:r>
          </w:p>
        </w:tc>
      </w:tr>
    </w:tbl>
    <w:p>
      <w:pPr>
        <w:spacing w:after="80"/>
      </w:pPr>
    </w:p>
    <w:p>
      <w:r>
        <w:br w:type="page"/>
      </w:r>
    </w:p>
    <w:p>
      <w:pPr>
        <w:pStyle w:val="Heading1"/>
        <w:pBdr>
          <w:bottom w:val="single" w:sz="6" w:space="5" w:color="D1A955"/>
        </w:pBdr>
      </w:pPr>
      <w:r>
        <w:t>Appendix A · Evidence index</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752"/>
        <w:gridCol w:w="4752"/>
      </w:tblGrid>
      <w:tr>
        <w:trPr>
          <w:tblHeader/>
        </w:trPr>
        <w:tc>
          <w:tcPr>
            <w:tcW w:type="dxa" w:w="4536"/>
            <w:shd w:val="clear" w:color="auto" w:fill="0E1729"/>
            <w:tcMar>
              <w:top w:w="80" w:type="dxa"/>
              <w:left w:w="110" w:type="dxa"/>
              <w:bottom w:w="80" w:type="dxa"/>
              <w:right w:w="110" w:type="dxa"/>
            </w:tcMar>
          </w:tcPr>
          <w:p>
            <w:pPr>
              <w:spacing w:after="0"/>
            </w:pPr>
            <w:r>
              <w:rPr>
                <w:rFonts w:ascii="Calibri" w:hAnsi="Calibri"/>
                <w:b/>
                <w:caps/>
                <w:color w:val="FCF2E6"/>
                <w:sz w:val="16"/>
              </w:rPr>
              <w:t>Reference</w:t>
            </w:r>
          </w:p>
        </w:tc>
        <w:tc>
          <w:tcPr>
            <w:tcW w:type="dxa" w:w="4968"/>
            <w:shd w:val="clear" w:color="auto" w:fill="0E1729"/>
            <w:tcMar>
              <w:top w:w="80" w:type="dxa"/>
              <w:left w:w="110" w:type="dxa"/>
              <w:bottom w:w="80" w:type="dxa"/>
              <w:right w:w="110" w:type="dxa"/>
            </w:tcMar>
          </w:tcPr>
          <w:p>
            <w:pPr>
              <w:spacing w:after="0"/>
            </w:pPr>
            <w:r>
              <w:rPr>
                <w:rFonts w:ascii="Calibri" w:hAnsi="Calibri"/>
                <w:b/>
                <w:caps/>
                <w:color w:val="FCF2E6"/>
                <w:sz w:val="16"/>
              </w:rPr>
              <w:t>What it shows</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src/app/api/edge/sessions/attach/route.ts</w:t>
            </w:r>
            <w:r>
              <w:rPr>
                <w:rFonts w:ascii="Calibri" w:hAnsi="Calibri"/>
                <w:color w:val="3A4152"/>
                <w:sz w:val="18"/>
              </w:rPr>
              <w:t xml:space="preserve"> 26-35</w:t>
            </w:r>
          </w:p>
        </w:tc>
        <w:tc>
          <w:tcPr>
            <w:tcW w:type="dxa" w:w="4968"/>
            <w:tcMar>
              <w:top w:w="80" w:type="dxa"/>
              <w:left w:w="110" w:type="dxa"/>
              <w:bottom w:w="80" w:type="dxa"/>
              <w:right w:w="110" w:type="dxa"/>
            </w:tcMar>
          </w:tcPr>
          <w:p>
            <w:pPr>
              <w:spacing w:after="0" w:line="278" w:lineRule="auto"/>
            </w:pPr>
            <w:r>
              <w:rPr>
                <w:rFonts w:ascii="Calibri" w:hAnsi="Calibri"/>
                <w:color w:val="3A4152"/>
                <w:sz w:val="18"/>
              </w:rPr>
              <w:t>Binds by rider and most recent open session. The wrong-rider bind.</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src/app/api/edge/sessions/attach/route.ts</w:t>
            </w:r>
            <w:r>
              <w:rPr>
                <w:rFonts w:ascii="Calibri" w:hAnsi="Calibri"/>
                <w:color w:val="3A4152"/>
                <w:sz w:val="18"/>
              </w:rPr>
              <w:t xml:space="preserve"> 64</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color w:val="3A4152"/>
                <w:sz w:val="18"/>
              </w:rPr>
              <w:t xml:space="preserve">Sets </w:t>
            </w:r>
            <w:r>
              <w:rPr>
                <w:rFonts w:ascii="Consolas" w:hAnsi="Consolas"/>
                <w:color w:val="9A7526"/>
                <w:sz w:val="15"/>
              </w:rPr>
              <w:t>edge_recording: true</w:t>
            </w:r>
            <w:r>
              <w:rPr>
                <w:rFonts w:ascii="Calibri" w:hAnsi="Calibri"/>
                <w:color w:val="3A4152"/>
                <w:sz w:val="18"/>
              </w:rPr>
              <w:t xml:space="preserve"> on attach, before any rider instruction.</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src/app/api/edge/sessions/[id]/video/route.ts</w:t>
            </w:r>
            <w:r>
              <w:rPr>
                <w:rFonts w:ascii="Calibri" w:hAnsi="Calibri"/>
                <w:color w:val="3A4152"/>
                <w:sz w:val="18"/>
              </w:rPr>
              <w:t xml:space="preserve"> 11</w:t>
            </w:r>
          </w:p>
        </w:tc>
        <w:tc>
          <w:tcPr>
            <w:tcW w:type="dxa" w:w="4968"/>
            <w:tcMar>
              <w:top w:w="80" w:type="dxa"/>
              <w:left w:w="110" w:type="dxa"/>
              <w:bottom w:w="80" w:type="dxa"/>
              <w:right w:w="110" w:type="dxa"/>
            </w:tcMar>
          </w:tcPr>
          <w:p>
            <w:pPr>
              <w:spacing w:after="0" w:line="278" w:lineRule="auto"/>
            </w:pPr>
            <w:r>
              <w:rPr>
                <w:rFonts w:ascii="Consolas" w:hAnsi="Consolas"/>
                <w:color w:val="9A7526"/>
                <w:sz w:val="15"/>
              </w:rPr>
              <w:t>MAX_BYTES</w:t>
            </w:r>
            <w:r>
              <w:rPr>
                <w:rFonts w:ascii="Calibri" w:hAnsi="Calibri"/>
                <w:color w:val="3A4152"/>
                <w:sz w:val="18"/>
              </w:rPr>
              <w:t xml:space="preserve"> of 95 MB; 413 above it.</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src/app/api/capture/sessions/route.ts</w:t>
            </w:r>
            <w:r>
              <w:rPr>
                <w:rFonts w:ascii="Calibri" w:hAnsi="Calibri"/>
                <w:color w:val="3A4152"/>
                <w:sz w:val="18"/>
              </w:rPr>
              <w:t xml:space="preserve"> 172</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color w:val="3A4152"/>
                <w:sz w:val="18"/>
              </w:rPr>
              <w:t xml:space="preserve">Room name </w:t>
            </w:r>
            <w:r>
              <w:rPr>
                <w:rFonts w:ascii="Consolas" w:hAnsi="Consolas"/>
                <w:color w:val="9A7526"/>
                <w:sz w:val="15"/>
              </w:rPr>
              <w:t>capture_{riderId8}_{timestamp}</w:t>
            </w:r>
            <w:r>
              <w:rPr>
                <w:rFonts w:ascii="Calibri" w:hAnsi="Calibri"/>
                <w:color w:val="3A4152"/>
                <w:sz w:val="18"/>
              </w:rPr>
              <w:t xml:space="preserve"> — one rider per room.</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src/app/api/capture/sessions/route.ts</w:t>
            </w:r>
            <w:r>
              <w:rPr>
                <w:rFonts w:ascii="Calibri" w:hAnsi="Calibri"/>
                <w:color w:val="3A4152"/>
                <w:sz w:val="18"/>
              </w:rPr>
              <w:t xml:space="preserve"> 176</w:t>
            </w:r>
          </w:p>
        </w:tc>
        <w:tc>
          <w:tcPr>
            <w:tcW w:type="dxa" w:w="4968"/>
            <w:tcMar>
              <w:top w:w="80" w:type="dxa"/>
              <w:left w:w="110" w:type="dxa"/>
              <w:bottom w:w="80" w:type="dxa"/>
              <w:right w:w="110" w:type="dxa"/>
            </w:tcMar>
          </w:tcPr>
          <w:p>
            <w:pPr>
              <w:spacing w:after="0" w:line="278" w:lineRule="auto"/>
            </w:pPr>
            <w:r>
              <w:rPr>
                <w:rFonts w:ascii="Consolas" w:hAnsi="Consolas"/>
                <w:color w:val="9A7526"/>
                <w:sz w:val="15"/>
              </w:rPr>
              <w:t>join_code</w:t>
            </w:r>
            <w:r>
              <w:rPr>
                <w:rFonts w:ascii="Calibri" w:hAnsi="Calibri"/>
                <w:color w:val="3A4152"/>
                <w:sz w:val="18"/>
              </w:rPr>
              <w:t xml:space="preserve"> minted per session. The primitive proposed in F2.</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src/lib/capture/edge-token.ts</w:t>
            </w:r>
            <w:r>
              <w:rPr>
                <w:rFonts w:ascii="Calibri" w:hAnsi="Calibri"/>
                <w:color w:val="3A4152"/>
                <w:sz w:val="18"/>
              </w:rPr>
              <w:t xml:space="preserve"> 3</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color w:val="3A4152"/>
                <w:sz w:val="18"/>
              </w:rPr>
              <w:t>Four-hour edge session token lifetime.</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supabase/migrations/20260804000000_edge_devices.sql</w:t>
            </w:r>
            <w:r>
              <w:rPr>
                <w:rFonts w:ascii="Calibri" w:hAnsi="Calibri"/>
                <w:color w:val="3A4152"/>
                <w:sz w:val="18"/>
              </w:rPr>
              <w:t xml:space="preserve"> 6</w:t>
            </w:r>
          </w:p>
        </w:tc>
        <w:tc>
          <w:tcPr>
            <w:tcW w:type="dxa" w:w="4968"/>
            <w:tcMar>
              <w:top w:w="80" w:type="dxa"/>
              <w:left w:w="110" w:type="dxa"/>
              <w:bottom w:w="80" w:type="dxa"/>
              <w:right w:w="110" w:type="dxa"/>
            </w:tcMar>
          </w:tcPr>
          <w:p>
            <w:pPr>
              <w:spacing w:after="0" w:line="278" w:lineRule="auto"/>
            </w:pPr>
            <w:r>
              <w:rPr>
                <w:rFonts w:ascii="Consolas" w:hAnsi="Consolas"/>
                <w:color w:val="9A7526"/>
                <w:sz w:val="15"/>
              </w:rPr>
              <w:t>edge_devices.rider_id</w:t>
            </w:r>
            <w:r>
              <w:rPr>
                <w:rFonts w:ascii="Calibri" w:hAnsi="Calibri"/>
                <w:color w:val="3A4152"/>
                <w:sz w:val="18"/>
              </w:rPr>
              <w:t xml:space="preserve"> foreign key to </w:t>
            </w:r>
            <w:r>
              <w:rPr>
                <w:rFonts w:ascii="Consolas" w:hAnsi="Consolas"/>
                <w:color w:val="9A7526"/>
                <w:sz w:val="15"/>
              </w:rPr>
              <w:t>profiles</w:t>
            </w:r>
            <w:r>
              <w:rPr>
                <w:rFonts w:ascii="Calibri" w:hAnsi="Calibri"/>
                <w:color w:val="3A4152"/>
                <w:sz w:val="18"/>
              </w:rPr>
              <w:t>, cascade delete.</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supabase/migrations/20260719000000_roles_connections_shares.sql</w:t>
            </w:r>
            <w:r>
              <w:rPr>
                <w:rFonts w:ascii="Calibri" w:hAnsi="Calibri"/>
                <w:color w:val="3A4152"/>
                <w:sz w:val="18"/>
              </w:rPr>
              <w:t xml:space="preserve"> 19-32</w:t>
            </w:r>
          </w:p>
        </w:tc>
        <w:tc>
          <w:tcPr>
            <w:tcW w:type="dxa" w:w="4968"/>
            <w:tcMar>
              <w:top w:w="80" w:type="dxa"/>
              <w:left w:w="110" w:type="dxa"/>
              <w:bottom w:w="80" w:type="dxa"/>
              <w:right w:w="110" w:type="dxa"/>
            </w:tcMar>
            <w:shd w:val="clear" w:color="auto" w:fill="FBF6EE"/>
          </w:tcPr>
          <w:p>
            <w:pPr>
              <w:spacing w:after="0" w:line="278" w:lineRule="auto"/>
            </w:pPr>
            <w:r>
              <w:rPr>
                <w:rFonts w:ascii="Consolas" w:hAnsi="Consolas"/>
                <w:color w:val="9A7526"/>
                <w:sz w:val="15"/>
              </w:rPr>
              <w:t>coach_connections</w:t>
            </w:r>
            <w:r>
              <w:rPr>
                <w:rFonts w:ascii="Calibri" w:hAnsi="Calibri"/>
                <w:color w:val="3A4152"/>
                <w:sz w:val="18"/>
              </w:rPr>
              <w:t xml:space="preserve"> — the pairwise model with no organizational layer.</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supabase/migrations/20260719000000_roles_connections_shares.sql</w:t>
            </w:r>
            <w:r>
              <w:rPr>
                <w:rFonts w:ascii="Calibri" w:hAnsi="Calibri"/>
                <w:color w:val="3A4152"/>
                <w:sz w:val="18"/>
              </w:rPr>
              <w:t xml:space="preserve"> 171-189</w:t>
            </w:r>
          </w:p>
        </w:tc>
        <w:tc>
          <w:tcPr>
            <w:tcW w:type="dxa" w:w="4968"/>
            <w:tcMar>
              <w:top w:w="80" w:type="dxa"/>
              <w:left w:w="110" w:type="dxa"/>
              <w:bottom w:w="80" w:type="dxa"/>
              <w:right w:w="110" w:type="dxa"/>
            </w:tcMar>
          </w:tcPr>
          <w:p>
            <w:pPr>
              <w:spacing w:after="0" w:line="278" w:lineRule="auto"/>
            </w:pPr>
            <w:r>
              <w:rPr>
                <w:rFonts w:ascii="Calibri" w:hAnsi="Calibri"/>
                <w:color w:val="3A4152"/>
                <w:sz w:val="18"/>
              </w:rPr>
              <w:t>Session read policy resolved through pairwise connections.</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supabase/migrations/20260721000001_fix_training_sessions_rls_recursion.sql</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color w:val="3A4152"/>
                <w:sz w:val="18"/>
              </w:rPr>
              <w:t>Evidence that these policies are delicate and need care under any tenancy change.</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supabase/migrations/20260814000000_capture_trainer_claim.sql</w:t>
            </w:r>
          </w:p>
        </w:tc>
        <w:tc>
          <w:tcPr>
            <w:tcW w:type="dxa" w:w="4968"/>
            <w:tcMar>
              <w:top w:w="80" w:type="dxa"/>
              <w:left w:w="110" w:type="dxa"/>
              <w:bottom w:w="80" w:type="dxa"/>
              <w:right w:w="110" w:type="dxa"/>
            </w:tcMar>
          </w:tcPr>
          <w:p>
            <w:pPr>
              <w:spacing w:after="0" w:line="278" w:lineRule="auto"/>
            </w:pPr>
            <w:r>
              <w:rPr>
                <w:rFonts w:ascii="Consolas" w:hAnsi="Consolas"/>
                <w:color w:val="9A7526"/>
                <w:sz w:val="15"/>
              </w:rPr>
              <w:t>claim_token</w:t>
            </w:r>
            <w:r>
              <w:rPr>
                <w:rFonts w:ascii="Calibri" w:hAnsi="Calibri"/>
                <w:color w:val="3A4152"/>
                <w:sz w:val="18"/>
              </w:rPr>
              <w:t xml:space="preserve"> mechanism proposed for reuse in F7.</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supabase/migrations/20260721010000_transcript_client_id.sql</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color w:val="3A4152"/>
                <w:sz w:val="18"/>
              </w:rPr>
              <w:t>Idempotent segment inserts the hub transcription path must honour. F8.</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edge/jetson-agent/agent.py</w:t>
            </w:r>
            <w:r>
              <w:rPr>
                <w:rFonts w:ascii="Calibri" w:hAnsi="Calibri"/>
                <w:color w:val="3A4152"/>
                <w:sz w:val="18"/>
              </w:rPr>
              <w:t xml:space="preserve"> 148</w:t>
            </w:r>
          </w:p>
        </w:tc>
        <w:tc>
          <w:tcPr>
            <w:tcW w:type="dxa" w:w="4968"/>
            <w:tcMar>
              <w:top w:w="80" w:type="dxa"/>
              <w:left w:w="110" w:type="dxa"/>
              <w:bottom w:w="80" w:type="dxa"/>
              <w:right w:w="110" w:type="dxa"/>
            </w:tcMar>
          </w:tcPr>
          <w:p>
            <w:pPr>
              <w:spacing w:after="0" w:line="278" w:lineRule="auto"/>
            </w:pPr>
            <w:r>
              <w:rPr>
                <w:rFonts w:ascii="Calibri" w:hAnsi="Calibri"/>
                <w:color w:val="3A4152"/>
                <w:sz w:val="18"/>
              </w:rPr>
              <w:t xml:space="preserve">Hardcoded </w:t>
            </w:r>
            <w:r>
              <w:rPr>
                <w:rFonts w:ascii="Consolas" w:hAnsi="Consolas"/>
                <w:color w:val="9A7526"/>
                <w:sz w:val="15"/>
              </w:rPr>
              <w:t>sync_offset_ms</w:t>
            </w:r>
            <w:r>
              <w:rPr>
                <w:rFonts w:ascii="Calibri" w:hAnsi="Calibri"/>
                <w:color w:val="3A4152"/>
                <w:sz w:val="18"/>
              </w:rPr>
              <w:t xml:space="preserve"> of zero.</w:t>
            </w:r>
          </w:p>
        </w:tc>
      </w:tr>
    </w:tbl>
    <w:p>
      <w:pPr>
        <w:spacing w:after="80"/>
      </w:pPr>
    </w:p>
    <w:p>
      <w:pPr>
        <w:pStyle w:val="Heading1"/>
        <w:pBdr>
          <w:bottom w:val="single" w:sz="6" w:space="5" w:color="D1A955"/>
        </w:pBdr>
      </w:pPr>
      <w:r>
        <w:t>Appendix B · Every table in the schema today</w:t>
      </w:r>
    </w:p>
    <w:p>
      <w:pPr>
        <w:spacing w:after="160"/>
      </w:pPr>
      <w:r>
        <w:rPr>
          <w:rFonts w:ascii="Calibri" w:hAnsi="Calibri"/>
          <w:color w:val="3A4152"/>
          <w:sz w:val="21"/>
        </w:rPr>
        <w:t>Thirty-four migrations, fifty-four tables. Included as the evidence for F1: none of these is a barn, a facility, an organization, or a tenant.</w:t>
      </w:r>
    </w:p>
    <w:p>
      <w:pPr>
        <w:spacing w:line="336" w:lineRule="auto"/>
      </w:pPr>
      <w:r>
        <w:rPr>
          <w:rFonts w:ascii="Consolas" w:hAnsi="Consolas"/>
          <w:color w:val="3A4152"/>
          <w:sz w:val="16"/>
        </w:rPr>
        <w:t>ads · ai_analyses · ai_chat_messages · ai_submission_feedback · ai_video_uploads · assignments · block_completions · bot_feed_seed_log · capture_sessions · challenge_enrollments · challenge_lessons · challenge_modules · challenges · coach_connections · comment_media · comments · connection_invites · discussion_posts · discussion_reactions · edge_devices · event_rsvps · events · feature_flag_overrides · feature_flags · follows · horse_profiles · lesson_completions · lesson_content_blocks · notifications · payment_events · post_likes · post_media · post_saves · posts · products · profiles · purchases · reports · session_ask_turns · session_media_assets · session_shares · session_transcript_segments · share_links · stripe_customers · submission_comments · submission_likes · submissions · subscription_tiers · suspension_messages · trainer_feedback_requests · training_sessions · user_blocks · user_interests · user_location_bucket · user_seen_items · user_subscriptions</w:t>
      </w:r>
    </w:p>
    <w:p>
      <w:pPr>
        <w:spacing w:after="200"/>
      </w:pPr>
    </w:p>
    <w:p>
      <w:pPr>
        <w:pBdr>
          <w:top w:val="single" w:sz="6" w:space="8" w:color="D1A955"/>
        </w:pBdr>
      </w:pPr>
      <w:r>
        <w:rPr>
          <w:rFonts w:ascii="Calibri" w:hAnsi="Calibri"/>
          <w:i/>
          <w:color w:val="6B707E"/>
          <w:sz w:val="16"/>
        </w:rPr>
        <w:t>Vector Equine · Architecture Review · Response to Platform Architecture, August 2026 · Prepared 28 August 2026 · Confidential</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5" w:lineRule="auto" w:after="140"/>
    </w:pPr>
    <w:rPr>
      <w:rFonts w:ascii="Calibri" w:hAnsi="Calibri"/>
      <w:color w:val="3A41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Georgia" w:hAnsi="Georgia"/>
      <w:b w:val="0"/>
      <w:bCs/>
      <w:color w:val="0E1729"/>
      <w:sz w:val="33"/>
      <w:szCs w:val="28"/>
    </w:rPr>
  </w:style>
  <w:style w:type="paragraph" w:styleId="Heading2">
    <w:name w:val="heading 2"/>
    <w:basedOn w:val="Normal"/>
    <w:next w:val="Normal"/>
    <w:link w:val="Heading2Char"/>
    <w:uiPriority w:val="9"/>
    <w:unhideWhenUsed/>
    <w:qFormat/>
    <w:rsid w:val="00FC693F"/>
    <w:pPr>
      <w:keepNext/>
      <w:keepLines/>
      <w:spacing w:before="300" w:after="60"/>
      <w:outlineLvl w:val="1"/>
    </w:pPr>
    <w:rPr>
      <w:rFonts w:asciiTheme="majorHAnsi" w:eastAsiaTheme="majorEastAsia" w:hAnsiTheme="majorHAnsi" w:cstheme="majorBidi" w:ascii="Georgia" w:hAnsi="Georgia"/>
      <w:b w:val="0"/>
      <w:bCs/>
      <w:color w:val="0E1729"/>
      <w:sz w:val="25"/>
      <w:szCs w:val="26"/>
    </w:rPr>
  </w:style>
  <w:style w:type="paragraph" w:styleId="Heading3">
    <w:name w:val="heading 3"/>
    <w:basedOn w:val="Normal"/>
    <w:next w:val="Normal"/>
    <w:link w:val="Heading3Char"/>
    <w:uiPriority w:val="9"/>
    <w:unhideWhenUsed/>
    <w:qFormat/>
    <w:rsid w:val="00FC693F"/>
    <w:pPr>
      <w:keepNext/>
      <w:keepLines/>
      <w:spacing w:before="200" w:after="20"/>
      <w:outlineLvl w:val="2"/>
    </w:pPr>
    <w:rPr>
      <w:rFonts w:asciiTheme="majorHAnsi" w:eastAsiaTheme="majorEastAsia" w:hAnsiTheme="majorHAnsi" w:cstheme="majorBidi" w:ascii="Calibri" w:hAnsi="Calibri"/>
      <w:b w:val="0"/>
      <w:bCs/>
      <w:color w:val="8A6D2F"/>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93" w:lineRule="auto"/>
      <w:contextualSpacing/>
    </w:pPr>
    <w:rPr>
      <w:rFonts w:ascii="Calibri" w:hAnsi="Calibri"/>
      <w:color w:val="3A415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93" w:lineRule="auto"/>
      <w:contextualSpacing/>
    </w:pPr>
    <w:rPr>
      <w:rFonts w:ascii="Calibri" w:hAnsi="Calibri"/>
      <w:color w:val="3A415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