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415"/>
        <w:gridCol w:w="7375"/>
      </w:tblGrid>
      <w:tr w:rsidR="00353DDF" w:rsidTr="00BA7601">
        <w:tc>
          <w:tcPr>
            <w:tcW w:w="3415" w:type="dxa"/>
            <w:shd w:val="clear" w:color="auto" w:fill="D9D9D9" w:themeFill="background1" w:themeFillShade="D9"/>
            <w:hideMark/>
          </w:tcPr>
          <w:p w:rsidR="00353DDF" w:rsidRPr="00353DDF" w:rsidRDefault="00353DDF">
            <w:pPr>
              <w:rPr>
                <w:b/>
              </w:rPr>
            </w:pPr>
            <w:r w:rsidRPr="00353DDF">
              <w:rPr>
                <w:b/>
              </w:rPr>
              <w:t>Metatag Type</w:t>
            </w:r>
          </w:p>
        </w:tc>
        <w:tc>
          <w:tcPr>
            <w:tcW w:w="7375" w:type="dxa"/>
          </w:tcPr>
          <w:p w:rsidR="00353DDF" w:rsidRDefault="00353DDF"/>
        </w:tc>
      </w:tr>
      <w:tr w:rsidR="00353DDF" w:rsidTr="00BA7601">
        <w:tc>
          <w:tcPr>
            <w:tcW w:w="3415" w:type="dxa"/>
            <w:shd w:val="clear" w:color="auto" w:fill="D9D9D9" w:themeFill="background1" w:themeFillShade="D9"/>
            <w:hideMark/>
          </w:tcPr>
          <w:p w:rsidR="00353DDF" w:rsidRPr="00353DDF" w:rsidRDefault="00353DDF">
            <w:pPr>
              <w:rPr>
                <w:b/>
              </w:rPr>
            </w:pPr>
            <w:r w:rsidRPr="00353DDF">
              <w:rPr>
                <w:b/>
              </w:rPr>
              <w:t>Title</w:t>
            </w:r>
          </w:p>
        </w:tc>
        <w:tc>
          <w:tcPr>
            <w:tcW w:w="7375" w:type="dxa"/>
            <w:hideMark/>
          </w:tcPr>
          <w:p w:rsidR="00353DDF" w:rsidRDefault="00353DDF" w:rsidP="00353DDF">
            <w:r>
              <w:t>Executive Order Protecting The Nation From Foreign Terrorist Entry Into The United States - SECTION 2</w:t>
            </w:r>
          </w:p>
        </w:tc>
      </w:tr>
      <w:tr w:rsidR="00353DDF" w:rsidTr="00BA7601">
        <w:tc>
          <w:tcPr>
            <w:tcW w:w="3415" w:type="dxa"/>
            <w:shd w:val="clear" w:color="auto" w:fill="D9D9D9" w:themeFill="background1" w:themeFillShade="D9"/>
            <w:hideMark/>
          </w:tcPr>
          <w:p w:rsidR="00353DDF" w:rsidRPr="00353DDF" w:rsidRDefault="00353DDF">
            <w:pPr>
              <w:rPr>
                <w:b/>
              </w:rPr>
            </w:pPr>
            <w:r w:rsidRPr="00353DDF">
              <w:rPr>
                <w:b/>
              </w:rPr>
              <w:t>Source</w:t>
            </w:r>
          </w:p>
        </w:tc>
        <w:tc>
          <w:tcPr>
            <w:tcW w:w="7375" w:type="dxa"/>
            <w:hideMark/>
          </w:tcPr>
          <w:p w:rsidR="00353DDF" w:rsidRDefault="00353DDF">
            <w:r>
              <w:t>The White House</w:t>
            </w:r>
          </w:p>
        </w:tc>
      </w:tr>
      <w:tr w:rsidR="00353DDF" w:rsidTr="00BA7601">
        <w:tc>
          <w:tcPr>
            <w:tcW w:w="3415" w:type="dxa"/>
            <w:shd w:val="clear" w:color="auto" w:fill="D9D9D9" w:themeFill="background1" w:themeFillShade="D9"/>
            <w:hideMark/>
          </w:tcPr>
          <w:p w:rsidR="00353DDF" w:rsidRPr="00353DDF" w:rsidRDefault="00353DDF">
            <w:pPr>
              <w:rPr>
                <w:b/>
              </w:rPr>
            </w:pPr>
            <w:r w:rsidRPr="00353DDF">
              <w:rPr>
                <w:b/>
              </w:rPr>
              <w:t>Author(s)</w:t>
            </w:r>
          </w:p>
        </w:tc>
        <w:tc>
          <w:tcPr>
            <w:tcW w:w="7375" w:type="dxa"/>
            <w:hideMark/>
          </w:tcPr>
          <w:p w:rsidR="00353DDF" w:rsidRDefault="00353DDF">
            <w:r>
              <w:t>Donald Trump</w:t>
            </w:r>
          </w:p>
        </w:tc>
      </w:tr>
      <w:tr w:rsidR="00353DDF" w:rsidTr="00BA7601">
        <w:tc>
          <w:tcPr>
            <w:tcW w:w="3415" w:type="dxa"/>
            <w:shd w:val="clear" w:color="auto" w:fill="D9D9D9" w:themeFill="background1" w:themeFillShade="D9"/>
            <w:hideMark/>
          </w:tcPr>
          <w:p w:rsidR="00353DDF" w:rsidRPr="00353DDF" w:rsidRDefault="00353DDF">
            <w:pPr>
              <w:rPr>
                <w:b/>
              </w:rPr>
            </w:pPr>
            <w:r w:rsidRPr="00353DDF">
              <w:rPr>
                <w:b/>
              </w:rPr>
              <w:t>Published/Uploaded</w:t>
            </w:r>
          </w:p>
        </w:tc>
        <w:tc>
          <w:tcPr>
            <w:tcW w:w="7375" w:type="dxa"/>
            <w:hideMark/>
          </w:tcPr>
          <w:p w:rsidR="00353DDF" w:rsidRDefault="00353DDF">
            <w:r>
              <w:t>March 6, 2017</w:t>
            </w:r>
          </w:p>
        </w:tc>
      </w:tr>
      <w:tr w:rsidR="00353DDF" w:rsidTr="00BA7601">
        <w:tc>
          <w:tcPr>
            <w:tcW w:w="3415" w:type="dxa"/>
            <w:shd w:val="clear" w:color="auto" w:fill="D9D9D9" w:themeFill="background1" w:themeFillShade="D9"/>
            <w:hideMark/>
          </w:tcPr>
          <w:p w:rsidR="00353DDF" w:rsidRPr="00353DDF" w:rsidRDefault="00353DDF">
            <w:pPr>
              <w:rPr>
                <w:b/>
              </w:rPr>
            </w:pPr>
            <w:r w:rsidRPr="00353DDF">
              <w:rPr>
                <w:b/>
              </w:rPr>
              <w:t>URL</w:t>
            </w:r>
          </w:p>
        </w:tc>
        <w:tc>
          <w:tcPr>
            <w:tcW w:w="7375" w:type="dxa"/>
            <w:hideMark/>
          </w:tcPr>
          <w:p w:rsidR="00353DDF" w:rsidRDefault="00353DDF">
            <w:r w:rsidRPr="00353DDF">
              <w:t>https://www.whitehouse.gov/the-press-office/2017/03/06/executive-order-protecting-nation-foreign-terrorist-entry-united-states</w:t>
            </w:r>
          </w:p>
        </w:tc>
      </w:tr>
      <w:tr w:rsidR="00353DDF" w:rsidTr="00BA7601">
        <w:tc>
          <w:tcPr>
            <w:tcW w:w="3415" w:type="dxa"/>
            <w:shd w:val="clear" w:color="auto" w:fill="D9D9D9" w:themeFill="background1" w:themeFillShade="D9"/>
            <w:hideMark/>
          </w:tcPr>
          <w:p w:rsidR="00353DDF" w:rsidRPr="00353DDF" w:rsidRDefault="00353DDF">
            <w:pPr>
              <w:rPr>
                <w:b/>
              </w:rPr>
            </w:pPr>
            <w:r w:rsidRPr="00353DDF">
              <w:rPr>
                <w:b/>
              </w:rPr>
              <w:t>Total Images</w:t>
            </w:r>
          </w:p>
        </w:tc>
        <w:tc>
          <w:tcPr>
            <w:tcW w:w="7375" w:type="dxa"/>
            <w:hideMark/>
          </w:tcPr>
          <w:p w:rsidR="00353DDF" w:rsidRDefault="00353DDF">
            <w:r>
              <w:t>0</w:t>
            </w:r>
          </w:p>
        </w:tc>
      </w:tr>
      <w:tr w:rsidR="00353DDF" w:rsidTr="00BA7601">
        <w:tc>
          <w:tcPr>
            <w:tcW w:w="3415" w:type="dxa"/>
            <w:shd w:val="clear" w:color="auto" w:fill="D9D9D9" w:themeFill="background1" w:themeFillShade="D9"/>
            <w:hideMark/>
          </w:tcPr>
          <w:p w:rsidR="00353DDF" w:rsidRPr="00353DDF" w:rsidRDefault="00353DDF">
            <w:pPr>
              <w:rPr>
                <w:b/>
              </w:rPr>
            </w:pPr>
            <w:r w:rsidRPr="00353DDF">
              <w:rPr>
                <w:b/>
              </w:rPr>
              <w:t>Total Videos</w:t>
            </w:r>
          </w:p>
        </w:tc>
        <w:tc>
          <w:tcPr>
            <w:tcW w:w="7375" w:type="dxa"/>
            <w:hideMark/>
          </w:tcPr>
          <w:p w:rsidR="00353DDF" w:rsidRDefault="00353DDF">
            <w:r>
              <w:t>0</w:t>
            </w:r>
          </w:p>
        </w:tc>
      </w:tr>
      <w:tr w:rsidR="00353DDF" w:rsidTr="00BA7601">
        <w:tc>
          <w:tcPr>
            <w:tcW w:w="3415" w:type="dxa"/>
            <w:shd w:val="clear" w:color="auto" w:fill="D9D9D9" w:themeFill="background1" w:themeFillShade="D9"/>
            <w:hideMark/>
          </w:tcPr>
          <w:p w:rsidR="00353DDF" w:rsidRPr="00353DDF" w:rsidRDefault="00353DDF">
            <w:pPr>
              <w:rPr>
                <w:b/>
              </w:rPr>
            </w:pPr>
            <w:r w:rsidRPr="00353DDF">
              <w:rPr>
                <w:b/>
              </w:rPr>
              <w:t>Total Ext. Links</w:t>
            </w:r>
          </w:p>
        </w:tc>
        <w:tc>
          <w:tcPr>
            <w:tcW w:w="7375" w:type="dxa"/>
            <w:hideMark/>
          </w:tcPr>
          <w:p w:rsidR="00353DDF" w:rsidRDefault="00353DDF">
            <w:r>
              <w:t>0</w:t>
            </w:r>
          </w:p>
        </w:tc>
      </w:tr>
      <w:tr w:rsidR="00353DDF" w:rsidTr="00BA7601">
        <w:tc>
          <w:tcPr>
            <w:tcW w:w="3415" w:type="dxa"/>
            <w:shd w:val="clear" w:color="auto" w:fill="D9D9D9" w:themeFill="background1" w:themeFillShade="D9"/>
            <w:hideMark/>
          </w:tcPr>
          <w:p w:rsidR="00353DDF" w:rsidRPr="00353DDF" w:rsidRDefault="00353DDF">
            <w:pPr>
              <w:rPr>
                <w:b/>
              </w:rPr>
            </w:pPr>
            <w:r w:rsidRPr="00353DDF">
              <w:rPr>
                <w:b/>
              </w:rPr>
              <w:t>Total Items Comprising the Sample</w:t>
            </w:r>
          </w:p>
        </w:tc>
        <w:tc>
          <w:tcPr>
            <w:tcW w:w="7375" w:type="dxa"/>
            <w:hideMark/>
          </w:tcPr>
          <w:p w:rsidR="00353DDF" w:rsidRDefault="00353DDF">
            <w:r>
              <w:t>1</w:t>
            </w:r>
          </w:p>
        </w:tc>
      </w:tr>
      <w:tr w:rsidR="00353DDF" w:rsidTr="00BA7601">
        <w:tc>
          <w:tcPr>
            <w:tcW w:w="3415" w:type="dxa"/>
            <w:shd w:val="clear" w:color="auto" w:fill="D9D9D9" w:themeFill="background1" w:themeFillShade="D9"/>
            <w:hideMark/>
          </w:tcPr>
          <w:p w:rsidR="00353DDF" w:rsidRPr="00353DDF" w:rsidRDefault="00353DDF">
            <w:pPr>
              <w:rPr>
                <w:b/>
              </w:rPr>
            </w:pPr>
            <w:r w:rsidRPr="00353DDF">
              <w:rPr>
                <w:b/>
              </w:rPr>
              <w:t xml:space="preserve">Total Word Count </w:t>
            </w:r>
          </w:p>
        </w:tc>
        <w:tc>
          <w:tcPr>
            <w:tcW w:w="7375" w:type="dxa"/>
            <w:hideMark/>
          </w:tcPr>
          <w:p w:rsidR="00353DDF" w:rsidRDefault="00353DDF">
            <w:r>
              <w:t>715</w:t>
            </w:r>
          </w:p>
        </w:tc>
      </w:tr>
      <w:tr w:rsidR="00353DDF" w:rsidTr="00BA7601">
        <w:tc>
          <w:tcPr>
            <w:tcW w:w="3415" w:type="dxa"/>
            <w:shd w:val="clear" w:color="auto" w:fill="D9D9D9" w:themeFill="background1" w:themeFillShade="D9"/>
            <w:hideMark/>
          </w:tcPr>
          <w:p w:rsidR="00353DDF" w:rsidRPr="00353DDF" w:rsidRDefault="00353DDF">
            <w:pPr>
              <w:rPr>
                <w:b/>
              </w:rPr>
            </w:pPr>
            <w:r w:rsidRPr="00353DDF">
              <w:rPr>
                <w:b/>
              </w:rPr>
              <w:t xml:space="preserve">Contributor </w:t>
            </w:r>
          </w:p>
        </w:tc>
        <w:tc>
          <w:tcPr>
            <w:tcW w:w="7375" w:type="dxa"/>
            <w:hideMark/>
          </w:tcPr>
          <w:p w:rsidR="00353DDF" w:rsidRDefault="00914F44">
            <w:r>
              <w:t>KIM</w:t>
            </w:r>
            <w:bookmarkStart w:id="0" w:name="_GoBack"/>
            <w:bookmarkEnd w:id="0"/>
          </w:p>
        </w:tc>
      </w:tr>
    </w:tbl>
    <w:p w:rsidR="00353DDF" w:rsidRPr="00353DDF" w:rsidRDefault="00353DDF" w:rsidP="00353DDF">
      <w:pPr>
        <w:pStyle w:val="NormalWeb"/>
        <w:spacing w:before="0" w:beforeAutospacing="0" w:after="240" w:afterAutospacing="0" w:line="360" w:lineRule="atLeast"/>
        <w:textAlignment w:val="baseline"/>
        <w:rPr>
          <w:rFonts w:asciiTheme="minorHAnsi" w:hAnsiTheme="minorHAnsi" w:cs="Helvetica"/>
          <w:color w:val="333333"/>
          <w:spacing w:val="2"/>
          <w:sz w:val="22"/>
          <w:szCs w:val="22"/>
        </w:rPr>
      </w:pPr>
    </w:p>
    <w:p w:rsidR="00353DDF" w:rsidRPr="00353DDF" w:rsidRDefault="00353DDF" w:rsidP="00353DDF">
      <w:pPr>
        <w:pStyle w:val="NormalWeb"/>
        <w:spacing w:before="0" w:beforeAutospacing="0" w:after="120" w:afterAutospacing="0" w:line="360" w:lineRule="atLeast"/>
        <w:textAlignment w:val="baseline"/>
        <w:rPr>
          <w:rFonts w:asciiTheme="minorHAnsi" w:hAnsiTheme="minorHAnsi" w:cs="Helvetica"/>
          <w:b/>
          <w:color w:val="333333"/>
          <w:spacing w:val="2"/>
          <w:sz w:val="22"/>
          <w:szCs w:val="22"/>
        </w:rPr>
      </w:pPr>
      <w:r w:rsidRPr="00353DDF">
        <w:rPr>
          <w:rFonts w:asciiTheme="minorHAnsi" w:hAnsiTheme="minorHAnsi" w:cs="Helvetica"/>
          <w:b/>
          <w:color w:val="333333"/>
          <w:spacing w:val="2"/>
          <w:sz w:val="22"/>
          <w:szCs w:val="22"/>
        </w:rPr>
        <w:t xml:space="preserve">Executive Order Protecting </w:t>
      </w:r>
      <w:proofErr w:type="gramStart"/>
      <w:r w:rsidRPr="00353DDF">
        <w:rPr>
          <w:rFonts w:asciiTheme="minorHAnsi" w:hAnsiTheme="minorHAnsi" w:cs="Helvetica"/>
          <w:b/>
          <w:color w:val="333333"/>
          <w:spacing w:val="2"/>
          <w:sz w:val="22"/>
          <w:szCs w:val="22"/>
        </w:rPr>
        <w:t>The</w:t>
      </w:r>
      <w:proofErr w:type="gramEnd"/>
      <w:r w:rsidRPr="00353DDF">
        <w:rPr>
          <w:rFonts w:asciiTheme="minorHAnsi" w:hAnsiTheme="minorHAnsi" w:cs="Helvetica"/>
          <w:b/>
          <w:color w:val="333333"/>
          <w:spacing w:val="2"/>
          <w:sz w:val="22"/>
          <w:szCs w:val="22"/>
        </w:rPr>
        <w:t xml:space="preserve"> Nation From Foreign Terrorist Entry Into The United States</w:t>
      </w:r>
      <w:r>
        <w:rPr>
          <w:rFonts w:asciiTheme="minorHAnsi" w:hAnsiTheme="minorHAnsi" w:cs="Helvetica"/>
          <w:b/>
          <w:color w:val="333333"/>
          <w:spacing w:val="2"/>
          <w:sz w:val="22"/>
          <w:szCs w:val="22"/>
        </w:rPr>
        <w:t xml:space="preserve"> - </w:t>
      </w:r>
      <w:r w:rsidRPr="00353DDF">
        <w:rPr>
          <w:rFonts w:asciiTheme="minorHAnsi" w:hAnsiTheme="minorHAnsi" w:cs="Helvetica"/>
          <w:b/>
          <w:color w:val="333333"/>
          <w:spacing w:val="2"/>
          <w:sz w:val="22"/>
          <w:szCs w:val="22"/>
        </w:rPr>
        <w:t>SECTION 2</w:t>
      </w:r>
    </w:p>
    <w:p w:rsidR="00353DDF" w:rsidRPr="00353DDF" w:rsidRDefault="00353DDF" w:rsidP="00353DDF">
      <w:pPr>
        <w:pStyle w:val="NormalWeb"/>
        <w:spacing w:before="0" w:beforeAutospacing="0" w:after="240" w:afterAutospacing="0" w:line="360" w:lineRule="atLeast"/>
        <w:textAlignment w:val="baseline"/>
        <w:rPr>
          <w:rFonts w:asciiTheme="minorHAnsi" w:hAnsiTheme="minorHAnsi" w:cs="Helvetica"/>
          <w:color w:val="333333"/>
          <w:spacing w:val="2"/>
          <w:sz w:val="22"/>
          <w:szCs w:val="22"/>
        </w:rPr>
      </w:pPr>
      <w:r w:rsidRPr="00353DDF">
        <w:rPr>
          <w:rFonts w:asciiTheme="minorHAnsi" w:hAnsiTheme="minorHAnsi" w:cs="Helvetica"/>
          <w:color w:val="333333"/>
          <w:spacing w:val="2"/>
          <w:sz w:val="22"/>
          <w:szCs w:val="22"/>
        </w:rPr>
        <w:t xml:space="preserve">Sec. 2.  Temporary Suspension of Entry for Nationals of Countries of Particular Concern </w:t>
      </w:r>
      <w:proofErr w:type="gramStart"/>
      <w:r w:rsidRPr="00353DDF">
        <w:rPr>
          <w:rFonts w:asciiTheme="minorHAnsi" w:hAnsiTheme="minorHAnsi" w:cs="Helvetica"/>
          <w:color w:val="333333"/>
          <w:spacing w:val="2"/>
          <w:sz w:val="22"/>
          <w:szCs w:val="22"/>
        </w:rPr>
        <w:t>During</w:t>
      </w:r>
      <w:proofErr w:type="gramEnd"/>
      <w:r w:rsidRPr="00353DDF">
        <w:rPr>
          <w:rFonts w:asciiTheme="minorHAnsi" w:hAnsiTheme="minorHAnsi" w:cs="Helvetica"/>
          <w:color w:val="333333"/>
          <w:spacing w:val="2"/>
          <w:sz w:val="22"/>
          <w:szCs w:val="22"/>
        </w:rPr>
        <w:t xml:space="preserve"> Review Period.  (a)  The Secretary of Homeland Security, in consultation with the Secretary of State and the Director of National Intelligence, shall conduct a worldwide review to identify whether, and if so what, additional information will be needed from each foreign country to adjudicate an application by a national of that country for a visa, admission, or other benefit under the INA (adjudications) in order to determine that the individual is not a security or public-safety threat.  The Secretary of Homeland Security may conclude that certain information is needed from particular countries even if it is not needed from every country.</w:t>
      </w:r>
    </w:p>
    <w:p w:rsidR="00353DDF" w:rsidRPr="00353DDF" w:rsidRDefault="00353DDF" w:rsidP="00353DDF">
      <w:pPr>
        <w:pStyle w:val="NormalWeb"/>
        <w:spacing w:before="0" w:beforeAutospacing="0" w:after="240" w:afterAutospacing="0" w:line="360" w:lineRule="atLeast"/>
        <w:textAlignment w:val="baseline"/>
        <w:rPr>
          <w:rFonts w:asciiTheme="minorHAnsi" w:hAnsiTheme="minorHAnsi" w:cs="Helvetica"/>
          <w:color w:val="333333"/>
          <w:spacing w:val="2"/>
          <w:sz w:val="22"/>
          <w:szCs w:val="22"/>
        </w:rPr>
      </w:pPr>
      <w:r w:rsidRPr="00353DDF">
        <w:rPr>
          <w:rFonts w:asciiTheme="minorHAnsi" w:hAnsiTheme="minorHAnsi" w:cs="Helvetica"/>
          <w:color w:val="333333"/>
          <w:spacing w:val="2"/>
          <w:sz w:val="22"/>
          <w:szCs w:val="22"/>
        </w:rPr>
        <w:t>(b)  The Secretary of Homeland Security, in consultation with the Secretary of State and the Director of National Intelligence, shall submit to the President a report on the results of the worldwide review described in subsection (a) of this section, including the Secretary of Homeland Security's determination of the information needed from each country for adjudications and a list of countries that do not provide adequate information, within 20 days of the effective date of this order.  The Secretary of Homeland Security shall provide a copy of the report to the Secretary of State, the Attorney General, and the Director of National Intelligence.</w:t>
      </w:r>
    </w:p>
    <w:p w:rsidR="00353DDF" w:rsidRPr="00353DDF" w:rsidRDefault="00353DDF" w:rsidP="00353DDF">
      <w:pPr>
        <w:pStyle w:val="NormalWeb"/>
        <w:spacing w:before="0" w:beforeAutospacing="0" w:after="240" w:afterAutospacing="0" w:line="360" w:lineRule="atLeast"/>
        <w:textAlignment w:val="baseline"/>
        <w:rPr>
          <w:rFonts w:asciiTheme="minorHAnsi" w:hAnsiTheme="minorHAnsi" w:cs="Helvetica"/>
          <w:color w:val="333333"/>
          <w:spacing w:val="2"/>
          <w:sz w:val="22"/>
          <w:szCs w:val="22"/>
        </w:rPr>
      </w:pPr>
      <w:r w:rsidRPr="00353DDF">
        <w:rPr>
          <w:rFonts w:asciiTheme="minorHAnsi" w:hAnsiTheme="minorHAnsi" w:cs="Helvetica"/>
          <w:color w:val="333333"/>
          <w:spacing w:val="2"/>
          <w:sz w:val="22"/>
          <w:szCs w:val="22"/>
        </w:rPr>
        <w:t>(c)  To temporarily reduce investigative burdens on relevant agencies during the review period described in subsection (a) of this section, to ensure the proper review and maximum utilization of available resources for the screening and vetting of foreign nationals, to ensure that adequate standards are established to prevent infiltration by foreign terrorists, and in light of the national security concerns referenced in section 1 of this order, I hereby proclaim, pursuant to sections 212(f) and 215(a) of the INA, 8 U.S.C. 1182(f) and 1185(a), that the unrestricted entry into the United States of nationals of Iran, Libya, Somalia, Sudan, Syria, and Yemen would be detrimental to the interests of the United States.  I therefore direct that the entry into the United States of nationals of those six countries be suspended for 90 days from the effective date of this order, subject to the limitations, waivers, and exceptions set forth in sections 3 and 12 of this order.</w:t>
      </w:r>
    </w:p>
    <w:p w:rsidR="00353DDF" w:rsidRPr="00353DDF" w:rsidRDefault="00353DDF" w:rsidP="00353DDF">
      <w:pPr>
        <w:pStyle w:val="NormalWeb"/>
        <w:spacing w:before="0" w:beforeAutospacing="0" w:after="240" w:afterAutospacing="0" w:line="360" w:lineRule="atLeast"/>
        <w:textAlignment w:val="baseline"/>
        <w:rPr>
          <w:rFonts w:asciiTheme="minorHAnsi" w:hAnsiTheme="minorHAnsi" w:cs="Helvetica"/>
          <w:color w:val="333333"/>
          <w:spacing w:val="2"/>
          <w:sz w:val="22"/>
          <w:szCs w:val="22"/>
        </w:rPr>
      </w:pPr>
      <w:r w:rsidRPr="00353DDF">
        <w:rPr>
          <w:rFonts w:asciiTheme="minorHAnsi" w:hAnsiTheme="minorHAnsi" w:cs="Helvetica"/>
          <w:color w:val="333333"/>
          <w:spacing w:val="2"/>
          <w:sz w:val="22"/>
          <w:szCs w:val="22"/>
        </w:rPr>
        <w:lastRenderedPageBreak/>
        <w:t>(d)  Upon submission of the report described in subsection (b) of this section regarding the information needed from each country for adjudications, the Secretary of State shall request that all foreign governments that do not supply such information regarding their nationals begin providing it within 50 days of notification.</w:t>
      </w:r>
    </w:p>
    <w:p w:rsidR="00353DDF" w:rsidRPr="00353DDF" w:rsidRDefault="00353DDF" w:rsidP="00353DDF">
      <w:pPr>
        <w:pStyle w:val="NormalWeb"/>
        <w:spacing w:before="0" w:beforeAutospacing="0" w:after="240" w:afterAutospacing="0" w:line="360" w:lineRule="atLeast"/>
        <w:textAlignment w:val="baseline"/>
        <w:rPr>
          <w:rFonts w:asciiTheme="minorHAnsi" w:hAnsiTheme="minorHAnsi" w:cs="Helvetica"/>
          <w:color w:val="333333"/>
          <w:spacing w:val="2"/>
          <w:sz w:val="22"/>
          <w:szCs w:val="22"/>
        </w:rPr>
      </w:pPr>
      <w:r w:rsidRPr="00353DDF">
        <w:rPr>
          <w:rFonts w:asciiTheme="minorHAnsi" w:hAnsiTheme="minorHAnsi" w:cs="Helvetica"/>
          <w:color w:val="333333"/>
          <w:spacing w:val="2"/>
          <w:sz w:val="22"/>
          <w:szCs w:val="22"/>
        </w:rPr>
        <w:t>(e)  After the period described in subsection (d) of this section expires, the Secretary of Homeland Security, in consultation with the Secretary of State and the Attorney General, shall submit to the President a list of countries recommended for inclusion in a Presidential proclamation that would prohibit the entry of appropriate categories of foreign nationals of countries that have not provided the information requested until they do so or until the Secretary of Homeland Security certifies that the country has an adequate plan to do so, or has adequately shared information through other means.  The Secretary of State, the Attorney General, or the Secretary of Homeland Security may also submit to the President the names of additional countries for which any of them recommends other lawful restrictions or limitations deemed necessary for the security or welfare of the United States.</w:t>
      </w:r>
    </w:p>
    <w:p w:rsidR="00353DDF" w:rsidRPr="00353DDF" w:rsidRDefault="00353DDF" w:rsidP="00353DDF">
      <w:pPr>
        <w:pStyle w:val="NormalWeb"/>
        <w:spacing w:before="0" w:beforeAutospacing="0" w:after="240" w:afterAutospacing="0" w:line="360" w:lineRule="atLeast"/>
        <w:textAlignment w:val="baseline"/>
        <w:rPr>
          <w:rFonts w:asciiTheme="minorHAnsi" w:hAnsiTheme="minorHAnsi" w:cs="Helvetica"/>
          <w:color w:val="333333"/>
          <w:spacing w:val="2"/>
          <w:sz w:val="22"/>
          <w:szCs w:val="22"/>
        </w:rPr>
      </w:pPr>
      <w:r w:rsidRPr="00353DDF">
        <w:rPr>
          <w:rFonts w:asciiTheme="minorHAnsi" w:hAnsiTheme="minorHAnsi" w:cs="Helvetica"/>
          <w:color w:val="333333"/>
          <w:spacing w:val="2"/>
          <w:sz w:val="22"/>
          <w:szCs w:val="22"/>
        </w:rPr>
        <w:t>(f)  At any point after the submission of the list described in subsection (e) of this section, the Secretary of Homeland Security, in consultation with the Secretary of State and the Attorney General, may submit to the President the names of any additional countries recommended for similar treatment, as well as the names of any countries that they recommend should be removed from the scope of a proclamation described in subsection (e) of this section.</w:t>
      </w:r>
    </w:p>
    <w:p w:rsidR="00353DDF" w:rsidRPr="00353DDF" w:rsidRDefault="00353DDF" w:rsidP="00353DDF">
      <w:pPr>
        <w:pStyle w:val="NormalWeb"/>
        <w:spacing w:before="0" w:beforeAutospacing="0" w:after="240" w:afterAutospacing="0" w:line="360" w:lineRule="atLeast"/>
        <w:textAlignment w:val="baseline"/>
        <w:rPr>
          <w:rFonts w:asciiTheme="minorHAnsi" w:hAnsiTheme="minorHAnsi" w:cs="Helvetica"/>
          <w:color w:val="333333"/>
          <w:spacing w:val="2"/>
          <w:sz w:val="22"/>
          <w:szCs w:val="22"/>
        </w:rPr>
      </w:pPr>
      <w:r w:rsidRPr="00353DDF">
        <w:rPr>
          <w:rFonts w:asciiTheme="minorHAnsi" w:hAnsiTheme="minorHAnsi" w:cs="Helvetica"/>
          <w:color w:val="333333"/>
          <w:spacing w:val="2"/>
          <w:sz w:val="22"/>
          <w:szCs w:val="22"/>
        </w:rPr>
        <w:t>(g)  The Secretary of State and the Secretary of Homeland Security shall submit to the President a joint report on the progress in implementing this order within 60 days of the effective date of this order, a second report within 90 days of the effective date of this order, a third report within 120 days of the effective date of this order, and a fourth report within 150 days of the effective date of this order.</w:t>
      </w:r>
    </w:p>
    <w:p w:rsidR="00D00095" w:rsidRPr="00353DDF" w:rsidRDefault="00785631"/>
    <w:sectPr w:rsidR="00D00095" w:rsidRPr="00353DDF" w:rsidSect="00353DD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353DDF"/>
    <w:rsid w:val="00353DDF"/>
    <w:rsid w:val="007346E4"/>
    <w:rsid w:val="00785631"/>
    <w:rsid w:val="00914F44"/>
    <w:rsid w:val="009C4459"/>
    <w:rsid w:val="00BA7601"/>
    <w:rsid w:val="00ED7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D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53D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53DDF"/>
    <w:rPr>
      <w:color w:val="0000FF"/>
      <w:u w:val="single"/>
    </w:rPr>
  </w:style>
  <w:style w:type="character" w:customStyle="1" w:styleId="metadatabylineauthor">
    <w:name w:val="metadata__byline__author"/>
    <w:basedOn w:val="DefaultParagraphFont"/>
    <w:rsid w:val="00353DDF"/>
  </w:style>
  <w:style w:type="table" w:styleId="LightGrid-Accent4">
    <w:name w:val="Light Grid Accent 4"/>
    <w:basedOn w:val="TableNormal"/>
    <w:uiPriority w:val="62"/>
    <w:semiHidden/>
    <w:unhideWhenUsed/>
    <w:rsid w:val="00353DD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r="http://schemas.openxmlformats.org/officeDocument/2006/relationships" xmlns:w="http://schemas.openxmlformats.org/wordprocessingml/2006/main">
  <w:divs>
    <w:div w:id="343017057">
      <w:bodyDiv w:val="1"/>
      <w:marLeft w:val="0"/>
      <w:marRight w:val="0"/>
      <w:marTop w:val="0"/>
      <w:marBottom w:val="0"/>
      <w:divBdr>
        <w:top w:val="none" w:sz="0" w:space="0" w:color="auto"/>
        <w:left w:val="none" w:sz="0" w:space="0" w:color="auto"/>
        <w:bottom w:val="none" w:sz="0" w:space="0" w:color="auto"/>
        <w:right w:val="none" w:sz="0" w:space="0" w:color="auto"/>
      </w:divBdr>
    </w:div>
    <w:div w:id="130404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Kenia Mazier</dc:creator>
  <cp:lastModifiedBy>A J Maren</cp:lastModifiedBy>
  <cp:revision>2</cp:revision>
  <dcterms:created xsi:type="dcterms:W3CDTF">2017-04-13T07:50:00Z</dcterms:created>
  <dcterms:modified xsi:type="dcterms:W3CDTF">2017-04-13T07:50:00Z</dcterms:modified>
</cp:coreProperties>
</file>